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BE086" w14:textId="77777777" w:rsidR="009F0C56" w:rsidRDefault="00653842">
      <w:pPr>
        <w:pStyle w:val="Heading1"/>
        <w:rPr>
          <w:rFonts w:ascii="Arial" w:eastAsia="Arial" w:hAnsi="Arial" w:cs="Arial"/>
        </w:rPr>
      </w:pPr>
      <w:r>
        <w:rPr>
          <w:rFonts w:ascii="Arial" w:eastAsia="Arial" w:hAnsi="Arial" w:cs="Arial"/>
        </w:rPr>
        <w:t xml:space="preserve"> </w:t>
      </w:r>
      <w:bookmarkStart w:id="0" w:name="_Toc240965931"/>
      <w:r>
        <w:rPr>
          <w:noProof/>
        </w:rPr>
        <w:drawing>
          <wp:anchor distT="0" distB="0" distL="114300" distR="114300" simplePos="0" relativeHeight="251658240" behindDoc="0" locked="0" layoutInCell="1" hidden="0" allowOverlap="1" wp14:anchorId="0A99BD71" wp14:editId="47054934">
            <wp:simplePos x="0" y="0"/>
            <wp:positionH relativeFrom="column">
              <wp:posOffset>1213945</wp:posOffset>
            </wp:positionH>
            <wp:positionV relativeFrom="paragraph">
              <wp:posOffset>109</wp:posOffset>
            </wp:positionV>
            <wp:extent cx="3365500" cy="1350645"/>
            <wp:effectExtent l="0" t="0" r="0" b="0"/>
            <wp:wrapSquare wrapText="bothSides" distT="0" distB="0" distL="114300" distR="114300"/>
            <wp:docPr id="187485586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
                    <a:srcRect/>
                    <a:stretch>
                      <a:fillRect/>
                    </a:stretch>
                  </pic:blipFill>
                  <pic:spPr>
                    <a:xfrm>
                      <a:off x="0" y="0"/>
                      <a:ext cx="3365500" cy="1350645"/>
                    </a:xfrm>
                    <a:prstGeom prst="rect">
                      <a:avLst/>
                    </a:prstGeom>
                    <a:ln/>
                  </pic:spPr>
                </pic:pic>
              </a:graphicData>
            </a:graphic>
          </wp:anchor>
        </w:drawing>
      </w:r>
      <w:bookmarkEnd w:id="0"/>
    </w:p>
    <w:p w14:paraId="732154BC" w14:textId="77777777" w:rsidR="009F0C56" w:rsidRDefault="009F0C56">
      <w:pPr>
        <w:pStyle w:val="Heading1"/>
        <w:rPr>
          <w:rFonts w:ascii="Arial" w:eastAsia="Arial" w:hAnsi="Arial" w:cs="Arial"/>
        </w:rPr>
      </w:pPr>
    </w:p>
    <w:p w14:paraId="60BCAB67" w14:textId="77777777" w:rsidR="009F0C56" w:rsidRDefault="009F0C56">
      <w:pPr>
        <w:pStyle w:val="Heading1"/>
        <w:rPr>
          <w:rFonts w:ascii="Arial" w:eastAsia="Arial" w:hAnsi="Arial" w:cs="Arial"/>
        </w:rPr>
      </w:pPr>
    </w:p>
    <w:p w14:paraId="4108790B" w14:textId="77777777" w:rsidR="009F0C56" w:rsidRDefault="009F0C56"/>
    <w:p w14:paraId="7D1860AD" w14:textId="77777777" w:rsidR="009F0C56" w:rsidRDefault="009F0C56"/>
    <w:p w14:paraId="2B41CA34" w14:textId="77777777" w:rsidR="009F0C56" w:rsidRDefault="00653842">
      <w:pPr>
        <w:pBdr>
          <w:top w:val="nil"/>
          <w:left w:val="nil"/>
          <w:bottom w:val="nil"/>
          <w:right w:val="nil"/>
          <w:between w:val="nil"/>
        </w:pBdr>
        <w:spacing w:line="240" w:lineRule="auto"/>
        <w:jc w:val="center"/>
        <w:rPr>
          <w:rFonts w:ascii="Arial" w:eastAsia="Arial" w:hAnsi="Arial" w:cs="Arial"/>
          <w:color w:val="000000"/>
          <w:sz w:val="32"/>
          <w:szCs w:val="32"/>
        </w:rPr>
      </w:pPr>
      <w:r>
        <w:rPr>
          <w:rFonts w:ascii="Arial" w:eastAsia="Arial" w:hAnsi="Arial" w:cs="Arial"/>
          <w:color w:val="000000"/>
          <w:sz w:val="32"/>
          <w:szCs w:val="32"/>
        </w:rPr>
        <w:t>The settler culture of colonial spectacle:</w:t>
      </w:r>
    </w:p>
    <w:p w14:paraId="15F70263" w14:textId="77777777" w:rsidR="009F0C56" w:rsidRDefault="00653842">
      <w:pPr>
        <w:pBdr>
          <w:top w:val="nil"/>
          <w:left w:val="nil"/>
          <w:bottom w:val="nil"/>
          <w:right w:val="nil"/>
          <w:between w:val="nil"/>
        </w:pBdr>
        <w:spacing w:line="240" w:lineRule="auto"/>
        <w:jc w:val="center"/>
        <w:rPr>
          <w:rFonts w:ascii="Arial" w:eastAsia="Arial" w:hAnsi="Arial" w:cs="Arial"/>
          <w:color w:val="000000"/>
          <w:sz w:val="32"/>
          <w:szCs w:val="32"/>
        </w:rPr>
      </w:pPr>
      <w:r>
        <w:rPr>
          <w:rFonts w:ascii="Arial" w:eastAsia="Arial" w:hAnsi="Arial" w:cs="Arial"/>
          <w:color w:val="000000"/>
          <w:sz w:val="32"/>
          <w:szCs w:val="32"/>
        </w:rPr>
        <w:t>A study of settler colonial erasure and assimilation of Indigenous representations.</w:t>
      </w:r>
    </w:p>
    <w:p w14:paraId="40234D1B" w14:textId="77777777" w:rsidR="009F0C56" w:rsidRDefault="009F0C56">
      <w:pPr>
        <w:pBdr>
          <w:top w:val="nil"/>
          <w:left w:val="nil"/>
          <w:bottom w:val="nil"/>
          <w:right w:val="nil"/>
          <w:between w:val="nil"/>
        </w:pBdr>
        <w:spacing w:line="240" w:lineRule="auto"/>
        <w:jc w:val="center"/>
        <w:rPr>
          <w:rFonts w:ascii="Arial" w:eastAsia="Arial" w:hAnsi="Arial" w:cs="Arial"/>
          <w:color w:val="000000"/>
          <w:sz w:val="32"/>
          <w:szCs w:val="32"/>
        </w:rPr>
      </w:pPr>
    </w:p>
    <w:p w14:paraId="2551E70B" w14:textId="77777777" w:rsidR="009F0C56" w:rsidRDefault="009F0C56">
      <w:pPr>
        <w:pBdr>
          <w:top w:val="nil"/>
          <w:left w:val="nil"/>
          <w:bottom w:val="nil"/>
          <w:right w:val="nil"/>
          <w:between w:val="nil"/>
        </w:pBdr>
        <w:spacing w:line="240" w:lineRule="auto"/>
        <w:jc w:val="center"/>
        <w:rPr>
          <w:rFonts w:ascii="Arial" w:eastAsia="Arial" w:hAnsi="Arial" w:cs="Arial"/>
          <w:color w:val="000000"/>
          <w:sz w:val="32"/>
          <w:szCs w:val="32"/>
        </w:rPr>
      </w:pPr>
    </w:p>
    <w:p w14:paraId="5219497E" w14:textId="77777777" w:rsidR="009F0C56" w:rsidRDefault="009F0C56">
      <w:pPr>
        <w:jc w:val="center"/>
        <w:rPr>
          <w:rFonts w:ascii="Arial" w:eastAsia="Arial" w:hAnsi="Arial" w:cs="Arial"/>
        </w:rPr>
      </w:pPr>
    </w:p>
    <w:p w14:paraId="2F253EF7" w14:textId="77777777" w:rsidR="009F0C56" w:rsidRDefault="00653842">
      <w:pPr>
        <w:jc w:val="center"/>
        <w:rPr>
          <w:rFonts w:ascii="Arial" w:eastAsia="Arial" w:hAnsi="Arial" w:cs="Arial"/>
        </w:rPr>
      </w:pPr>
      <w:r>
        <w:rPr>
          <w:rFonts w:ascii="Arial" w:eastAsia="Arial" w:hAnsi="Arial" w:cs="Arial"/>
        </w:rPr>
        <w:t>By</w:t>
      </w:r>
    </w:p>
    <w:p w14:paraId="42ED5B8D" w14:textId="77777777" w:rsidR="009F0C56" w:rsidRDefault="00653842">
      <w:pPr>
        <w:jc w:val="center"/>
        <w:rPr>
          <w:rFonts w:ascii="Arial" w:eastAsia="Arial" w:hAnsi="Arial" w:cs="Arial"/>
          <w:b/>
          <w:bCs/>
        </w:rPr>
      </w:pPr>
      <w:r>
        <w:rPr>
          <w:rFonts w:ascii="Arial" w:eastAsia="Arial" w:hAnsi="Arial" w:cs="Arial"/>
          <w:b/>
          <w:bCs/>
        </w:rPr>
        <w:t>Cole Singh Virk</w:t>
      </w:r>
    </w:p>
    <w:p w14:paraId="26DE178D" w14:textId="77777777" w:rsidR="009F0C56" w:rsidRDefault="009F0C56">
      <w:pPr>
        <w:jc w:val="center"/>
        <w:rPr>
          <w:rFonts w:ascii="Arial" w:eastAsia="Arial" w:hAnsi="Arial" w:cs="Arial"/>
          <w:b/>
          <w:bCs/>
        </w:rPr>
      </w:pPr>
    </w:p>
    <w:p w14:paraId="313A4235" w14:textId="77777777" w:rsidR="009F0C56" w:rsidRDefault="009F0C56">
      <w:pPr>
        <w:jc w:val="center"/>
        <w:rPr>
          <w:rFonts w:ascii="Arial" w:eastAsia="Arial" w:hAnsi="Arial" w:cs="Arial"/>
          <w:b/>
          <w:bCs/>
        </w:rPr>
      </w:pPr>
    </w:p>
    <w:p w14:paraId="230AB7C2" w14:textId="77777777" w:rsidR="009F0C56" w:rsidRDefault="009F0C56">
      <w:pPr>
        <w:jc w:val="center"/>
        <w:rPr>
          <w:rFonts w:ascii="Arial" w:eastAsia="Arial" w:hAnsi="Arial" w:cs="Arial"/>
          <w:b/>
          <w:bCs/>
        </w:rPr>
      </w:pPr>
    </w:p>
    <w:p w14:paraId="6D385268" w14:textId="77777777" w:rsidR="009F0C56" w:rsidRDefault="009F0C56">
      <w:pPr>
        <w:pBdr>
          <w:top w:val="nil"/>
          <w:left w:val="nil"/>
          <w:bottom w:val="nil"/>
          <w:right w:val="nil"/>
          <w:between w:val="nil"/>
        </w:pBdr>
        <w:spacing w:after="0" w:line="240" w:lineRule="auto"/>
        <w:rPr>
          <w:rFonts w:ascii="Calibri" w:eastAsia="Calibri" w:hAnsi="Calibri" w:cs="Calibri"/>
          <w:color w:val="000000"/>
        </w:rPr>
      </w:pPr>
    </w:p>
    <w:p w14:paraId="24BE642E" w14:textId="77777777" w:rsidR="009F0C56" w:rsidRDefault="00653842">
      <w:pPr>
        <w:pBdr>
          <w:top w:val="nil"/>
          <w:left w:val="nil"/>
          <w:bottom w:val="nil"/>
          <w:right w:val="nil"/>
          <w:between w:val="nil"/>
        </w:pBdr>
        <w:spacing w:after="0" w:line="240" w:lineRule="auto"/>
        <w:jc w:val="center"/>
        <w:rPr>
          <w:rFonts w:ascii="Calibri" w:eastAsia="Calibri" w:hAnsi="Calibri" w:cs="Calibri"/>
          <w:color w:val="000000"/>
          <w:sz w:val="23"/>
          <w:szCs w:val="23"/>
        </w:rPr>
      </w:pPr>
      <w:r>
        <w:rPr>
          <w:rFonts w:ascii="Calibri" w:eastAsia="Calibri" w:hAnsi="Calibri" w:cs="Calibri"/>
          <w:color w:val="000000"/>
          <w:sz w:val="23"/>
          <w:szCs w:val="23"/>
        </w:rPr>
        <w:t>A thesis submitted in partial fulfilment of the requirements for the degree of</w:t>
      </w:r>
    </w:p>
    <w:p w14:paraId="3716110D" w14:textId="77777777" w:rsidR="009F0C56" w:rsidRDefault="00653842">
      <w:pPr>
        <w:pBdr>
          <w:top w:val="nil"/>
          <w:left w:val="nil"/>
          <w:bottom w:val="nil"/>
          <w:right w:val="nil"/>
          <w:between w:val="nil"/>
        </w:pBdr>
        <w:spacing w:after="0" w:line="240" w:lineRule="auto"/>
        <w:jc w:val="center"/>
        <w:rPr>
          <w:rFonts w:ascii="Calibri" w:eastAsia="Calibri" w:hAnsi="Calibri" w:cs="Calibri"/>
          <w:color w:val="000000"/>
          <w:sz w:val="23"/>
          <w:szCs w:val="23"/>
        </w:rPr>
      </w:pPr>
      <w:r>
        <w:rPr>
          <w:rFonts w:ascii="Calibri" w:eastAsia="Calibri" w:hAnsi="Calibri" w:cs="Calibri"/>
          <w:color w:val="000000"/>
          <w:sz w:val="23"/>
          <w:szCs w:val="23"/>
        </w:rPr>
        <w:t>Doctor of Philosophy</w:t>
      </w:r>
    </w:p>
    <w:p w14:paraId="6498FF7B" w14:textId="77777777" w:rsidR="009F0C56" w:rsidRDefault="009F0C56">
      <w:pPr>
        <w:pBdr>
          <w:top w:val="nil"/>
          <w:left w:val="nil"/>
          <w:bottom w:val="nil"/>
          <w:right w:val="nil"/>
          <w:between w:val="nil"/>
        </w:pBdr>
        <w:spacing w:after="0" w:line="240" w:lineRule="auto"/>
        <w:jc w:val="center"/>
        <w:rPr>
          <w:rFonts w:ascii="Calibri" w:eastAsia="Calibri" w:hAnsi="Calibri" w:cs="Calibri"/>
          <w:color w:val="000000"/>
          <w:sz w:val="23"/>
          <w:szCs w:val="23"/>
        </w:rPr>
      </w:pPr>
    </w:p>
    <w:p w14:paraId="5C8DF0C4" w14:textId="77777777" w:rsidR="009F0C56" w:rsidRDefault="009F0C56">
      <w:pPr>
        <w:pBdr>
          <w:top w:val="nil"/>
          <w:left w:val="nil"/>
          <w:bottom w:val="nil"/>
          <w:right w:val="nil"/>
          <w:between w:val="nil"/>
        </w:pBdr>
        <w:spacing w:after="0" w:line="240" w:lineRule="auto"/>
        <w:jc w:val="center"/>
        <w:rPr>
          <w:rFonts w:ascii="Calibri" w:eastAsia="Calibri" w:hAnsi="Calibri" w:cs="Calibri"/>
          <w:color w:val="000000"/>
          <w:sz w:val="23"/>
          <w:szCs w:val="23"/>
        </w:rPr>
      </w:pPr>
    </w:p>
    <w:p w14:paraId="4C5A7C4C" w14:textId="77777777" w:rsidR="009F0C56" w:rsidRDefault="009F0C56">
      <w:pPr>
        <w:pBdr>
          <w:top w:val="nil"/>
          <w:left w:val="nil"/>
          <w:bottom w:val="nil"/>
          <w:right w:val="nil"/>
          <w:between w:val="nil"/>
        </w:pBdr>
        <w:spacing w:after="0" w:line="240" w:lineRule="auto"/>
        <w:jc w:val="center"/>
        <w:rPr>
          <w:rFonts w:ascii="Calibri" w:eastAsia="Calibri" w:hAnsi="Calibri" w:cs="Calibri"/>
          <w:color w:val="000000"/>
          <w:sz w:val="23"/>
          <w:szCs w:val="23"/>
        </w:rPr>
      </w:pPr>
    </w:p>
    <w:p w14:paraId="465F5B6E" w14:textId="77777777" w:rsidR="009F0C56" w:rsidRDefault="009F0C56">
      <w:pPr>
        <w:pBdr>
          <w:top w:val="nil"/>
          <w:left w:val="nil"/>
          <w:bottom w:val="nil"/>
          <w:right w:val="nil"/>
          <w:between w:val="nil"/>
        </w:pBdr>
        <w:spacing w:after="0" w:line="240" w:lineRule="auto"/>
        <w:jc w:val="center"/>
        <w:rPr>
          <w:rFonts w:ascii="Calibri" w:eastAsia="Calibri" w:hAnsi="Calibri" w:cs="Calibri"/>
          <w:color w:val="000000"/>
          <w:sz w:val="23"/>
          <w:szCs w:val="23"/>
        </w:rPr>
      </w:pPr>
    </w:p>
    <w:p w14:paraId="53437369" w14:textId="77777777" w:rsidR="009F0C56" w:rsidRDefault="009F0C56">
      <w:pPr>
        <w:pBdr>
          <w:top w:val="nil"/>
          <w:left w:val="nil"/>
          <w:bottom w:val="nil"/>
          <w:right w:val="nil"/>
          <w:between w:val="nil"/>
        </w:pBdr>
        <w:spacing w:after="0" w:line="240" w:lineRule="auto"/>
        <w:jc w:val="center"/>
        <w:rPr>
          <w:rFonts w:ascii="Calibri" w:eastAsia="Calibri" w:hAnsi="Calibri" w:cs="Calibri"/>
          <w:color w:val="000000"/>
          <w:sz w:val="23"/>
          <w:szCs w:val="23"/>
        </w:rPr>
      </w:pPr>
    </w:p>
    <w:p w14:paraId="5DAF64ED" w14:textId="77777777" w:rsidR="009F0C56" w:rsidRDefault="009F0C56">
      <w:pPr>
        <w:pBdr>
          <w:top w:val="nil"/>
          <w:left w:val="nil"/>
          <w:bottom w:val="nil"/>
          <w:right w:val="nil"/>
          <w:between w:val="nil"/>
        </w:pBdr>
        <w:spacing w:after="0" w:line="240" w:lineRule="auto"/>
        <w:jc w:val="center"/>
        <w:rPr>
          <w:rFonts w:ascii="Calibri" w:eastAsia="Calibri" w:hAnsi="Calibri" w:cs="Calibri"/>
          <w:color w:val="000000"/>
          <w:sz w:val="23"/>
          <w:szCs w:val="23"/>
        </w:rPr>
      </w:pPr>
    </w:p>
    <w:p w14:paraId="2CBFB383" w14:textId="77777777" w:rsidR="009F0C56" w:rsidRDefault="00653842">
      <w:pPr>
        <w:pBdr>
          <w:top w:val="nil"/>
          <w:left w:val="nil"/>
          <w:bottom w:val="nil"/>
          <w:right w:val="nil"/>
          <w:between w:val="nil"/>
        </w:pBdr>
        <w:spacing w:after="0" w:line="240" w:lineRule="auto"/>
        <w:jc w:val="center"/>
        <w:rPr>
          <w:rFonts w:ascii="Calibri" w:eastAsia="Calibri" w:hAnsi="Calibri" w:cs="Calibri"/>
          <w:color w:val="000000"/>
          <w:sz w:val="23"/>
          <w:szCs w:val="23"/>
        </w:rPr>
      </w:pPr>
      <w:r>
        <w:rPr>
          <w:rFonts w:ascii="Calibri" w:eastAsia="Calibri" w:hAnsi="Calibri" w:cs="Calibri"/>
          <w:b/>
          <w:bCs/>
          <w:color w:val="000000"/>
          <w:sz w:val="23"/>
          <w:szCs w:val="23"/>
        </w:rPr>
        <w:t>The University of Sheffield</w:t>
      </w:r>
    </w:p>
    <w:p w14:paraId="51567325" w14:textId="77777777" w:rsidR="009F0C56" w:rsidRDefault="00653842">
      <w:pPr>
        <w:pBdr>
          <w:top w:val="nil"/>
          <w:left w:val="nil"/>
          <w:bottom w:val="nil"/>
          <w:right w:val="nil"/>
          <w:between w:val="nil"/>
        </w:pBdr>
        <w:spacing w:after="0" w:line="240" w:lineRule="auto"/>
        <w:jc w:val="center"/>
        <w:rPr>
          <w:rFonts w:ascii="Calibri" w:eastAsia="Calibri" w:hAnsi="Calibri" w:cs="Calibri"/>
          <w:color w:val="000000"/>
          <w:sz w:val="23"/>
          <w:szCs w:val="23"/>
        </w:rPr>
      </w:pPr>
      <w:r>
        <w:rPr>
          <w:rFonts w:ascii="Calibri" w:eastAsia="Calibri" w:hAnsi="Calibri" w:cs="Calibri"/>
          <w:b/>
          <w:bCs/>
          <w:color w:val="000000"/>
          <w:sz w:val="23"/>
          <w:szCs w:val="23"/>
        </w:rPr>
        <w:t>Faculty of Social Sciences</w:t>
      </w:r>
    </w:p>
    <w:p w14:paraId="7C8C2203" w14:textId="77777777" w:rsidR="009F0C56" w:rsidRDefault="00653842">
      <w:pPr>
        <w:pBdr>
          <w:top w:val="nil"/>
          <w:left w:val="nil"/>
          <w:bottom w:val="nil"/>
          <w:right w:val="nil"/>
          <w:between w:val="nil"/>
        </w:pBdr>
        <w:spacing w:after="0" w:line="240" w:lineRule="auto"/>
        <w:jc w:val="center"/>
        <w:rPr>
          <w:rFonts w:ascii="Calibri" w:eastAsia="Calibri" w:hAnsi="Calibri" w:cs="Calibri"/>
          <w:color w:val="000000"/>
          <w:sz w:val="23"/>
          <w:szCs w:val="23"/>
        </w:rPr>
      </w:pPr>
      <w:r>
        <w:rPr>
          <w:rFonts w:ascii="Calibri" w:eastAsia="Calibri" w:hAnsi="Calibri" w:cs="Calibri"/>
          <w:b/>
          <w:bCs/>
          <w:color w:val="000000"/>
          <w:sz w:val="23"/>
          <w:szCs w:val="23"/>
        </w:rPr>
        <w:t>Department of Geography</w:t>
      </w:r>
    </w:p>
    <w:p w14:paraId="2701C98C" w14:textId="77777777" w:rsidR="009F0C56" w:rsidRDefault="00653842">
      <w:pPr>
        <w:jc w:val="center"/>
        <w:rPr>
          <w:rFonts w:ascii="Arial" w:eastAsia="Arial" w:hAnsi="Arial" w:cs="Arial"/>
          <w:b/>
          <w:bCs/>
        </w:rPr>
      </w:pPr>
      <w:r>
        <w:rPr>
          <w:b/>
          <w:bCs/>
          <w:sz w:val="23"/>
          <w:szCs w:val="23"/>
        </w:rPr>
        <w:t>January 2026</w:t>
      </w:r>
    </w:p>
    <w:p w14:paraId="0A9DCE76" w14:textId="77777777" w:rsidR="009F0C56" w:rsidRDefault="009F0C56">
      <w:pPr>
        <w:jc w:val="center"/>
        <w:rPr>
          <w:rFonts w:ascii="Arial" w:eastAsia="Arial" w:hAnsi="Arial" w:cs="Arial"/>
          <w:i/>
          <w:iCs/>
          <w:sz w:val="44"/>
          <w:szCs w:val="44"/>
        </w:rPr>
      </w:pPr>
    </w:p>
    <w:p w14:paraId="63064D19" w14:textId="77777777" w:rsidR="009F0C56" w:rsidRDefault="00653842">
      <w:pPr>
        <w:jc w:val="center"/>
        <w:rPr>
          <w:rFonts w:ascii="Arial" w:eastAsia="Arial" w:hAnsi="Arial" w:cs="Arial"/>
          <w:i/>
          <w:iCs/>
          <w:sz w:val="44"/>
          <w:szCs w:val="44"/>
        </w:rPr>
      </w:pPr>
      <w:r>
        <w:rPr>
          <w:rFonts w:ascii="Arial" w:eastAsia="Arial" w:hAnsi="Arial" w:cs="Arial"/>
          <w:i/>
          <w:iCs/>
          <w:sz w:val="44"/>
          <w:szCs w:val="44"/>
        </w:rPr>
        <w:lastRenderedPageBreak/>
        <w:t>Acknowledgements:</w:t>
      </w:r>
    </w:p>
    <w:p w14:paraId="03C895D2" w14:textId="77777777" w:rsidR="009F0C56" w:rsidRDefault="009F0C56">
      <w:pPr>
        <w:jc w:val="center"/>
        <w:rPr>
          <w:rFonts w:ascii="Arial" w:eastAsia="Arial" w:hAnsi="Arial" w:cs="Arial"/>
          <w:sz w:val="32"/>
          <w:szCs w:val="32"/>
        </w:rPr>
      </w:pPr>
    </w:p>
    <w:p w14:paraId="412855AE" w14:textId="77777777" w:rsidR="009F0C56" w:rsidRDefault="009F0C56">
      <w:pPr>
        <w:jc w:val="center"/>
        <w:rPr>
          <w:rFonts w:ascii="Arial" w:eastAsia="Arial" w:hAnsi="Arial" w:cs="Arial"/>
          <w:sz w:val="40"/>
          <w:szCs w:val="40"/>
        </w:rPr>
      </w:pPr>
    </w:p>
    <w:p w14:paraId="436BDD7C" w14:textId="77777777" w:rsidR="009F0C56" w:rsidRDefault="00653842">
      <w:pPr>
        <w:jc w:val="center"/>
        <w:rPr>
          <w:rFonts w:ascii="Arial" w:eastAsia="Arial" w:hAnsi="Arial" w:cs="Arial"/>
          <w:sz w:val="32"/>
          <w:szCs w:val="32"/>
        </w:rPr>
      </w:pPr>
      <w:r>
        <w:rPr>
          <w:rFonts w:ascii="Arial" w:eastAsia="Arial" w:hAnsi="Arial" w:cs="Arial"/>
          <w:sz w:val="32"/>
          <w:szCs w:val="32"/>
        </w:rPr>
        <w:br/>
      </w:r>
    </w:p>
    <w:p w14:paraId="1C1CBFC2" w14:textId="0CE1CA65" w:rsidR="009F0C56" w:rsidRDefault="00653842">
      <w:pPr>
        <w:jc w:val="center"/>
        <w:rPr>
          <w:rFonts w:ascii="Arial" w:eastAsia="Arial" w:hAnsi="Arial" w:cs="Arial"/>
        </w:rPr>
      </w:pPr>
      <w:r>
        <w:rPr>
          <w:rFonts w:ascii="Arial" w:eastAsia="Arial" w:hAnsi="Arial" w:cs="Arial"/>
        </w:rPr>
        <w:t xml:space="preserve">This thesis would not be possible without the guidance and </w:t>
      </w:r>
      <w:r w:rsidR="00CF2C48">
        <w:rPr>
          <w:rFonts w:ascii="Arial" w:eastAsia="Arial" w:hAnsi="Arial" w:cs="Arial"/>
        </w:rPr>
        <w:t>contributions</w:t>
      </w:r>
      <w:r>
        <w:rPr>
          <w:rFonts w:ascii="Arial" w:eastAsia="Arial" w:hAnsi="Arial" w:cs="Arial"/>
        </w:rPr>
        <w:t xml:space="preserve"> of </w:t>
      </w:r>
      <w:r>
        <w:rPr>
          <w:rFonts w:ascii="Arial" w:eastAsia="Arial" w:hAnsi="Arial" w:cs="Arial"/>
        </w:rPr>
        <w:t>several individuals who played a vital role in the completion of my work. In this, I want to thank those who made it possible.</w:t>
      </w:r>
    </w:p>
    <w:p w14:paraId="15F5238F" w14:textId="4325D91A" w:rsidR="009F0C56" w:rsidRDefault="00653842">
      <w:pPr>
        <w:jc w:val="center"/>
        <w:rPr>
          <w:rFonts w:ascii="Arial" w:eastAsia="Arial" w:hAnsi="Arial" w:cs="Arial"/>
        </w:rPr>
      </w:pPr>
      <w:r>
        <w:rPr>
          <w:rFonts w:ascii="Arial" w:eastAsia="Arial" w:hAnsi="Arial" w:cs="Arial"/>
        </w:rPr>
        <w:t>In this reflection, I want to eternally thank and acknowledge Professor Jenny, whose support and care should be studied as the path for all academics. I would also like to thank Dr Eric</w:t>
      </w:r>
      <w:r w:rsidR="00CF2C48">
        <w:rPr>
          <w:rFonts w:ascii="Arial" w:eastAsia="Arial" w:hAnsi="Arial" w:cs="Arial"/>
        </w:rPr>
        <w:t>,</w:t>
      </w:r>
      <w:r>
        <w:rPr>
          <w:rFonts w:ascii="Arial" w:eastAsia="Arial" w:hAnsi="Arial" w:cs="Arial"/>
        </w:rPr>
        <w:t xml:space="preserve"> whose expertise and knowledge incalculably aided this work. Also, I also want to thank Dr Adam and their amazing partner</w:t>
      </w:r>
      <w:r w:rsidR="00CF2C48">
        <w:rPr>
          <w:rFonts w:ascii="Arial" w:eastAsia="Arial" w:hAnsi="Arial" w:cs="Arial"/>
        </w:rPr>
        <w:t>,</w:t>
      </w:r>
      <w:r>
        <w:rPr>
          <w:rFonts w:ascii="Arial" w:eastAsia="Arial" w:hAnsi="Arial" w:cs="Arial"/>
        </w:rPr>
        <w:t xml:space="preserve"> Dr Emma, </w:t>
      </w:r>
      <w:r w:rsidR="00CF2C48">
        <w:rPr>
          <w:rFonts w:ascii="Arial" w:eastAsia="Arial" w:hAnsi="Arial" w:cs="Arial"/>
        </w:rPr>
        <w:t>whose</w:t>
      </w:r>
      <w:r>
        <w:rPr>
          <w:rFonts w:ascii="Arial" w:eastAsia="Arial" w:hAnsi="Arial" w:cs="Arial"/>
        </w:rPr>
        <w:t xml:space="preserve"> joy and support </w:t>
      </w:r>
      <w:r w:rsidR="00CF2C48">
        <w:rPr>
          <w:rFonts w:ascii="Arial" w:eastAsia="Arial" w:hAnsi="Arial" w:cs="Arial"/>
        </w:rPr>
        <w:t>have</w:t>
      </w:r>
      <w:r>
        <w:rPr>
          <w:rFonts w:ascii="Arial" w:eastAsia="Arial" w:hAnsi="Arial" w:cs="Arial"/>
        </w:rPr>
        <w:t xml:space="preserve"> been a source of inspiration for me. Beyond the thanks and gratitude to my supervisors mentioned above, I also want to express my thanks to my examiners</w:t>
      </w:r>
      <w:r w:rsidR="00CF2C48">
        <w:rPr>
          <w:rFonts w:ascii="Arial" w:eastAsia="Arial" w:hAnsi="Arial" w:cs="Arial"/>
        </w:rPr>
        <w:t>,</w:t>
      </w:r>
      <w:r>
        <w:rPr>
          <w:rFonts w:ascii="Arial" w:eastAsia="Arial" w:hAnsi="Arial" w:cs="Arial"/>
        </w:rPr>
        <w:t xml:space="preserve"> Dr Ankit and Dr Nathen, whose questioning and support </w:t>
      </w:r>
      <w:r w:rsidR="00CF2C48">
        <w:rPr>
          <w:rFonts w:ascii="Arial" w:eastAsia="Arial" w:hAnsi="Arial" w:cs="Arial"/>
        </w:rPr>
        <w:t>have</w:t>
      </w:r>
      <w:r>
        <w:rPr>
          <w:rFonts w:ascii="Arial" w:eastAsia="Arial" w:hAnsi="Arial" w:cs="Arial"/>
        </w:rPr>
        <w:t xml:space="preserve"> greatly improved the work. </w:t>
      </w:r>
    </w:p>
    <w:p w14:paraId="7861F39F" w14:textId="0B8CAD01" w:rsidR="009F0C56" w:rsidRDefault="00653842">
      <w:pPr>
        <w:jc w:val="center"/>
        <w:rPr>
          <w:rFonts w:ascii="Arial" w:eastAsia="Arial" w:hAnsi="Arial" w:cs="Arial"/>
        </w:rPr>
      </w:pPr>
      <w:r>
        <w:rPr>
          <w:rFonts w:ascii="Arial" w:eastAsia="Arial" w:hAnsi="Arial" w:cs="Arial"/>
        </w:rPr>
        <w:t>I would also like to acknowledge and thank my parents, Dorella and Pardip, who have continually supported me</w:t>
      </w:r>
      <w:r w:rsidR="00CF2C48">
        <w:rPr>
          <w:rFonts w:ascii="Arial" w:eastAsia="Arial" w:hAnsi="Arial" w:cs="Arial"/>
        </w:rPr>
        <w:t>;</w:t>
      </w:r>
      <w:r>
        <w:rPr>
          <w:rFonts w:ascii="Arial" w:eastAsia="Arial" w:hAnsi="Arial" w:cs="Arial"/>
        </w:rPr>
        <w:t xml:space="preserve"> your support, love, care, and hard work made this possible. Following this in a personal manner, I also need to express thanks to my brother George, my Nan, Bibi Ji, and Baba Ji. As well as all my friends, but especially Nicole and Matt</w:t>
      </w:r>
      <w:r w:rsidR="00CF2C48">
        <w:rPr>
          <w:rFonts w:ascii="Arial" w:eastAsia="Arial" w:hAnsi="Arial" w:cs="Arial"/>
        </w:rPr>
        <w:t>,</w:t>
      </w:r>
      <w:r>
        <w:rPr>
          <w:rFonts w:ascii="Arial" w:eastAsia="Arial" w:hAnsi="Arial" w:cs="Arial"/>
        </w:rPr>
        <w:t xml:space="preserve"> who have listened to me rant for several years, and finally my partner Evelin</w:t>
      </w:r>
      <w:r w:rsidR="00CF2C48">
        <w:rPr>
          <w:rFonts w:ascii="Arial" w:eastAsia="Arial" w:hAnsi="Arial" w:cs="Arial"/>
        </w:rPr>
        <w:t>,</w:t>
      </w:r>
      <w:r>
        <w:rPr>
          <w:rFonts w:ascii="Arial" w:eastAsia="Arial" w:hAnsi="Arial" w:cs="Arial"/>
        </w:rPr>
        <w:t xml:space="preserve"> whose love has been invaluable.</w:t>
      </w:r>
    </w:p>
    <w:p w14:paraId="60CC1053" w14:textId="720EF975" w:rsidR="009F0C56" w:rsidRDefault="00653842">
      <w:pPr>
        <w:jc w:val="center"/>
        <w:rPr>
          <w:rFonts w:ascii="Arial" w:eastAsia="Arial" w:hAnsi="Arial" w:cs="Arial"/>
        </w:rPr>
      </w:pPr>
      <w:r>
        <w:rPr>
          <w:rFonts w:ascii="Arial" w:eastAsia="Arial" w:hAnsi="Arial" w:cs="Arial"/>
        </w:rPr>
        <w:t xml:space="preserve">However, none of this could have been possible if it </w:t>
      </w:r>
      <w:r w:rsidR="00CF2C48">
        <w:rPr>
          <w:rFonts w:ascii="Arial" w:eastAsia="Arial" w:hAnsi="Arial" w:cs="Arial"/>
        </w:rPr>
        <w:t>were</w:t>
      </w:r>
      <w:r>
        <w:rPr>
          <w:rFonts w:ascii="Arial" w:eastAsia="Arial" w:hAnsi="Arial" w:cs="Arial"/>
        </w:rPr>
        <w:t xml:space="preserve"> not for the Miccosukee and Seminole communities and nations, who taught me more than I could have ever thought possible. In this, I want to dedicate this PhD to all communities globally who are fighting against fascism, patriarchy, transphobia, homophobia, racism, imperialism, and colonialism.</w:t>
      </w:r>
    </w:p>
    <w:p w14:paraId="0F9B19D8" w14:textId="77777777" w:rsidR="009F0C56" w:rsidRDefault="009F0C56">
      <w:pPr>
        <w:jc w:val="center"/>
      </w:pPr>
    </w:p>
    <w:p w14:paraId="4C3B3734" w14:textId="77777777" w:rsidR="009F0C56" w:rsidRDefault="009F0C56">
      <w:pPr>
        <w:pStyle w:val="Heading1"/>
        <w:jc w:val="center"/>
        <w:rPr>
          <w:rFonts w:ascii="Arial" w:eastAsia="Arial" w:hAnsi="Arial" w:cs="Arial"/>
        </w:rPr>
      </w:pPr>
    </w:p>
    <w:p w14:paraId="16C1A786" w14:textId="77777777" w:rsidR="009F0C56" w:rsidRDefault="009F0C56"/>
    <w:p w14:paraId="1E448D28" w14:textId="77777777" w:rsidR="009F0C56" w:rsidRDefault="009F0C56"/>
    <w:p w14:paraId="46E80A54" w14:textId="77777777" w:rsidR="009F0C56" w:rsidRDefault="00653842">
      <w:pPr>
        <w:pStyle w:val="Heading1"/>
        <w:jc w:val="center"/>
        <w:rPr>
          <w:rFonts w:ascii="Arial" w:eastAsia="Arial" w:hAnsi="Arial" w:cs="Arial"/>
        </w:rPr>
      </w:pPr>
      <w:bookmarkStart w:id="1" w:name="_Toc240965932"/>
      <w:r>
        <w:rPr>
          <w:rFonts w:ascii="Arial" w:eastAsia="Arial" w:hAnsi="Arial" w:cs="Arial"/>
        </w:rPr>
        <w:lastRenderedPageBreak/>
        <w:t>Abstract</w:t>
      </w:r>
      <w:bookmarkEnd w:id="1"/>
    </w:p>
    <w:p w14:paraId="4EE10757" w14:textId="77777777" w:rsidR="009F0C56" w:rsidRDefault="009F0C56"/>
    <w:p w14:paraId="29E371BE" w14:textId="77777777" w:rsidR="009F0C56" w:rsidRDefault="009F0C56"/>
    <w:p w14:paraId="158F5766" w14:textId="77777777" w:rsidR="009F0C56" w:rsidRDefault="009F0C56"/>
    <w:p w14:paraId="3718A192" w14:textId="5E9E8CAF" w:rsidR="009F0C56" w:rsidRDefault="00653842">
      <w:pPr>
        <w:pBdr>
          <w:top w:val="nil"/>
          <w:left w:val="nil"/>
          <w:bottom w:val="nil"/>
          <w:right w:val="nil"/>
          <w:between w:val="nil"/>
        </w:pBdr>
        <w:spacing w:line="240" w:lineRule="auto"/>
        <w:jc w:val="center"/>
        <w:rPr>
          <w:rFonts w:ascii="Arial" w:eastAsia="Arial" w:hAnsi="Arial" w:cs="Arial"/>
          <w:color w:val="000000"/>
        </w:rPr>
      </w:pPr>
      <w:r>
        <w:rPr>
          <w:rFonts w:ascii="Arial" w:eastAsia="Arial" w:hAnsi="Arial" w:cs="Arial"/>
          <w:color w:val="000000"/>
        </w:rPr>
        <w:t xml:space="preserve">This investigation examines how settler colonialism obscures Indigeneity behind the settler Indian caricature. Making Indigenous presence </w:t>
      </w:r>
      <w:r w:rsidR="00CF2C48">
        <w:rPr>
          <w:rFonts w:ascii="Arial" w:eastAsia="Arial" w:hAnsi="Arial" w:cs="Arial"/>
          <w:color w:val="000000"/>
        </w:rPr>
        <w:t>visible, legible, and accessible only</w:t>
      </w:r>
      <w:r>
        <w:rPr>
          <w:rFonts w:ascii="Arial" w:eastAsia="Arial" w:hAnsi="Arial" w:cs="Arial"/>
          <w:color w:val="000000"/>
        </w:rPr>
        <w:t xml:space="preserve"> within the settler colonial landscape of South Florida when attributed within settler colonial Indian representations around tourism. To analyse how settler colonial structures create these Indian representations, this thesis explores the ancestral land of the Seminole and Miccosukee peoples. In this, the field of study does not analyse Indigenous representations but rather settler Indian representations.</w:t>
      </w:r>
    </w:p>
    <w:p w14:paraId="46FB3CC0" w14:textId="77777777" w:rsidR="009F0C56" w:rsidRDefault="00653842">
      <w:pPr>
        <w:pBdr>
          <w:top w:val="nil"/>
          <w:left w:val="nil"/>
          <w:bottom w:val="nil"/>
          <w:right w:val="nil"/>
          <w:between w:val="nil"/>
        </w:pBdr>
        <w:spacing w:line="240" w:lineRule="auto"/>
        <w:jc w:val="center"/>
        <w:rPr>
          <w:rFonts w:ascii="Arial" w:eastAsia="Arial" w:hAnsi="Arial" w:cs="Arial"/>
          <w:color w:val="000000"/>
        </w:rPr>
      </w:pPr>
      <w:r>
        <w:rPr>
          <w:rFonts w:ascii="Arial" w:eastAsia="Arial" w:hAnsi="Arial" w:cs="Arial"/>
          <w:color w:val="000000"/>
        </w:rPr>
        <w:t>To perform this, I draw on settler colonial theory, decolonial thought, and Indigenous scholarship. This introspection allows the research to situate and understand colonialism as an enduring structure that continues to organise space, memory, and visual culture in the present. While also being grounded in a decolonial methodological orientation, the thesis engages with urban and rural environments, tourist infrastructures, and public-facing cultural sites across South Florida to examine how representations</w:t>
      </w:r>
      <w:r>
        <w:rPr>
          <w:rFonts w:ascii="Arial" w:eastAsia="Arial" w:hAnsi="Arial" w:cs="Arial"/>
          <w:color w:val="000000"/>
        </w:rPr>
        <w:t xml:space="preserve"> are colonially manipulated.</w:t>
      </w:r>
    </w:p>
    <w:p w14:paraId="2F565C01" w14:textId="77777777" w:rsidR="009F0C56" w:rsidRDefault="00653842">
      <w:pPr>
        <w:pBdr>
          <w:top w:val="nil"/>
          <w:left w:val="nil"/>
          <w:bottom w:val="nil"/>
          <w:right w:val="nil"/>
          <w:between w:val="nil"/>
        </w:pBdr>
        <w:spacing w:line="240" w:lineRule="auto"/>
        <w:jc w:val="center"/>
        <w:rPr>
          <w:rFonts w:ascii="Arial" w:eastAsia="Arial" w:hAnsi="Arial" w:cs="Arial"/>
          <w:color w:val="000000"/>
        </w:rPr>
      </w:pPr>
      <w:r>
        <w:rPr>
          <w:rFonts w:ascii="Arial" w:eastAsia="Arial" w:hAnsi="Arial" w:cs="Arial"/>
          <w:color w:val="000000"/>
        </w:rPr>
        <w:t>Through attention to visual, spatial, and textual forms, I examine and display how Indigenous representations circulate within everyday settler spaces, not as contemporaneous political subjects, but as aestheticised symbols that appear detached from land, history, and futurity. Thus, through situating South Florida as a site where spectacle and colonial power intersect, this research contributes to wider conversations in decolonial geography, visual culture, and Indigenous studies.</w:t>
      </w:r>
    </w:p>
    <w:p w14:paraId="1F146C6E" w14:textId="77777777" w:rsidR="009F0C56" w:rsidRDefault="00653842">
      <w:pPr>
        <w:pBdr>
          <w:top w:val="nil"/>
          <w:left w:val="nil"/>
          <w:bottom w:val="nil"/>
          <w:right w:val="nil"/>
          <w:between w:val="nil"/>
        </w:pBdr>
        <w:spacing w:line="240" w:lineRule="auto"/>
        <w:jc w:val="center"/>
        <w:rPr>
          <w:rFonts w:ascii="Arial" w:eastAsia="Arial" w:hAnsi="Arial" w:cs="Arial"/>
          <w:color w:val="000000"/>
        </w:rPr>
      </w:pPr>
      <w:r>
        <w:rPr>
          <w:rFonts w:ascii="Arial" w:eastAsia="Arial" w:hAnsi="Arial" w:cs="Arial"/>
          <w:color w:val="000000"/>
        </w:rPr>
        <w:t>Overall, this work highlights the need for a reconsideration of the unfettered display and consumption of Indigenous representations. Which remain central to the reproduction of the settler colonial order of assimilation and erasure. Thus, an active acknowledgement and engagement with the coloniality of representation is needed that frames Indigenous peoples within their own economic, social, and representational sovereignty.</w:t>
      </w:r>
    </w:p>
    <w:p w14:paraId="6D90782C" w14:textId="77777777" w:rsidR="009F0C56" w:rsidRDefault="009F0C56"/>
    <w:p w14:paraId="5A5F235F" w14:textId="77777777" w:rsidR="009F0C56" w:rsidRDefault="009F0C56"/>
    <w:p w14:paraId="0EDCE93A" w14:textId="77777777" w:rsidR="009F0C56" w:rsidRDefault="00653842">
      <w:r>
        <w:br w:type="page"/>
      </w:r>
    </w:p>
    <w:p w14:paraId="4BEC1742" w14:textId="77777777" w:rsidR="009F0C56" w:rsidRDefault="00653842">
      <w:pPr>
        <w:pStyle w:val="Heading1"/>
        <w:rPr>
          <w:rFonts w:ascii="Arial" w:eastAsia="Arial" w:hAnsi="Arial" w:cs="Arial"/>
        </w:rPr>
      </w:pPr>
      <w:bookmarkStart w:id="2" w:name="_Toc240965933"/>
      <w:r>
        <w:rPr>
          <w:rFonts w:ascii="Arial" w:eastAsia="Arial" w:hAnsi="Arial" w:cs="Arial"/>
        </w:rPr>
        <w:lastRenderedPageBreak/>
        <w:t>List of Images</w:t>
      </w:r>
      <w:bookmarkEnd w:id="2"/>
      <w:r>
        <w:rPr>
          <w:rFonts w:ascii="Arial" w:eastAsia="Arial" w:hAnsi="Arial" w:cs="Arial"/>
        </w:rPr>
        <w:t xml:space="preserve"> </w:t>
      </w:r>
    </w:p>
    <w:p w14:paraId="3B4519DD" w14:textId="77777777" w:rsidR="009F0C56" w:rsidRDefault="009F0C56"/>
    <w:p w14:paraId="64FE19C9" w14:textId="77777777" w:rsidR="009F0C56" w:rsidRDefault="00653842">
      <w:pPr>
        <w:pBdr>
          <w:top w:val="nil"/>
          <w:left w:val="nil"/>
          <w:bottom w:val="nil"/>
          <w:right w:val="nil"/>
          <w:between w:val="nil"/>
        </w:pBdr>
        <w:spacing w:line="240" w:lineRule="auto"/>
        <w:rPr>
          <w:rFonts w:ascii="Arial" w:eastAsia="Arial" w:hAnsi="Arial" w:cs="Arial"/>
          <w:color w:val="000000"/>
          <w:sz w:val="20"/>
          <w:szCs w:val="20"/>
        </w:rPr>
      </w:pPr>
      <w:r>
        <w:rPr>
          <w:rFonts w:ascii="Arial" w:eastAsia="Arial" w:hAnsi="Arial" w:cs="Arial"/>
          <w:sz w:val="20"/>
          <w:szCs w:val="20"/>
        </w:rPr>
        <w:t>Figure 1:</w:t>
      </w:r>
      <w:r>
        <w:rPr>
          <w:rFonts w:ascii="Arial" w:eastAsia="Arial" w:hAnsi="Arial" w:cs="Arial"/>
          <w:color w:val="000000"/>
          <w:sz w:val="20"/>
          <w:szCs w:val="20"/>
        </w:rPr>
        <w:t xml:space="preserve"> Miccosukee Indian village entrance, 15/07/2023 (Virk 2023). Pg 69</w:t>
      </w:r>
    </w:p>
    <w:p w14:paraId="03302072" w14:textId="77777777" w:rsidR="009F0C56" w:rsidRDefault="00653842">
      <w:pPr>
        <w:pBdr>
          <w:top w:val="nil"/>
          <w:left w:val="nil"/>
          <w:bottom w:val="nil"/>
          <w:right w:val="nil"/>
          <w:between w:val="nil"/>
        </w:pBdr>
        <w:spacing w:line="240" w:lineRule="auto"/>
        <w:rPr>
          <w:rFonts w:ascii="Arial" w:eastAsia="Arial" w:hAnsi="Arial" w:cs="Arial"/>
          <w:color w:val="000000"/>
          <w:sz w:val="20"/>
          <w:szCs w:val="20"/>
        </w:rPr>
      </w:pPr>
      <w:r>
        <w:rPr>
          <w:rFonts w:ascii="Arial" w:eastAsia="Arial" w:hAnsi="Arial" w:cs="Arial"/>
          <w:color w:val="000000"/>
          <w:sz w:val="20"/>
          <w:szCs w:val="20"/>
        </w:rPr>
        <w:t>Figure 2: Chickee-inspired hut on Hollywood promenade. Photo: (Virk 2023). Pg 75</w:t>
      </w:r>
    </w:p>
    <w:p w14:paraId="68596285" w14:textId="77777777" w:rsidR="009F0C56" w:rsidRDefault="00653842">
      <w:pPr>
        <w:pBdr>
          <w:top w:val="nil"/>
          <w:left w:val="nil"/>
          <w:bottom w:val="nil"/>
          <w:right w:val="nil"/>
          <w:between w:val="nil"/>
        </w:pBdr>
        <w:spacing w:before="280" w:after="280" w:line="240" w:lineRule="auto"/>
        <w:rPr>
          <w:rFonts w:ascii="Arial" w:eastAsia="Arial" w:hAnsi="Arial" w:cs="Arial"/>
          <w:color w:val="000000"/>
          <w:sz w:val="20"/>
          <w:szCs w:val="20"/>
        </w:rPr>
      </w:pPr>
      <w:r>
        <w:rPr>
          <w:rFonts w:ascii="Arial" w:eastAsia="Arial" w:hAnsi="Arial" w:cs="Arial"/>
          <w:color w:val="000000"/>
          <w:sz w:val="20"/>
          <w:szCs w:val="20"/>
        </w:rPr>
        <w:t>Figure 3: Miccosukee Tiger Clan Island, conservation and previous settlement, 16/06/2023: (Virk, 2023). Pg 76</w:t>
      </w:r>
    </w:p>
    <w:p w14:paraId="48256F7F" w14:textId="6BEE9F0A" w:rsidR="009F0C56" w:rsidRDefault="00653842">
      <w:pPr>
        <w:pBdr>
          <w:top w:val="nil"/>
          <w:left w:val="nil"/>
          <w:bottom w:val="nil"/>
          <w:right w:val="nil"/>
          <w:between w:val="nil"/>
        </w:pBdr>
        <w:spacing w:before="280" w:after="280" w:line="240" w:lineRule="auto"/>
        <w:rPr>
          <w:rFonts w:ascii="Arial" w:eastAsia="Arial" w:hAnsi="Arial" w:cs="Arial"/>
          <w:color w:val="000000"/>
          <w:sz w:val="20"/>
          <w:szCs w:val="20"/>
        </w:rPr>
      </w:pPr>
      <w:r>
        <w:rPr>
          <w:rFonts w:ascii="Arial" w:eastAsia="Arial" w:hAnsi="Arial" w:cs="Arial"/>
          <w:color w:val="000000"/>
          <w:sz w:val="20"/>
          <w:szCs w:val="20"/>
        </w:rPr>
        <w:t>Figure 4: Ah-Tah-Thi-Ki Museum walkway, 14/06/2023:  (Virk</w:t>
      </w:r>
      <w:r w:rsidR="00CF2C48">
        <w:rPr>
          <w:rFonts w:ascii="Arial" w:eastAsia="Arial" w:hAnsi="Arial" w:cs="Arial"/>
          <w:color w:val="000000"/>
          <w:sz w:val="20"/>
          <w:szCs w:val="20"/>
        </w:rPr>
        <w:t>,</w:t>
      </w:r>
      <w:r>
        <w:rPr>
          <w:rFonts w:ascii="Arial" w:eastAsia="Arial" w:hAnsi="Arial" w:cs="Arial"/>
          <w:color w:val="000000"/>
          <w:sz w:val="20"/>
          <w:szCs w:val="20"/>
        </w:rPr>
        <w:t xml:space="preserve"> 2023). Pg 76</w:t>
      </w:r>
    </w:p>
    <w:p w14:paraId="5F332A2F" w14:textId="045E7C3A" w:rsidR="009F0C56" w:rsidRDefault="00653842">
      <w:pPr>
        <w:pBdr>
          <w:top w:val="nil"/>
          <w:left w:val="nil"/>
          <w:bottom w:val="nil"/>
          <w:right w:val="nil"/>
          <w:between w:val="nil"/>
        </w:pBdr>
        <w:spacing w:before="280" w:after="280" w:line="240" w:lineRule="auto"/>
        <w:rPr>
          <w:rFonts w:ascii="Arial" w:eastAsia="Arial" w:hAnsi="Arial" w:cs="Arial"/>
          <w:color w:val="000000"/>
          <w:sz w:val="20"/>
          <w:szCs w:val="20"/>
        </w:rPr>
      </w:pPr>
      <w:r>
        <w:rPr>
          <w:rFonts w:ascii="Arial" w:eastAsia="Arial" w:hAnsi="Arial" w:cs="Arial"/>
          <w:color w:val="000000"/>
          <w:sz w:val="20"/>
          <w:szCs w:val="20"/>
        </w:rPr>
        <w:t>Figure 5: Chickee-inspired building in the residential settler area of Plantation, 10/06/2023 (Virk</w:t>
      </w:r>
      <w:r w:rsidR="00CF2C48">
        <w:rPr>
          <w:rFonts w:ascii="Arial" w:eastAsia="Arial" w:hAnsi="Arial" w:cs="Arial"/>
          <w:color w:val="000000"/>
          <w:sz w:val="20"/>
          <w:szCs w:val="20"/>
        </w:rPr>
        <w:t>,</w:t>
      </w:r>
      <w:r>
        <w:rPr>
          <w:rFonts w:ascii="Arial" w:eastAsia="Arial" w:hAnsi="Arial" w:cs="Arial"/>
          <w:color w:val="000000"/>
          <w:sz w:val="20"/>
          <w:szCs w:val="20"/>
        </w:rPr>
        <w:t xml:space="preserve"> 2023). Pg 77</w:t>
      </w:r>
    </w:p>
    <w:p w14:paraId="48E63F1D" w14:textId="77777777" w:rsidR="009F0C56" w:rsidRDefault="00653842">
      <w:pPr>
        <w:pBdr>
          <w:top w:val="nil"/>
          <w:left w:val="nil"/>
          <w:bottom w:val="nil"/>
          <w:right w:val="nil"/>
          <w:between w:val="nil"/>
        </w:pBdr>
        <w:spacing w:before="280" w:after="280" w:line="240" w:lineRule="auto"/>
        <w:rPr>
          <w:rFonts w:ascii="Arial" w:eastAsia="Arial" w:hAnsi="Arial" w:cs="Arial"/>
          <w:color w:val="000000"/>
          <w:sz w:val="20"/>
          <w:szCs w:val="20"/>
        </w:rPr>
      </w:pPr>
      <w:r>
        <w:rPr>
          <w:rFonts w:ascii="Arial" w:eastAsia="Arial" w:hAnsi="Arial" w:cs="Arial"/>
          <w:color w:val="000000"/>
          <w:sz w:val="20"/>
          <w:szCs w:val="20"/>
        </w:rPr>
        <w:t xml:space="preserve">Figure 6: Gator Park Inc. entrance, 20/06/2023 (Virk 2023). Pg 82 </w:t>
      </w:r>
    </w:p>
    <w:p w14:paraId="441026E8" w14:textId="77777777" w:rsidR="009F0C56" w:rsidRDefault="00653842">
      <w:pPr>
        <w:spacing w:before="280" w:after="280" w:line="240" w:lineRule="auto"/>
        <w:rPr>
          <w:rFonts w:ascii="Arial" w:eastAsia="Arial" w:hAnsi="Arial" w:cs="Arial"/>
          <w:color w:val="000000"/>
          <w:sz w:val="20"/>
          <w:szCs w:val="20"/>
        </w:rPr>
      </w:pPr>
      <w:r>
        <w:rPr>
          <w:rFonts w:ascii="Arial" w:eastAsia="Arial" w:hAnsi="Arial" w:cs="Arial"/>
          <w:color w:val="000000"/>
          <w:sz w:val="20"/>
          <w:szCs w:val="20"/>
        </w:rPr>
        <w:t>Figure 7: Gator Park Website – Miccosukee section, 20/01/2024 (GatorParkInc, 2024). Pg 85</w:t>
      </w:r>
    </w:p>
    <w:p w14:paraId="3AB17749" w14:textId="77777777" w:rsidR="009F0C56" w:rsidRDefault="00653842">
      <w:pPr>
        <w:spacing w:before="240" w:after="240" w:line="240" w:lineRule="auto"/>
        <w:rPr>
          <w:rFonts w:ascii="Arial" w:eastAsia="Arial" w:hAnsi="Arial" w:cs="Arial"/>
          <w:sz w:val="20"/>
          <w:szCs w:val="20"/>
        </w:rPr>
      </w:pPr>
      <w:r>
        <w:rPr>
          <w:rFonts w:ascii="Arial" w:eastAsia="Arial" w:hAnsi="Arial" w:cs="Arial"/>
          <w:color w:val="000000"/>
          <w:sz w:val="20"/>
          <w:szCs w:val="20"/>
        </w:rPr>
        <w:t>Figure 8: covers of books in Barnes and Noble Book Shop Miami, 19/07/23 (Virk 2023). Pg 97</w:t>
      </w:r>
    </w:p>
    <w:p w14:paraId="4539FFAA" w14:textId="77777777" w:rsidR="009F0C56" w:rsidRDefault="00653842">
      <w:pPr>
        <w:pBdr>
          <w:top w:val="nil"/>
          <w:left w:val="nil"/>
          <w:bottom w:val="nil"/>
          <w:right w:val="nil"/>
          <w:between w:val="nil"/>
        </w:pBdr>
        <w:spacing w:before="240" w:after="240" w:line="240" w:lineRule="auto"/>
        <w:rPr>
          <w:rFonts w:ascii="Arial" w:eastAsia="Arial" w:hAnsi="Arial" w:cs="Arial"/>
          <w:color w:val="000000"/>
          <w:sz w:val="20"/>
          <w:szCs w:val="20"/>
        </w:rPr>
      </w:pPr>
      <w:r>
        <w:rPr>
          <w:rFonts w:ascii="Arial" w:eastAsia="Arial" w:hAnsi="Arial" w:cs="Arial"/>
          <w:color w:val="000000"/>
          <w:sz w:val="20"/>
          <w:szCs w:val="20"/>
        </w:rPr>
        <w:t>Figure 9: Dream catcher shop door entrance, Coral Gables High Street. 10/07/2023. (Virk 2023). Pg 99</w:t>
      </w:r>
    </w:p>
    <w:p w14:paraId="5D11F5EC" w14:textId="77777777" w:rsidR="009F0C56" w:rsidRDefault="00653842">
      <w:pPr>
        <w:pBdr>
          <w:top w:val="nil"/>
          <w:left w:val="nil"/>
          <w:bottom w:val="nil"/>
          <w:right w:val="nil"/>
          <w:between w:val="nil"/>
        </w:pBdr>
        <w:spacing w:before="240" w:after="240" w:line="240" w:lineRule="auto"/>
        <w:rPr>
          <w:rFonts w:ascii="Arial" w:eastAsia="Arial" w:hAnsi="Arial" w:cs="Arial"/>
          <w:color w:val="000000"/>
          <w:sz w:val="20"/>
          <w:szCs w:val="20"/>
        </w:rPr>
      </w:pPr>
      <w:r>
        <w:rPr>
          <w:rFonts w:ascii="Arial" w:eastAsia="Arial" w:hAnsi="Arial" w:cs="Arial"/>
          <w:color w:val="000000"/>
          <w:sz w:val="20"/>
          <w:szCs w:val="20"/>
        </w:rPr>
        <w:t xml:space="preserve">Figure 10: Settler airboat store on Tamiami Trail. 21/07/2023 (Virk 2023). Pg 101 </w:t>
      </w:r>
    </w:p>
    <w:p w14:paraId="15143E6C" w14:textId="77777777" w:rsidR="009F0C56" w:rsidRDefault="00653842">
      <w:pPr>
        <w:pBdr>
          <w:top w:val="nil"/>
          <w:left w:val="nil"/>
          <w:bottom w:val="nil"/>
          <w:right w:val="nil"/>
          <w:between w:val="nil"/>
        </w:pBdr>
        <w:spacing w:before="240" w:after="240" w:line="240" w:lineRule="auto"/>
        <w:rPr>
          <w:rFonts w:ascii="Arial" w:eastAsia="Arial" w:hAnsi="Arial" w:cs="Arial"/>
          <w:sz w:val="20"/>
          <w:szCs w:val="20"/>
        </w:rPr>
      </w:pPr>
      <w:r>
        <w:rPr>
          <w:rFonts w:ascii="Arial" w:eastAsia="Arial" w:hAnsi="Arial" w:cs="Arial"/>
          <w:color w:val="000000"/>
          <w:sz w:val="20"/>
          <w:szCs w:val="20"/>
        </w:rPr>
        <w:t xml:space="preserve">Figure 11: Wynwood district street graffiti 09/07/23 (Virk 2023). Pg 104 </w:t>
      </w:r>
    </w:p>
    <w:p w14:paraId="44AB66FD" w14:textId="3284293A" w:rsidR="009F0C56" w:rsidRDefault="00653842">
      <w:pPr>
        <w:pBdr>
          <w:top w:val="nil"/>
          <w:left w:val="nil"/>
          <w:bottom w:val="nil"/>
          <w:right w:val="nil"/>
          <w:between w:val="nil"/>
        </w:pBdr>
        <w:spacing w:line="240" w:lineRule="auto"/>
        <w:rPr>
          <w:rFonts w:ascii="Arial" w:eastAsia="Arial" w:hAnsi="Arial" w:cs="Arial"/>
          <w:color w:val="000000"/>
          <w:sz w:val="20"/>
          <w:szCs w:val="20"/>
        </w:rPr>
      </w:pPr>
      <w:r>
        <w:rPr>
          <w:rFonts w:ascii="Arial" w:eastAsia="Arial" w:hAnsi="Arial" w:cs="Arial"/>
          <w:color w:val="000000"/>
          <w:sz w:val="20"/>
          <w:szCs w:val="20"/>
        </w:rPr>
        <w:t xml:space="preserve">Figure 12:  </w:t>
      </w:r>
      <w:r>
        <w:rPr>
          <w:rFonts w:ascii="Arial" w:eastAsia="Arial" w:hAnsi="Arial" w:cs="Arial"/>
          <w:sz w:val="20"/>
          <w:szCs w:val="20"/>
        </w:rPr>
        <w:t xml:space="preserve">Entrance to Miccosukee Indian Village: annotated </w:t>
      </w:r>
      <w:r w:rsidR="00CF2C48">
        <w:rPr>
          <w:rFonts w:ascii="Arial" w:eastAsia="Arial" w:hAnsi="Arial" w:cs="Arial"/>
          <w:sz w:val="20"/>
          <w:szCs w:val="20"/>
        </w:rPr>
        <w:t xml:space="preserve">with </w:t>
      </w:r>
      <w:r>
        <w:rPr>
          <w:rFonts w:ascii="Arial" w:eastAsia="Arial" w:hAnsi="Arial" w:cs="Arial"/>
          <w:sz w:val="20"/>
          <w:szCs w:val="20"/>
        </w:rPr>
        <w:t>two circles, 15/07/2023 (Virk 2023). Pg 109</w:t>
      </w:r>
    </w:p>
    <w:p w14:paraId="7E9AC2C3" w14:textId="2CF9FF5E" w:rsidR="009F0C56" w:rsidRDefault="00653842">
      <w:pPr>
        <w:rPr>
          <w:rFonts w:ascii="Arial" w:eastAsia="Arial" w:hAnsi="Arial" w:cs="Arial"/>
          <w:sz w:val="20"/>
          <w:szCs w:val="20"/>
        </w:rPr>
      </w:pPr>
      <w:r>
        <w:rPr>
          <w:rFonts w:ascii="Arial" w:eastAsia="Arial" w:hAnsi="Arial" w:cs="Arial"/>
          <w:sz w:val="20"/>
          <w:szCs w:val="20"/>
        </w:rPr>
        <w:t xml:space="preserve">Figure 13: Tamani </w:t>
      </w:r>
      <w:r w:rsidR="00CF2C48">
        <w:rPr>
          <w:rFonts w:ascii="Arial" w:eastAsia="Arial" w:hAnsi="Arial" w:cs="Arial"/>
          <w:sz w:val="20"/>
          <w:szCs w:val="20"/>
        </w:rPr>
        <w:t>Trail</w:t>
      </w:r>
      <w:r>
        <w:rPr>
          <w:rFonts w:ascii="Arial" w:eastAsia="Arial" w:hAnsi="Arial" w:cs="Arial"/>
          <w:sz w:val="20"/>
          <w:szCs w:val="20"/>
        </w:rPr>
        <w:t xml:space="preserve"> author created a map. Pg 110</w:t>
      </w:r>
    </w:p>
    <w:p w14:paraId="122E9E4A" w14:textId="77777777" w:rsidR="009F0C56" w:rsidRDefault="00653842">
      <w:pPr>
        <w:spacing w:line="240" w:lineRule="auto"/>
        <w:rPr>
          <w:rFonts w:ascii="Arial" w:eastAsia="Arial" w:hAnsi="Arial" w:cs="Arial"/>
          <w:color w:val="000000"/>
          <w:sz w:val="20"/>
          <w:szCs w:val="20"/>
          <w:highlight w:val="white"/>
        </w:rPr>
      </w:pPr>
      <w:r>
        <w:rPr>
          <w:rFonts w:ascii="Arial" w:eastAsia="Arial" w:hAnsi="Arial" w:cs="Arial"/>
          <w:color w:val="000000"/>
          <w:sz w:val="20"/>
          <w:szCs w:val="20"/>
          <w:highlight w:val="white"/>
        </w:rPr>
        <w:t>Figure 14: Seminole tobacco trading post located in the Hollywood reservation. Now closed. 13/07/2023 (Virk 2023). Pg 112</w:t>
      </w:r>
    </w:p>
    <w:p w14:paraId="217B42A5" w14:textId="77777777" w:rsidR="009F0C56" w:rsidRDefault="00653842">
      <w:pPr>
        <w:rPr>
          <w:rFonts w:ascii="Arial" w:eastAsia="Arial" w:hAnsi="Arial" w:cs="Arial"/>
          <w:sz w:val="20"/>
          <w:szCs w:val="20"/>
        </w:rPr>
      </w:pPr>
      <w:r>
        <w:rPr>
          <w:rFonts w:ascii="Arial" w:eastAsia="Arial" w:hAnsi="Arial" w:cs="Arial"/>
          <w:sz w:val="20"/>
          <w:szCs w:val="20"/>
        </w:rPr>
        <w:t xml:space="preserve">Figure 15: Indigenous statue outside of a cigar shop located in the Little Havana district 18/07/2023 (Virk 2023). Pg 119 </w:t>
      </w:r>
    </w:p>
    <w:p w14:paraId="10B86B8B" w14:textId="4D5AD038" w:rsidR="009F0C56" w:rsidRDefault="00653842">
      <w:pPr>
        <w:spacing w:line="240" w:lineRule="auto"/>
        <w:rPr>
          <w:rFonts w:ascii="Arial" w:eastAsia="Arial" w:hAnsi="Arial" w:cs="Arial"/>
          <w:sz w:val="20"/>
          <w:szCs w:val="20"/>
        </w:rPr>
      </w:pPr>
      <w:r>
        <w:rPr>
          <w:rFonts w:ascii="Arial" w:eastAsia="Arial" w:hAnsi="Arial" w:cs="Arial"/>
          <w:sz w:val="20"/>
          <w:szCs w:val="20"/>
        </w:rPr>
        <w:t>Figure 16: Taco Truck is located in Indian Town</w:t>
      </w:r>
      <w:r w:rsidR="00CF2C48">
        <w:rPr>
          <w:rFonts w:ascii="Arial" w:eastAsia="Arial" w:hAnsi="Arial" w:cs="Arial"/>
          <w:sz w:val="20"/>
          <w:szCs w:val="20"/>
        </w:rPr>
        <w:t>,</w:t>
      </w:r>
      <w:r>
        <w:rPr>
          <w:rFonts w:ascii="Arial" w:eastAsia="Arial" w:hAnsi="Arial" w:cs="Arial"/>
          <w:sz w:val="20"/>
          <w:szCs w:val="20"/>
        </w:rPr>
        <w:t xml:space="preserve"> Florida. Truck name “La India Bonita” 20/07/2023 (Virk 2023). Pg 125</w:t>
      </w:r>
    </w:p>
    <w:p w14:paraId="0E025E6F" w14:textId="4D9632F0" w:rsidR="009F0C56" w:rsidRDefault="00653842">
      <w:pPr>
        <w:spacing w:line="240" w:lineRule="auto"/>
        <w:rPr>
          <w:rFonts w:ascii="Arial" w:eastAsia="Arial" w:hAnsi="Arial" w:cs="Arial"/>
          <w:sz w:val="20"/>
          <w:szCs w:val="20"/>
        </w:rPr>
      </w:pPr>
      <w:r>
        <w:rPr>
          <w:rFonts w:ascii="Arial" w:eastAsia="Arial" w:hAnsi="Arial" w:cs="Arial"/>
          <w:sz w:val="20"/>
          <w:szCs w:val="20"/>
        </w:rPr>
        <w:t xml:space="preserve">Figure 17: Seminole Inn, located in Indian </w:t>
      </w:r>
      <w:r w:rsidR="00CF2C48">
        <w:rPr>
          <w:rFonts w:ascii="Arial" w:eastAsia="Arial" w:hAnsi="Arial" w:cs="Arial"/>
          <w:sz w:val="20"/>
          <w:szCs w:val="20"/>
        </w:rPr>
        <w:t>Town</w:t>
      </w:r>
      <w:r>
        <w:rPr>
          <w:rFonts w:ascii="Arial" w:eastAsia="Arial" w:hAnsi="Arial" w:cs="Arial"/>
          <w:sz w:val="20"/>
          <w:szCs w:val="20"/>
        </w:rPr>
        <w:t>, 20/07/2023 (Virk 2023). Pg 127</w:t>
      </w:r>
    </w:p>
    <w:p w14:paraId="0BED7EE0" w14:textId="77777777" w:rsidR="009F0C56" w:rsidRDefault="00653842">
      <w:pPr>
        <w:spacing w:line="240" w:lineRule="auto"/>
        <w:rPr>
          <w:rFonts w:ascii="Arial" w:eastAsia="Arial" w:hAnsi="Arial" w:cs="Arial"/>
          <w:sz w:val="20"/>
          <w:szCs w:val="20"/>
        </w:rPr>
      </w:pPr>
      <w:r>
        <w:rPr>
          <w:rFonts w:ascii="Arial" w:eastAsia="Arial" w:hAnsi="Arial" w:cs="Arial"/>
          <w:sz w:val="20"/>
          <w:szCs w:val="20"/>
        </w:rPr>
        <w:t>Figure 18:  Barnes and Noble Miami, Indigenous section, 19/07/2023 (Virk 2023). Pg 129</w:t>
      </w:r>
    </w:p>
    <w:p w14:paraId="312913D8" w14:textId="77777777" w:rsidR="009F0C56" w:rsidRDefault="00653842">
      <w:pPr>
        <w:spacing w:before="240" w:after="240" w:line="240" w:lineRule="auto"/>
        <w:rPr>
          <w:rFonts w:ascii="Arial" w:eastAsia="Arial" w:hAnsi="Arial" w:cs="Arial"/>
          <w:sz w:val="20"/>
          <w:szCs w:val="20"/>
        </w:rPr>
      </w:pPr>
      <w:r>
        <w:rPr>
          <w:rFonts w:ascii="Arial" w:eastAsia="Arial" w:hAnsi="Arial" w:cs="Arial"/>
          <w:sz w:val="20"/>
          <w:szCs w:val="20"/>
        </w:rPr>
        <w:t>Figure 19: Wynwood district – shop selling Indigenous-inspired wear. 9/07/23 (Virk 2023). Pg 132</w:t>
      </w:r>
    </w:p>
    <w:p w14:paraId="0FEB0F5A" w14:textId="77777777" w:rsidR="009F0C56" w:rsidRDefault="00653842">
      <w:pPr>
        <w:rPr>
          <w:rFonts w:ascii="Arial" w:eastAsia="Arial" w:hAnsi="Arial" w:cs="Arial"/>
          <w:sz w:val="20"/>
          <w:szCs w:val="20"/>
        </w:rPr>
      </w:pPr>
      <w:r>
        <w:rPr>
          <w:rFonts w:ascii="Arial" w:eastAsia="Arial" w:hAnsi="Arial" w:cs="Arial"/>
          <w:sz w:val="20"/>
          <w:szCs w:val="20"/>
        </w:rPr>
        <w:t>Figure 20: Noah Billie Painting “untitled” (1992 Seminole). Pg 161</w:t>
      </w:r>
    </w:p>
    <w:p w14:paraId="47B8A6EB" w14:textId="77777777" w:rsidR="009F0C56" w:rsidRDefault="00653842">
      <w:pPr>
        <w:rPr>
          <w:rFonts w:ascii="Arial" w:eastAsia="Arial" w:hAnsi="Arial" w:cs="Arial"/>
          <w:sz w:val="20"/>
          <w:szCs w:val="20"/>
        </w:rPr>
      </w:pPr>
      <w:r>
        <w:rPr>
          <w:rFonts w:ascii="Arial" w:eastAsia="Arial" w:hAnsi="Arial" w:cs="Arial"/>
          <w:sz w:val="20"/>
          <w:szCs w:val="20"/>
        </w:rPr>
        <w:t xml:space="preserve">Figure 21: Miccosukee reservation, TigerTail clan airboat area. 16/072023 (Virk 2023). Pg 164 </w:t>
      </w:r>
    </w:p>
    <w:p w14:paraId="11E85A31" w14:textId="77777777" w:rsidR="009F0C56" w:rsidRDefault="00653842">
      <w:pPr>
        <w:rPr>
          <w:rFonts w:ascii="Arial" w:eastAsia="Arial" w:hAnsi="Arial" w:cs="Arial"/>
          <w:color w:val="262626"/>
          <w:sz w:val="20"/>
          <w:szCs w:val="20"/>
        </w:rPr>
      </w:pPr>
      <w:r>
        <w:rPr>
          <w:rFonts w:ascii="Arial" w:eastAsia="Arial" w:hAnsi="Arial" w:cs="Arial"/>
          <w:color w:val="262626"/>
          <w:sz w:val="20"/>
          <w:szCs w:val="20"/>
        </w:rPr>
        <w:t>Figure 22: Rubbish collection from Miccosukee lands, 15/06/2023 (Virk 2023). Pg 167</w:t>
      </w:r>
    </w:p>
    <w:p w14:paraId="19D8D4F5" w14:textId="22474AB5" w:rsidR="009F0C56" w:rsidRDefault="00653842">
      <w:pPr>
        <w:spacing w:before="280" w:after="280" w:line="240" w:lineRule="auto"/>
        <w:rPr>
          <w:rFonts w:ascii="Arial" w:eastAsia="Arial" w:hAnsi="Arial" w:cs="Arial"/>
          <w:sz w:val="20"/>
          <w:szCs w:val="20"/>
        </w:rPr>
      </w:pPr>
      <w:r>
        <w:rPr>
          <w:rFonts w:ascii="Arial" w:eastAsia="Arial" w:hAnsi="Arial" w:cs="Arial"/>
          <w:sz w:val="20"/>
          <w:szCs w:val="20"/>
        </w:rPr>
        <w:t xml:space="preserve">Figure 23: Ah-Tah-Thi-Ki Museum walkway, Big Cypress </w:t>
      </w:r>
      <w:r w:rsidR="00CF2C48">
        <w:rPr>
          <w:rFonts w:ascii="Arial" w:eastAsia="Arial" w:hAnsi="Arial" w:cs="Arial"/>
          <w:sz w:val="20"/>
          <w:szCs w:val="20"/>
        </w:rPr>
        <w:t>Reservation</w:t>
      </w:r>
      <w:r>
        <w:rPr>
          <w:rFonts w:ascii="Arial" w:eastAsia="Arial" w:hAnsi="Arial" w:cs="Arial"/>
          <w:sz w:val="20"/>
          <w:szCs w:val="20"/>
        </w:rPr>
        <w:t>. 14/06/2023 (Virk 2023). Pg 173</w:t>
      </w:r>
    </w:p>
    <w:p w14:paraId="2E6E7599" w14:textId="77777777" w:rsidR="009F0C56" w:rsidRDefault="00653842">
      <w:pPr>
        <w:spacing w:before="280" w:after="280" w:line="240" w:lineRule="auto"/>
        <w:rPr>
          <w:rFonts w:ascii="Arial" w:eastAsia="Arial" w:hAnsi="Arial" w:cs="Arial"/>
          <w:sz w:val="20"/>
          <w:szCs w:val="20"/>
        </w:rPr>
      </w:pPr>
      <w:r>
        <w:rPr>
          <w:rFonts w:ascii="Arial" w:eastAsia="Arial" w:hAnsi="Arial" w:cs="Arial"/>
          <w:sz w:val="20"/>
          <w:szCs w:val="20"/>
        </w:rPr>
        <w:lastRenderedPageBreak/>
        <w:t>Figure 24: TigerTail clan conservation area on a traditional hunting camp. 15/06/2023 (Virk 2023). Pg 174</w:t>
      </w:r>
    </w:p>
    <w:p w14:paraId="5EA24A11" w14:textId="77777777" w:rsidR="009F0C56" w:rsidRDefault="00653842">
      <w:pPr>
        <w:spacing w:before="280" w:after="280" w:line="240" w:lineRule="auto"/>
        <w:rPr>
          <w:rFonts w:ascii="Arial" w:eastAsia="Arial" w:hAnsi="Arial" w:cs="Arial"/>
          <w:color w:val="262626"/>
          <w:sz w:val="20"/>
          <w:szCs w:val="20"/>
        </w:rPr>
      </w:pPr>
      <w:r>
        <w:rPr>
          <w:rFonts w:ascii="Arial" w:eastAsia="Arial" w:hAnsi="Arial" w:cs="Arial"/>
          <w:color w:val="262626"/>
          <w:sz w:val="20"/>
          <w:szCs w:val="20"/>
        </w:rPr>
        <w:t>Figure 25: Warning sign in the Ah-Tah-Thi-Ki Museum Walkway 14/06/2023 (Virk 2023). Pg 175</w:t>
      </w:r>
    </w:p>
    <w:p w14:paraId="13006610" w14:textId="77777777" w:rsidR="009F0C56" w:rsidRDefault="00653842">
      <w:pPr>
        <w:rPr>
          <w:rFonts w:ascii="Arial" w:eastAsia="Arial" w:hAnsi="Arial" w:cs="Arial"/>
          <w:color w:val="262626"/>
          <w:sz w:val="20"/>
          <w:szCs w:val="20"/>
        </w:rPr>
      </w:pPr>
      <w:r>
        <w:rPr>
          <w:rFonts w:ascii="Arial" w:eastAsia="Arial" w:hAnsi="Arial" w:cs="Arial"/>
          <w:color w:val="262626"/>
          <w:sz w:val="20"/>
          <w:szCs w:val="20"/>
        </w:rPr>
        <w:t>Figure 26: Miami Circle, once a sacred Indigenous site, now a settler urban space 11/07/2023 (Virk 2023). Pg 179</w:t>
      </w:r>
    </w:p>
    <w:p w14:paraId="11583F45" w14:textId="77777777" w:rsidR="009F0C56" w:rsidRDefault="00653842">
      <w:pPr>
        <w:spacing w:before="280" w:after="280" w:line="240" w:lineRule="auto"/>
        <w:rPr>
          <w:rFonts w:ascii="Arial" w:eastAsia="Arial" w:hAnsi="Arial" w:cs="Arial"/>
          <w:color w:val="262626"/>
          <w:sz w:val="20"/>
          <w:szCs w:val="20"/>
        </w:rPr>
      </w:pPr>
      <w:r>
        <w:rPr>
          <w:rFonts w:ascii="Arial" w:eastAsia="Arial" w:hAnsi="Arial" w:cs="Arial"/>
          <w:color w:val="262626"/>
          <w:sz w:val="20"/>
          <w:szCs w:val="20"/>
        </w:rPr>
        <w:t>Figure 27: Miami Circle Plaque located in the image above. 11/07/2023 (Virk 2023). Pg 180</w:t>
      </w:r>
    </w:p>
    <w:p w14:paraId="017FEA2D" w14:textId="77777777" w:rsidR="009F0C56" w:rsidRDefault="00653842">
      <w:pPr>
        <w:rPr>
          <w:rFonts w:ascii="Arial" w:eastAsia="Arial" w:hAnsi="Arial" w:cs="Arial"/>
        </w:rPr>
      </w:pPr>
      <w:r>
        <w:br w:type="page"/>
      </w:r>
    </w:p>
    <w:p w14:paraId="234764FD" w14:textId="77777777" w:rsidR="009F0C56" w:rsidRDefault="00653842">
      <w:pPr>
        <w:pStyle w:val="Heading1"/>
        <w:rPr>
          <w:rFonts w:ascii="Arial" w:eastAsia="Arial" w:hAnsi="Arial" w:cs="Arial"/>
        </w:rPr>
      </w:pPr>
      <w:bookmarkStart w:id="3" w:name="_Toc240965934"/>
      <w:r>
        <w:rPr>
          <w:rFonts w:ascii="Arial" w:eastAsia="Arial" w:hAnsi="Arial" w:cs="Arial"/>
        </w:rPr>
        <w:lastRenderedPageBreak/>
        <w:t>Table of Content</w:t>
      </w:r>
      <w:bookmarkEnd w:id="3"/>
    </w:p>
    <w:p w14:paraId="04FA10F0" w14:textId="77777777" w:rsidR="009F0C56" w:rsidRDefault="009F0C56"/>
    <w:p w14:paraId="086869B2" w14:textId="77777777" w:rsidR="009F0C56" w:rsidRDefault="00653842">
      <w:pPr>
        <w:keepNext/>
        <w:keepLines/>
        <w:pBdr>
          <w:top w:val="nil"/>
          <w:left w:val="nil"/>
          <w:bottom w:val="nil"/>
          <w:right w:val="nil"/>
          <w:between w:val="nil"/>
        </w:pBdr>
        <w:spacing w:before="240" w:after="0" w:line="259" w:lineRule="auto"/>
        <w:rPr>
          <w:rFonts w:ascii="Arial" w:eastAsia="Arial" w:hAnsi="Arial" w:cs="Arial"/>
          <w:color w:val="0F4761"/>
          <w:sz w:val="32"/>
          <w:szCs w:val="32"/>
        </w:rPr>
      </w:pPr>
      <w:r>
        <w:rPr>
          <w:rFonts w:ascii="Arial" w:eastAsia="Arial" w:hAnsi="Arial" w:cs="Arial"/>
          <w:color w:val="0F4761"/>
          <w:sz w:val="32"/>
          <w:szCs w:val="32"/>
        </w:rPr>
        <w:t>Contents</w:t>
      </w:r>
    </w:p>
    <w:sdt>
      <w:sdtPr>
        <w:id w:val="-305144149"/>
        <w:docPartObj>
          <w:docPartGallery w:val="Table of Contents"/>
          <w:docPartUnique/>
        </w:docPartObj>
      </w:sdtPr>
      <w:sdtEndPr>
        <w:rPr>
          <w:rFonts w:ascii="Aptos" w:hAnsi="Aptos" w:cs="Aptos"/>
          <w:b w:val="0"/>
          <w:bCs w:val="0"/>
          <w:noProof w:val="0"/>
        </w:rPr>
      </w:sdtEndPr>
      <w:sdtContent>
        <w:p w14:paraId="02AF2B7A" w14:textId="411AE438" w:rsidR="00F44422" w:rsidRDefault="00653842">
          <w:pPr>
            <w:pStyle w:val="TOC1"/>
            <w:rPr>
              <w:rFonts w:asciiTheme="minorHAnsi" w:eastAsiaTheme="minorEastAsia" w:hAnsiTheme="minorHAnsi" w:cstheme="minorBidi"/>
              <w:b w:val="0"/>
              <w:bCs w:val="0"/>
              <w:kern w:val="2"/>
              <w14:ligatures w14:val="standardContextual"/>
            </w:rPr>
          </w:pPr>
          <w:r>
            <w:fldChar w:fldCharType="begin"/>
          </w:r>
          <w:r>
            <w:instrText xml:space="preserve"> TOC \h \u \z \t "Heading 1,1,Heading 2,2,Heading 3,3,"</w:instrText>
          </w:r>
          <w:r>
            <w:fldChar w:fldCharType="separate"/>
          </w:r>
          <w:hyperlink w:anchor="_Toc240965931" w:history="1">
            <w:r w:rsidR="00F44422">
              <w:rPr>
                <w:webHidden/>
              </w:rPr>
              <w:tab/>
            </w:r>
            <w:r w:rsidR="00F44422">
              <w:rPr>
                <w:webHidden/>
              </w:rPr>
              <w:fldChar w:fldCharType="begin"/>
            </w:r>
            <w:r w:rsidR="00F44422">
              <w:rPr>
                <w:webHidden/>
              </w:rPr>
              <w:instrText xml:space="preserve"> PAGEREF _Toc240965931 \h </w:instrText>
            </w:r>
            <w:r w:rsidR="00F44422">
              <w:rPr>
                <w:webHidden/>
              </w:rPr>
            </w:r>
            <w:r w:rsidR="00F44422">
              <w:rPr>
                <w:webHidden/>
              </w:rPr>
              <w:fldChar w:fldCharType="separate"/>
            </w:r>
            <w:r w:rsidR="00F44422">
              <w:rPr>
                <w:webHidden/>
              </w:rPr>
              <w:t>1</w:t>
            </w:r>
            <w:r w:rsidR="00F44422">
              <w:rPr>
                <w:webHidden/>
              </w:rPr>
              <w:fldChar w:fldCharType="end"/>
            </w:r>
          </w:hyperlink>
        </w:p>
        <w:p w14:paraId="152391CF" w14:textId="2F4AB169" w:rsidR="00F44422" w:rsidRDefault="00F44422">
          <w:pPr>
            <w:pStyle w:val="TOC1"/>
            <w:rPr>
              <w:rFonts w:asciiTheme="minorHAnsi" w:eastAsiaTheme="minorEastAsia" w:hAnsiTheme="minorHAnsi" w:cstheme="minorBidi"/>
              <w:b w:val="0"/>
              <w:bCs w:val="0"/>
              <w:kern w:val="2"/>
              <w14:ligatures w14:val="standardContextual"/>
            </w:rPr>
          </w:pPr>
          <w:hyperlink w:anchor="_Toc240965932" w:history="1">
            <w:r w:rsidRPr="00C85DA9">
              <w:rPr>
                <w:rStyle w:val="Hyperlink"/>
                <w:rFonts w:eastAsia="Arial"/>
              </w:rPr>
              <w:t>Abstract</w:t>
            </w:r>
            <w:r>
              <w:rPr>
                <w:webHidden/>
              </w:rPr>
              <w:tab/>
            </w:r>
            <w:r>
              <w:rPr>
                <w:webHidden/>
              </w:rPr>
              <w:fldChar w:fldCharType="begin"/>
            </w:r>
            <w:r>
              <w:rPr>
                <w:webHidden/>
              </w:rPr>
              <w:instrText xml:space="preserve"> PAGEREF _Toc240965932 \h </w:instrText>
            </w:r>
            <w:r>
              <w:rPr>
                <w:webHidden/>
              </w:rPr>
            </w:r>
            <w:r>
              <w:rPr>
                <w:webHidden/>
              </w:rPr>
              <w:fldChar w:fldCharType="separate"/>
            </w:r>
            <w:r>
              <w:rPr>
                <w:webHidden/>
              </w:rPr>
              <w:t>3</w:t>
            </w:r>
            <w:r>
              <w:rPr>
                <w:webHidden/>
              </w:rPr>
              <w:fldChar w:fldCharType="end"/>
            </w:r>
          </w:hyperlink>
        </w:p>
        <w:p w14:paraId="109D654E" w14:textId="03C8FFFB" w:rsidR="00F44422" w:rsidRDefault="00F44422">
          <w:pPr>
            <w:pStyle w:val="TOC1"/>
            <w:rPr>
              <w:rFonts w:asciiTheme="minorHAnsi" w:eastAsiaTheme="minorEastAsia" w:hAnsiTheme="minorHAnsi" w:cstheme="minorBidi"/>
              <w:b w:val="0"/>
              <w:bCs w:val="0"/>
              <w:kern w:val="2"/>
              <w14:ligatures w14:val="standardContextual"/>
            </w:rPr>
          </w:pPr>
          <w:hyperlink w:anchor="_Toc240965933" w:history="1">
            <w:r w:rsidRPr="00C85DA9">
              <w:rPr>
                <w:rStyle w:val="Hyperlink"/>
                <w:rFonts w:eastAsia="Arial"/>
              </w:rPr>
              <w:t>List of Images</w:t>
            </w:r>
            <w:r>
              <w:rPr>
                <w:webHidden/>
              </w:rPr>
              <w:tab/>
            </w:r>
            <w:r>
              <w:rPr>
                <w:webHidden/>
              </w:rPr>
              <w:fldChar w:fldCharType="begin"/>
            </w:r>
            <w:r>
              <w:rPr>
                <w:webHidden/>
              </w:rPr>
              <w:instrText xml:space="preserve"> PAGEREF _Toc240965933 \h </w:instrText>
            </w:r>
            <w:r>
              <w:rPr>
                <w:webHidden/>
              </w:rPr>
            </w:r>
            <w:r>
              <w:rPr>
                <w:webHidden/>
              </w:rPr>
              <w:fldChar w:fldCharType="separate"/>
            </w:r>
            <w:r>
              <w:rPr>
                <w:webHidden/>
              </w:rPr>
              <w:t>4</w:t>
            </w:r>
            <w:r>
              <w:rPr>
                <w:webHidden/>
              </w:rPr>
              <w:fldChar w:fldCharType="end"/>
            </w:r>
          </w:hyperlink>
        </w:p>
        <w:p w14:paraId="0144272C" w14:textId="0F6C6E15" w:rsidR="00F44422" w:rsidRDefault="00F44422">
          <w:pPr>
            <w:pStyle w:val="TOC1"/>
            <w:rPr>
              <w:rFonts w:asciiTheme="minorHAnsi" w:eastAsiaTheme="minorEastAsia" w:hAnsiTheme="minorHAnsi" w:cstheme="minorBidi"/>
              <w:b w:val="0"/>
              <w:bCs w:val="0"/>
              <w:kern w:val="2"/>
              <w14:ligatures w14:val="standardContextual"/>
            </w:rPr>
          </w:pPr>
          <w:hyperlink w:anchor="_Toc240965934" w:history="1">
            <w:r w:rsidRPr="00C85DA9">
              <w:rPr>
                <w:rStyle w:val="Hyperlink"/>
                <w:rFonts w:eastAsia="Arial"/>
              </w:rPr>
              <w:t>Table of Content</w:t>
            </w:r>
            <w:r>
              <w:rPr>
                <w:webHidden/>
              </w:rPr>
              <w:tab/>
            </w:r>
            <w:r>
              <w:rPr>
                <w:webHidden/>
              </w:rPr>
              <w:fldChar w:fldCharType="begin"/>
            </w:r>
            <w:r>
              <w:rPr>
                <w:webHidden/>
              </w:rPr>
              <w:instrText xml:space="preserve"> PAGEREF _Toc240965934 \h </w:instrText>
            </w:r>
            <w:r>
              <w:rPr>
                <w:webHidden/>
              </w:rPr>
            </w:r>
            <w:r>
              <w:rPr>
                <w:webHidden/>
              </w:rPr>
              <w:fldChar w:fldCharType="separate"/>
            </w:r>
            <w:r>
              <w:rPr>
                <w:webHidden/>
              </w:rPr>
              <w:t>6</w:t>
            </w:r>
            <w:r>
              <w:rPr>
                <w:webHidden/>
              </w:rPr>
              <w:fldChar w:fldCharType="end"/>
            </w:r>
          </w:hyperlink>
        </w:p>
        <w:p w14:paraId="2E9F818D" w14:textId="06C2A094" w:rsidR="00F44422" w:rsidRDefault="00F44422">
          <w:pPr>
            <w:pStyle w:val="TOC1"/>
            <w:tabs>
              <w:tab w:val="left" w:pos="720"/>
            </w:tabs>
            <w:rPr>
              <w:rFonts w:asciiTheme="minorHAnsi" w:eastAsiaTheme="minorEastAsia" w:hAnsiTheme="minorHAnsi" w:cstheme="minorBidi"/>
              <w:b w:val="0"/>
              <w:bCs w:val="0"/>
              <w:kern w:val="2"/>
              <w14:ligatures w14:val="standardContextual"/>
            </w:rPr>
          </w:pPr>
          <w:hyperlink w:anchor="_Toc240965935" w:history="1">
            <w:r w:rsidRPr="00C85DA9">
              <w:rPr>
                <w:rStyle w:val="Hyperlink"/>
                <w:rFonts w:eastAsia="Arial"/>
              </w:rPr>
              <w:t>1.0</w:t>
            </w:r>
            <w:r>
              <w:rPr>
                <w:rFonts w:asciiTheme="minorHAnsi" w:eastAsiaTheme="minorEastAsia" w:hAnsiTheme="minorHAnsi" w:cstheme="minorBidi"/>
                <w:b w:val="0"/>
                <w:bCs w:val="0"/>
                <w:kern w:val="2"/>
                <w14:ligatures w14:val="standardContextual"/>
              </w:rPr>
              <w:tab/>
            </w:r>
            <w:r w:rsidRPr="00C85DA9">
              <w:rPr>
                <w:rStyle w:val="Hyperlink"/>
                <w:rFonts w:eastAsia="Arial"/>
              </w:rPr>
              <w:t>Introduction</w:t>
            </w:r>
            <w:r>
              <w:rPr>
                <w:webHidden/>
              </w:rPr>
              <w:tab/>
            </w:r>
            <w:r>
              <w:rPr>
                <w:webHidden/>
              </w:rPr>
              <w:fldChar w:fldCharType="begin"/>
            </w:r>
            <w:r>
              <w:rPr>
                <w:webHidden/>
              </w:rPr>
              <w:instrText xml:space="preserve"> PAGEREF _Toc240965935 \h </w:instrText>
            </w:r>
            <w:r>
              <w:rPr>
                <w:webHidden/>
              </w:rPr>
            </w:r>
            <w:r>
              <w:rPr>
                <w:webHidden/>
              </w:rPr>
              <w:fldChar w:fldCharType="separate"/>
            </w:r>
            <w:r>
              <w:rPr>
                <w:webHidden/>
              </w:rPr>
              <w:t>10</w:t>
            </w:r>
            <w:r>
              <w:rPr>
                <w:webHidden/>
              </w:rPr>
              <w:fldChar w:fldCharType="end"/>
            </w:r>
          </w:hyperlink>
        </w:p>
        <w:p w14:paraId="3839CB67" w14:textId="01CCE812"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36" w:history="1">
            <w:r w:rsidRPr="00C85DA9">
              <w:rPr>
                <w:rStyle w:val="Hyperlink"/>
                <w:rFonts w:ascii="Arial" w:eastAsia="Arial" w:hAnsi="Arial" w:cs="Arial"/>
                <w:noProof/>
              </w:rPr>
              <w:t>1.1 Theoretical point of interest</w:t>
            </w:r>
            <w:r>
              <w:rPr>
                <w:noProof/>
                <w:webHidden/>
              </w:rPr>
              <w:tab/>
            </w:r>
            <w:r>
              <w:rPr>
                <w:noProof/>
                <w:webHidden/>
              </w:rPr>
              <w:fldChar w:fldCharType="begin"/>
            </w:r>
            <w:r>
              <w:rPr>
                <w:noProof/>
                <w:webHidden/>
              </w:rPr>
              <w:instrText xml:space="preserve"> PAGEREF _Toc240965936 \h </w:instrText>
            </w:r>
            <w:r>
              <w:rPr>
                <w:noProof/>
                <w:webHidden/>
              </w:rPr>
            </w:r>
            <w:r>
              <w:rPr>
                <w:noProof/>
                <w:webHidden/>
              </w:rPr>
              <w:fldChar w:fldCharType="separate"/>
            </w:r>
            <w:r>
              <w:rPr>
                <w:noProof/>
                <w:webHidden/>
              </w:rPr>
              <w:t>12</w:t>
            </w:r>
            <w:r>
              <w:rPr>
                <w:noProof/>
                <w:webHidden/>
              </w:rPr>
              <w:fldChar w:fldCharType="end"/>
            </w:r>
          </w:hyperlink>
        </w:p>
        <w:p w14:paraId="1C3CF0D8" w14:textId="03ED8A5F"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37" w:history="1">
            <w:r w:rsidRPr="00C85DA9">
              <w:rPr>
                <w:rStyle w:val="Hyperlink"/>
                <w:rFonts w:ascii="Arial" w:eastAsia="Arial" w:hAnsi="Arial" w:cs="Arial"/>
                <w:noProof/>
              </w:rPr>
              <w:t>1.2 Existing literature as a site of epistemological grounding</w:t>
            </w:r>
            <w:r>
              <w:rPr>
                <w:noProof/>
                <w:webHidden/>
              </w:rPr>
              <w:tab/>
            </w:r>
            <w:r>
              <w:rPr>
                <w:noProof/>
                <w:webHidden/>
              </w:rPr>
              <w:fldChar w:fldCharType="begin"/>
            </w:r>
            <w:r>
              <w:rPr>
                <w:noProof/>
                <w:webHidden/>
              </w:rPr>
              <w:instrText xml:space="preserve"> PAGEREF _Toc240965937 \h </w:instrText>
            </w:r>
            <w:r>
              <w:rPr>
                <w:noProof/>
                <w:webHidden/>
              </w:rPr>
            </w:r>
            <w:r>
              <w:rPr>
                <w:noProof/>
                <w:webHidden/>
              </w:rPr>
              <w:fldChar w:fldCharType="separate"/>
            </w:r>
            <w:r>
              <w:rPr>
                <w:noProof/>
                <w:webHidden/>
              </w:rPr>
              <w:t>12</w:t>
            </w:r>
            <w:r>
              <w:rPr>
                <w:noProof/>
                <w:webHidden/>
              </w:rPr>
              <w:fldChar w:fldCharType="end"/>
            </w:r>
          </w:hyperlink>
        </w:p>
        <w:p w14:paraId="68F05619" w14:textId="5C045DA9"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38" w:history="1">
            <w:r w:rsidRPr="00C85DA9">
              <w:rPr>
                <w:rStyle w:val="Hyperlink"/>
                <w:rFonts w:ascii="Arial" w:eastAsia="Arial" w:hAnsi="Arial" w:cs="Arial"/>
                <w:noProof/>
              </w:rPr>
              <w:t>1.3 Research questions</w:t>
            </w:r>
            <w:r>
              <w:rPr>
                <w:noProof/>
                <w:webHidden/>
              </w:rPr>
              <w:tab/>
            </w:r>
            <w:r>
              <w:rPr>
                <w:noProof/>
                <w:webHidden/>
              </w:rPr>
              <w:fldChar w:fldCharType="begin"/>
            </w:r>
            <w:r>
              <w:rPr>
                <w:noProof/>
                <w:webHidden/>
              </w:rPr>
              <w:instrText xml:space="preserve"> PAGEREF _Toc240965938 \h </w:instrText>
            </w:r>
            <w:r>
              <w:rPr>
                <w:noProof/>
                <w:webHidden/>
              </w:rPr>
            </w:r>
            <w:r>
              <w:rPr>
                <w:noProof/>
                <w:webHidden/>
              </w:rPr>
              <w:fldChar w:fldCharType="separate"/>
            </w:r>
            <w:r>
              <w:rPr>
                <w:noProof/>
                <w:webHidden/>
              </w:rPr>
              <w:t>13</w:t>
            </w:r>
            <w:r>
              <w:rPr>
                <w:noProof/>
                <w:webHidden/>
              </w:rPr>
              <w:fldChar w:fldCharType="end"/>
            </w:r>
          </w:hyperlink>
        </w:p>
        <w:p w14:paraId="6723EFCC" w14:textId="00952C7F"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39" w:history="1">
            <w:r w:rsidRPr="00C85DA9">
              <w:rPr>
                <w:rStyle w:val="Hyperlink"/>
                <w:rFonts w:ascii="Arial" w:eastAsia="Arial" w:hAnsi="Arial" w:cs="Arial"/>
                <w:noProof/>
              </w:rPr>
              <w:t>1.4 Importance of the research location</w:t>
            </w:r>
            <w:r>
              <w:rPr>
                <w:noProof/>
                <w:webHidden/>
              </w:rPr>
              <w:tab/>
            </w:r>
            <w:r>
              <w:rPr>
                <w:noProof/>
                <w:webHidden/>
              </w:rPr>
              <w:fldChar w:fldCharType="begin"/>
            </w:r>
            <w:r>
              <w:rPr>
                <w:noProof/>
                <w:webHidden/>
              </w:rPr>
              <w:instrText xml:space="preserve"> PAGEREF _Toc240965939 \h </w:instrText>
            </w:r>
            <w:r>
              <w:rPr>
                <w:noProof/>
                <w:webHidden/>
              </w:rPr>
            </w:r>
            <w:r>
              <w:rPr>
                <w:noProof/>
                <w:webHidden/>
              </w:rPr>
              <w:fldChar w:fldCharType="separate"/>
            </w:r>
            <w:r>
              <w:rPr>
                <w:noProof/>
                <w:webHidden/>
              </w:rPr>
              <w:t>14</w:t>
            </w:r>
            <w:r>
              <w:rPr>
                <w:noProof/>
                <w:webHidden/>
              </w:rPr>
              <w:fldChar w:fldCharType="end"/>
            </w:r>
          </w:hyperlink>
        </w:p>
        <w:p w14:paraId="68B34278" w14:textId="13B5CE7B"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40" w:history="1">
            <w:r w:rsidRPr="00C85DA9">
              <w:rPr>
                <w:rStyle w:val="Hyperlink"/>
                <w:rFonts w:ascii="Arial" w:eastAsia="Arial" w:hAnsi="Arial" w:cs="Arial"/>
                <w:noProof/>
              </w:rPr>
              <w:t>1.5 Research as a site of decolonial action</w:t>
            </w:r>
            <w:r>
              <w:rPr>
                <w:noProof/>
                <w:webHidden/>
              </w:rPr>
              <w:tab/>
            </w:r>
            <w:r>
              <w:rPr>
                <w:noProof/>
                <w:webHidden/>
              </w:rPr>
              <w:fldChar w:fldCharType="begin"/>
            </w:r>
            <w:r>
              <w:rPr>
                <w:noProof/>
                <w:webHidden/>
              </w:rPr>
              <w:instrText xml:space="preserve"> PAGEREF _Toc240965940 \h </w:instrText>
            </w:r>
            <w:r>
              <w:rPr>
                <w:noProof/>
                <w:webHidden/>
              </w:rPr>
            </w:r>
            <w:r>
              <w:rPr>
                <w:noProof/>
                <w:webHidden/>
              </w:rPr>
              <w:fldChar w:fldCharType="separate"/>
            </w:r>
            <w:r>
              <w:rPr>
                <w:noProof/>
                <w:webHidden/>
              </w:rPr>
              <w:t>14</w:t>
            </w:r>
            <w:r>
              <w:rPr>
                <w:noProof/>
                <w:webHidden/>
              </w:rPr>
              <w:fldChar w:fldCharType="end"/>
            </w:r>
          </w:hyperlink>
        </w:p>
        <w:p w14:paraId="4009DBDF" w14:textId="7C4B2BA5"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41" w:history="1">
            <w:r w:rsidRPr="00C85DA9">
              <w:rPr>
                <w:rStyle w:val="Hyperlink"/>
                <w:rFonts w:ascii="Arial" w:eastAsia="Arial" w:hAnsi="Arial" w:cs="Arial"/>
                <w:noProof/>
              </w:rPr>
              <w:t>1.6 Maintaining a decolonial perspective methodologically</w:t>
            </w:r>
            <w:r>
              <w:rPr>
                <w:noProof/>
                <w:webHidden/>
              </w:rPr>
              <w:tab/>
            </w:r>
            <w:r>
              <w:rPr>
                <w:noProof/>
                <w:webHidden/>
              </w:rPr>
              <w:fldChar w:fldCharType="begin"/>
            </w:r>
            <w:r>
              <w:rPr>
                <w:noProof/>
                <w:webHidden/>
              </w:rPr>
              <w:instrText xml:space="preserve"> PAGEREF _Toc240965941 \h </w:instrText>
            </w:r>
            <w:r>
              <w:rPr>
                <w:noProof/>
                <w:webHidden/>
              </w:rPr>
            </w:r>
            <w:r>
              <w:rPr>
                <w:noProof/>
                <w:webHidden/>
              </w:rPr>
              <w:fldChar w:fldCharType="separate"/>
            </w:r>
            <w:r>
              <w:rPr>
                <w:noProof/>
                <w:webHidden/>
              </w:rPr>
              <w:t>15</w:t>
            </w:r>
            <w:r>
              <w:rPr>
                <w:noProof/>
                <w:webHidden/>
              </w:rPr>
              <w:fldChar w:fldCharType="end"/>
            </w:r>
          </w:hyperlink>
        </w:p>
        <w:p w14:paraId="5544D187" w14:textId="3C0FB339"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42" w:history="1">
            <w:r w:rsidRPr="00C85DA9">
              <w:rPr>
                <w:rStyle w:val="Hyperlink"/>
                <w:rFonts w:ascii="Arial" w:eastAsia="Arial" w:hAnsi="Arial" w:cs="Arial"/>
                <w:noProof/>
              </w:rPr>
              <w:t>1.7 The term “Indian” as a Settler Colonial Construct</w:t>
            </w:r>
            <w:r>
              <w:rPr>
                <w:noProof/>
                <w:webHidden/>
              </w:rPr>
              <w:tab/>
            </w:r>
            <w:r>
              <w:rPr>
                <w:noProof/>
                <w:webHidden/>
              </w:rPr>
              <w:fldChar w:fldCharType="begin"/>
            </w:r>
            <w:r>
              <w:rPr>
                <w:noProof/>
                <w:webHidden/>
              </w:rPr>
              <w:instrText xml:space="preserve"> PAGEREF _Toc240965942 \h </w:instrText>
            </w:r>
            <w:r>
              <w:rPr>
                <w:noProof/>
                <w:webHidden/>
              </w:rPr>
            </w:r>
            <w:r>
              <w:rPr>
                <w:noProof/>
                <w:webHidden/>
              </w:rPr>
              <w:fldChar w:fldCharType="separate"/>
            </w:r>
            <w:r>
              <w:rPr>
                <w:noProof/>
                <w:webHidden/>
              </w:rPr>
              <w:t>16</w:t>
            </w:r>
            <w:r>
              <w:rPr>
                <w:noProof/>
                <w:webHidden/>
              </w:rPr>
              <w:fldChar w:fldCharType="end"/>
            </w:r>
          </w:hyperlink>
        </w:p>
        <w:p w14:paraId="4C2707E0" w14:textId="6B67A976"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43" w:history="1">
            <w:r w:rsidRPr="00C85DA9">
              <w:rPr>
                <w:rStyle w:val="Hyperlink"/>
                <w:rFonts w:ascii="Arial" w:eastAsia="Arial" w:hAnsi="Arial" w:cs="Arial"/>
                <w:noProof/>
              </w:rPr>
              <w:t>1.8 Analysis arguments</w:t>
            </w:r>
            <w:r>
              <w:rPr>
                <w:noProof/>
                <w:webHidden/>
              </w:rPr>
              <w:tab/>
            </w:r>
            <w:r>
              <w:rPr>
                <w:noProof/>
                <w:webHidden/>
              </w:rPr>
              <w:fldChar w:fldCharType="begin"/>
            </w:r>
            <w:r>
              <w:rPr>
                <w:noProof/>
                <w:webHidden/>
              </w:rPr>
              <w:instrText xml:space="preserve"> PAGEREF _Toc240965943 \h </w:instrText>
            </w:r>
            <w:r>
              <w:rPr>
                <w:noProof/>
                <w:webHidden/>
              </w:rPr>
            </w:r>
            <w:r>
              <w:rPr>
                <w:noProof/>
                <w:webHidden/>
              </w:rPr>
              <w:fldChar w:fldCharType="separate"/>
            </w:r>
            <w:r>
              <w:rPr>
                <w:noProof/>
                <w:webHidden/>
              </w:rPr>
              <w:t>17</w:t>
            </w:r>
            <w:r>
              <w:rPr>
                <w:noProof/>
                <w:webHidden/>
              </w:rPr>
              <w:fldChar w:fldCharType="end"/>
            </w:r>
          </w:hyperlink>
        </w:p>
        <w:p w14:paraId="1066026E" w14:textId="7224B8A7"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44" w:history="1">
            <w:r w:rsidRPr="00C85DA9">
              <w:rPr>
                <w:rStyle w:val="Hyperlink"/>
                <w:rFonts w:ascii="Arial" w:eastAsia="Arial" w:hAnsi="Arial" w:cs="Arial"/>
                <w:noProof/>
              </w:rPr>
              <w:t>1.9 Chapter outlines</w:t>
            </w:r>
            <w:r>
              <w:rPr>
                <w:noProof/>
                <w:webHidden/>
              </w:rPr>
              <w:tab/>
            </w:r>
            <w:r>
              <w:rPr>
                <w:noProof/>
                <w:webHidden/>
              </w:rPr>
              <w:fldChar w:fldCharType="begin"/>
            </w:r>
            <w:r>
              <w:rPr>
                <w:noProof/>
                <w:webHidden/>
              </w:rPr>
              <w:instrText xml:space="preserve"> PAGEREF _Toc240965944 \h </w:instrText>
            </w:r>
            <w:r>
              <w:rPr>
                <w:noProof/>
                <w:webHidden/>
              </w:rPr>
            </w:r>
            <w:r>
              <w:rPr>
                <w:noProof/>
                <w:webHidden/>
              </w:rPr>
              <w:fldChar w:fldCharType="separate"/>
            </w:r>
            <w:r>
              <w:rPr>
                <w:noProof/>
                <w:webHidden/>
              </w:rPr>
              <w:t>18</w:t>
            </w:r>
            <w:r>
              <w:rPr>
                <w:noProof/>
                <w:webHidden/>
              </w:rPr>
              <w:fldChar w:fldCharType="end"/>
            </w:r>
          </w:hyperlink>
        </w:p>
        <w:p w14:paraId="3477F893" w14:textId="1BCC0517" w:rsidR="00F44422" w:rsidRDefault="00F44422">
          <w:pPr>
            <w:pStyle w:val="TOC1"/>
            <w:rPr>
              <w:rFonts w:asciiTheme="minorHAnsi" w:eastAsiaTheme="minorEastAsia" w:hAnsiTheme="minorHAnsi" w:cstheme="minorBidi"/>
              <w:b w:val="0"/>
              <w:bCs w:val="0"/>
              <w:kern w:val="2"/>
              <w14:ligatures w14:val="standardContextual"/>
            </w:rPr>
          </w:pPr>
          <w:hyperlink w:anchor="_Toc240965945" w:history="1">
            <w:r w:rsidRPr="00C85DA9">
              <w:rPr>
                <w:rStyle w:val="Hyperlink"/>
                <w:rFonts w:eastAsia="Arial"/>
              </w:rPr>
              <w:t>2.0 Seminole and Miccosukee Histories: Creation, Resistance, and the Struggle Against Settler Screens</w:t>
            </w:r>
            <w:r>
              <w:rPr>
                <w:webHidden/>
              </w:rPr>
              <w:tab/>
            </w:r>
            <w:r>
              <w:rPr>
                <w:webHidden/>
              </w:rPr>
              <w:fldChar w:fldCharType="begin"/>
            </w:r>
            <w:r>
              <w:rPr>
                <w:webHidden/>
              </w:rPr>
              <w:instrText xml:space="preserve"> PAGEREF _Toc240965945 \h </w:instrText>
            </w:r>
            <w:r>
              <w:rPr>
                <w:webHidden/>
              </w:rPr>
            </w:r>
            <w:r>
              <w:rPr>
                <w:webHidden/>
              </w:rPr>
              <w:fldChar w:fldCharType="separate"/>
            </w:r>
            <w:r>
              <w:rPr>
                <w:webHidden/>
              </w:rPr>
              <w:t>20</w:t>
            </w:r>
            <w:r>
              <w:rPr>
                <w:webHidden/>
              </w:rPr>
              <w:fldChar w:fldCharType="end"/>
            </w:r>
          </w:hyperlink>
        </w:p>
        <w:p w14:paraId="7987E53B" w14:textId="02F3405B"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46" w:history="1">
            <w:r w:rsidRPr="00C85DA9">
              <w:rPr>
                <w:rStyle w:val="Hyperlink"/>
                <w:rFonts w:ascii="Arial" w:eastAsia="Arial" w:hAnsi="Arial" w:cs="Arial"/>
                <w:noProof/>
              </w:rPr>
              <w:t>Introduction</w:t>
            </w:r>
            <w:r>
              <w:rPr>
                <w:noProof/>
                <w:webHidden/>
              </w:rPr>
              <w:tab/>
            </w:r>
            <w:r>
              <w:rPr>
                <w:noProof/>
                <w:webHidden/>
              </w:rPr>
              <w:fldChar w:fldCharType="begin"/>
            </w:r>
            <w:r>
              <w:rPr>
                <w:noProof/>
                <w:webHidden/>
              </w:rPr>
              <w:instrText xml:space="preserve"> PAGEREF _Toc240965946 \h </w:instrText>
            </w:r>
            <w:r>
              <w:rPr>
                <w:noProof/>
                <w:webHidden/>
              </w:rPr>
            </w:r>
            <w:r>
              <w:rPr>
                <w:noProof/>
                <w:webHidden/>
              </w:rPr>
              <w:fldChar w:fldCharType="separate"/>
            </w:r>
            <w:r>
              <w:rPr>
                <w:noProof/>
                <w:webHidden/>
              </w:rPr>
              <w:t>20</w:t>
            </w:r>
            <w:r>
              <w:rPr>
                <w:noProof/>
                <w:webHidden/>
              </w:rPr>
              <w:fldChar w:fldCharType="end"/>
            </w:r>
          </w:hyperlink>
        </w:p>
        <w:p w14:paraId="6D7213B9" w14:textId="05F87D53"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47" w:history="1">
            <w:r w:rsidRPr="00C85DA9">
              <w:rPr>
                <w:rStyle w:val="Hyperlink"/>
                <w:rFonts w:ascii="Arial" w:eastAsia="Arial" w:hAnsi="Arial" w:cs="Arial"/>
                <w:noProof/>
              </w:rPr>
              <w:t>2.1 Creation as Political Geography</w:t>
            </w:r>
            <w:r>
              <w:rPr>
                <w:noProof/>
                <w:webHidden/>
              </w:rPr>
              <w:tab/>
            </w:r>
            <w:r>
              <w:rPr>
                <w:noProof/>
                <w:webHidden/>
              </w:rPr>
              <w:fldChar w:fldCharType="begin"/>
            </w:r>
            <w:r>
              <w:rPr>
                <w:noProof/>
                <w:webHidden/>
              </w:rPr>
              <w:instrText xml:space="preserve"> PAGEREF _Toc240965947 \h </w:instrText>
            </w:r>
            <w:r>
              <w:rPr>
                <w:noProof/>
                <w:webHidden/>
              </w:rPr>
            </w:r>
            <w:r>
              <w:rPr>
                <w:noProof/>
                <w:webHidden/>
              </w:rPr>
              <w:fldChar w:fldCharType="separate"/>
            </w:r>
            <w:r>
              <w:rPr>
                <w:noProof/>
                <w:webHidden/>
              </w:rPr>
              <w:t>21</w:t>
            </w:r>
            <w:r>
              <w:rPr>
                <w:noProof/>
                <w:webHidden/>
              </w:rPr>
              <w:fldChar w:fldCharType="end"/>
            </w:r>
          </w:hyperlink>
        </w:p>
        <w:p w14:paraId="4C6B93D2" w14:textId="1537F589"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48" w:history="1">
            <w:r w:rsidRPr="00C85DA9">
              <w:rPr>
                <w:rStyle w:val="Hyperlink"/>
                <w:rFonts w:ascii="Arial" w:eastAsia="Arial" w:hAnsi="Arial" w:cs="Arial"/>
                <w:noProof/>
              </w:rPr>
              <w:t>2.2 Settler Colonialism’s Logics: Erasure, Assimilation, Elimination</w:t>
            </w:r>
            <w:r>
              <w:rPr>
                <w:noProof/>
                <w:webHidden/>
              </w:rPr>
              <w:tab/>
            </w:r>
            <w:r>
              <w:rPr>
                <w:noProof/>
                <w:webHidden/>
              </w:rPr>
              <w:fldChar w:fldCharType="begin"/>
            </w:r>
            <w:r>
              <w:rPr>
                <w:noProof/>
                <w:webHidden/>
              </w:rPr>
              <w:instrText xml:space="preserve"> PAGEREF _Toc240965948 \h </w:instrText>
            </w:r>
            <w:r>
              <w:rPr>
                <w:noProof/>
                <w:webHidden/>
              </w:rPr>
            </w:r>
            <w:r>
              <w:rPr>
                <w:noProof/>
                <w:webHidden/>
              </w:rPr>
              <w:fldChar w:fldCharType="separate"/>
            </w:r>
            <w:r>
              <w:rPr>
                <w:noProof/>
                <w:webHidden/>
              </w:rPr>
              <w:t>21</w:t>
            </w:r>
            <w:r>
              <w:rPr>
                <w:noProof/>
                <w:webHidden/>
              </w:rPr>
              <w:fldChar w:fldCharType="end"/>
            </w:r>
          </w:hyperlink>
        </w:p>
        <w:p w14:paraId="5612C39E" w14:textId="295EE730"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49" w:history="1">
            <w:r w:rsidRPr="00C85DA9">
              <w:rPr>
                <w:rStyle w:val="Hyperlink"/>
                <w:rFonts w:ascii="Arial" w:eastAsia="Arial" w:hAnsi="Arial" w:cs="Arial"/>
                <w:noProof/>
              </w:rPr>
              <w:t>2.3 Bias in the Archive and the Function of Screen Memory</w:t>
            </w:r>
            <w:r>
              <w:rPr>
                <w:noProof/>
                <w:webHidden/>
              </w:rPr>
              <w:tab/>
            </w:r>
            <w:r>
              <w:rPr>
                <w:noProof/>
                <w:webHidden/>
              </w:rPr>
              <w:fldChar w:fldCharType="begin"/>
            </w:r>
            <w:r>
              <w:rPr>
                <w:noProof/>
                <w:webHidden/>
              </w:rPr>
              <w:instrText xml:space="preserve"> PAGEREF _Toc240965949 \h </w:instrText>
            </w:r>
            <w:r>
              <w:rPr>
                <w:noProof/>
                <w:webHidden/>
              </w:rPr>
            </w:r>
            <w:r>
              <w:rPr>
                <w:noProof/>
                <w:webHidden/>
              </w:rPr>
              <w:fldChar w:fldCharType="separate"/>
            </w:r>
            <w:r>
              <w:rPr>
                <w:noProof/>
                <w:webHidden/>
              </w:rPr>
              <w:t>22</w:t>
            </w:r>
            <w:r>
              <w:rPr>
                <w:noProof/>
                <w:webHidden/>
              </w:rPr>
              <w:fldChar w:fldCharType="end"/>
            </w:r>
          </w:hyperlink>
        </w:p>
        <w:p w14:paraId="28E7668E" w14:textId="4F497C63"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50" w:history="1">
            <w:r w:rsidRPr="00C85DA9">
              <w:rPr>
                <w:rStyle w:val="Hyperlink"/>
                <w:rFonts w:ascii="Arial" w:eastAsia="Arial" w:hAnsi="Arial" w:cs="Arial"/>
                <w:noProof/>
              </w:rPr>
              <w:t>2.4 Ethnogenesis and Early Resistance</w:t>
            </w:r>
            <w:r>
              <w:rPr>
                <w:noProof/>
                <w:webHidden/>
              </w:rPr>
              <w:tab/>
            </w:r>
            <w:r>
              <w:rPr>
                <w:noProof/>
                <w:webHidden/>
              </w:rPr>
              <w:fldChar w:fldCharType="begin"/>
            </w:r>
            <w:r>
              <w:rPr>
                <w:noProof/>
                <w:webHidden/>
              </w:rPr>
              <w:instrText xml:space="preserve"> PAGEREF _Toc240965950 \h </w:instrText>
            </w:r>
            <w:r>
              <w:rPr>
                <w:noProof/>
                <w:webHidden/>
              </w:rPr>
            </w:r>
            <w:r>
              <w:rPr>
                <w:noProof/>
                <w:webHidden/>
              </w:rPr>
              <w:fldChar w:fldCharType="separate"/>
            </w:r>
            <w:r>
              <w:rPr>
                <w:noProof/>
                <w:webHidden/>
              </w:rPr>
              <w:t>22</w:t>
            </w:r>
            <w:r>
              <w:rPr>
                <w:noProof/>
                <w:webHidden/>
              </w:rPr>
              <w:fldChar w:fldCharType="end"/>
            </w:r>
          </w:hyperlink>
        </w:p>
        <w:p w14:paraId="50562D7A" w14:textId="17BFE500"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51" w:history="1">
            <w:r w:rsidRPr="00C85DA9">
              <w:rPr>
                <w:rStyle w:val="Hyperlink"/>
                <w:rFonts w:ascii="Arial" w:eastAsia="Arial" w:hAnsi="Arial" w:cs="Arial"/>
                <w:noProof/>
              </w:rPr>
              <w:t>2.5 The Seminole Wars: Refusing Elimination</w:t>
            </w:r>
            <w:r>
              <w:rPr>
                <w:noProof/>
                <w:webHidden/>
              </w:rPr>
              <w:tab/>
            </w:r>
            <w:r>
              <w:rPr>
                <w:noProof/>
                <w:webHidden/>
              </w:rPr>
              <w:fldChar w:fldCharType="begin"/>
            </w:r>
            <w:r>
              <w:rPr>
                <w:noProof/>
                <w:webHidden/>
              </w:rPr>
              <w:instrText xml:space="preserve"> PAGEREF _Toc240965951 \h </w:instrText>
            </w:r>
            <w:r>
              <w:rPr>
                <w:noProof/>
                <w:webHidden/>
              </w:rPr>
            </w:r>
            <w:r>
              <w:rPr>
                <w:noProof/>
                <w:webHidden/>
              </w:rPr>
              <w:fldChar w:fldCharType="separate"/>
            </w:r>
            <w:r>
              <w:rPr>
                <w:noProof/>
                <w:webHidden/>
              </w:rPr>
              <w:t>23</w:t>
            </w:r>
            <w:r>
              <w:rPr>
                <w:noProof/>
                <w:webHidden/>
              </w:rPr>
              <w:fldChar w:fldCharType="end"/>
            </w:r>
          </w:hyperlink>
        </w:p>
        <w:p w14:paraId="151B7DA3" w14:textId="7DD91030"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52" w:history="1">
            <w:r w:rsidRPr="00C85DA9">
              <w:rPr>
                <w:rStyle w:val="Hyperlink"/>
                <w:rFonts w:ascii="Arial" w:eastAsia="Arial" w:hAnsi="Arial" w:cs="Arial"/>
                <w:noProof/>
              </w:rPr>
              <w:t>2.6 The Buckskin Declaration: Reclaiming Sovereignty</w:t>
            </w:r>
            <w:r>
              <w:rPr>
                <w:noProof/>
                <w:webHidden/>
              </w:rPr>
              <w:tab/>
            </w:r>
            <w:r>
              <w:rPr>
                <w:noProof/>
                <w:webHidden/>
              </w:rPr>
              <w:fldChar w:fldCharType="begin"/>
            </w:r>
            <w:r>
              <w:rPr>
                <w:noProof/>
                <w:webHidden/>
              </w:rPr>
              <w:instrText xml:space="preserve"> PAGEREF _Toc240965952 \h </w:instrText>
            </w:r>
            <w:r>
              <w:rPr>
                <w:noProof/>
                <w:webHidden/>
              </w:rPr>
            </w:r>
            <w:r>
              <w:rPr>
                <w:noProof/>
                <w:webHidden/>
              </w:rPr>
              <w:fldChar w:fldCharType="separate"/>
            </w:r>
            <w:r>
              <w:rPr>
                <w:noProof/>
                <w:webHidden/>
              </w:rPr>
              <w:t>23</w:t>
            </w:r>
            <w:r>
              <w:rPr>
                <w:noProof/>
                <w:webHidden/>
              </w:rPr>
              <w:fldChar w:fldCharType="end"/>
            </w:r>
          </w:hyperlink>
        </w:p>
        <w:p w14:paraId="5AAF814C" w14:textId="6FEDAE89"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53" w:history="1">
            <w:r w:rsidRPr="00C85DA9">
              <w:rPr>
                <w:rStyle w:val="Hyperlink"/>
                <w:rFonts w:ascii="Arial" w:eastAsia="Arial" w:hAnsi="Arial" w:cs="Arial"/>
                <w:noProof/>
              </w:rPr>
              <w:t>2.7 Tourism, Gaming, and the “Successful Indian” Trap</w:t>
            </w:r>
            <w:r>
              <w:rPr>
                <w:noProof/>
                <w:webHidden/>
              </w:rPr>
              <w:tab/>
            </w:r>
            <w:r>
              <w:rPr>
                <w:noProof/>
                <w:webHidden/>
              </w:rPr>
              <w:fldChar w:fldCharType="begin"/>
            </w:r>
            <w:r>
              <w:rPr>
                <w:noProof/>
                <w:webHidden/>
              </w:rPr>
              <w:instrText xml:space="preserve"> PAGEREF _Toc240965953 \h </w:instrText>
            </w:r>
            <w:r>
              <w:rPr>
                <w:noProof/>
                <w:webHidden/>
              </w:rPr>
            </w:r>
            <w:r>
              <w:rPr>
                <w:noProof/>
                <w:webHidden/>
              </w:rPr>
              <w:fldChar w:fldCharType="separate"/>
            </w:r>
            <w:r>
              <w:rPr>
                <w:noProof/>
                <w:webHidden/>
              </w:rPr>
              <w:t>23</w:t>
            </w:r>
            <w:r>
              <w:rPr>
                <w:noProof/>
                <w:webHidden/>
              </w:rPr>
              <w:fldChar w:fldCharType="end"/>
            </w:r>
          </w:hyperlink>
        </w:p>
        <w:p w14:paraId="1A002B76" w14:textId="18DAA0B1"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54" w:history="1">
            <w:r w:rsidRPr="00C85DA9">
              <w:rPr>
                <w:rStyle w:val="Hyperlink"/>
                <w:rFonts w:ascii="Arial" w:eastAsia="Arial" w:hAnsi="Arial" w:cs="Arial"/>
                <w:noProof/>
              </w:rPr>
              <w:t>2.8 Conclusion: Beyond the Settler Screen</w:t>
            </w:r>
            <w:r>
              <w:rPr>
                <w:noProof/>
                <w:webHidden/>
              </w:rPr>
              <w:tab/>
            </w:r>
            <w:r>
              <w:rPr>
                <w:noProof/>
                <w:webHidden/>
              </w:rPr>
              <w:fldChar w:fldCharType="begin"/>
            </w:r>
            <w:r>
              <w:rPr>
                <w:noProof/>
                <w:webHidden/>
              </w:rPr>
              <w:instrText xml:space="preserve"> PAGEREF _Toc240965954 \h </w:instrText>
            </w:r>
            <w:r>
              <w:rPr>
                <w:noProof/>
                <w:webHidden/>
              </w:rPr>
            </w:r>
            <w:r>
              <w:rPr>
                <w:noProof/>
                <w:webHidden/>
              </w:rPr>
              <w:fldChar w:fldCharType="separate"/>
            </w:r>
            <w:r>
              <w:rPr>
                <w:noProof/>
                <w:webHidden/>
              </w:rPr>
              <w:t>24</w:t>
            </w:r>
            <w:r>
              <w:rPr>
                <w:noProof/>
                <w:webHidden/>
              </w:rPr>
              <w:fldChar w:fldCharType="end"/>
            </w:r>
          </w:hyperlink>
        </w:p>
        <w:p w14:paraId="13900218" w14:textId="1AC6E981" w:rsidR="00F44422" w:rsidRDefault="00F44422">
          <w:pPr>
            <w:pStyle w:val="TOC1"/>
            <w:rPr>
              <w:rFonts w:asciiTheme="minorHAnsi" w:eastAsiaTheme="minorEastAsia" w:hAnsiTheme="minorHAnsi" w:cstheme="minorBidi"/>
              <w:b w:val="0"/>
              <w:bCs w:val="0"/>
              <w:kern w:val="2"/>
              <w14:ligatures w14:val="standardContextual"/>
            </w:rPr>
          </w:pPr>
          <w:hyperlink w:anchor="_Toc240965955" w:history="1">
            <w:r w:rsidRPr="00C85DA9">
              <w:rPr>
                <w:rStyle w:val="Hyperlink"/>
                <w:rFonts w:eastAsia="Arial"/>
              </w:rPr>
              <w:t>3.0 Methodology</w:t>
            </w:r>
            <w:r>
              <w:rPr>
                <w:webHidden/>
              </w:rPr>
              <w:tab/>
            </w:r>
            <w:r>
              <w:rPr>
                <w:webHidden/>
              </w:rPr>
              <w:fldChar w:fldCharType="begin"/>
            </w:r>
            <w:r>
              <w:rPr>
                <w:webHidden/>
              </w:rPr>
              <w:instrText xml:space="preserve"> PAGEREF _Toc240965955 \h </w:instrText>
            </w:r>
            <w:r>
              <w:rPr>
                <w:webHidden/>
              </w:rPr>
            </w:r>
            <w:r>
              <w:rPr>
                <w:webHidden/>
              </w:rPr>
              <w:fldChar w:fldCharType="separate"/>
            </w:r>
            <w:r>
              <w:rPr>
                <w:webHidden/>
              </w:rPr>
              <w:t>25</w:t>
            </w:r>
            <w:r>
              <w:rPr>
                <w:webHidden/>
              </w:rPr>
              <w:fldChar w:fldCharType="end"/>
            </w:r>
          </w:hyperlink>
        </w:p>
        <w:p w14:paraId="16AD1D5A" w14:textId="715D6EE6"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56" w:history="1">
            <w:r w:rsidRPr="00C85DA9">
              <w:rPr>
                <w:rStyle w:val="Hyperlink"/>
                <w:rFonts w:ascii="Arial" w:eastAsia="Arial" w:hAnsi="Arial" w:cs="Arial"/>
                <w:noProof/>
              </w:rPr>
              <w:t>3.1 Fieldwork Sites and Methodological Positioning</w:t>
            </w:r>
            <w:r>
              <w:rPr>
                <w:noProof/>
                <w:webHidden/>
              </w:rPr>
              <w:tab/>
            </w:r>
            <w:r>
              <w:rPr>
                <w:noProof/>
                <w:webHidden/>
              </w:rPr>
              <w:fldChar w:fldCharType="begin"/>
            </w:r>
            <w:r>
              <w:rPr>
                <w:noProof/>
                <w:webHidden/>
              </w:rPr>
              <w:instrText xml:space="preserve"> PAGEREF _Toc240965956 \h </w:instrText>
            </w:r>
            <w:r>
              <w:rPr>
                <w:noProof/>
                <w:webHidden/>
              </w:rPr>
            </w:r>
            <w:r>
              <w:rPr>
                <w:noProof/>
                <w:webHidden/>
              </w:rPr>
              <w:fldChar w:fldCharType="separate"/>
            </w:r>
            <w:r>
              <w:rPr>
                <w:noProof/>
                <w:webHidden/>
              </w:rPr>
              <w:t>26</w:t>
            </w:r>
            <w:r>
              <w:rPr>
                <w:noProof/>
                <w:webHidden/>
              </w:rPr>
              <w:fldChar w:fldCharType="end"/>
            </w:r>
          </w:hyperlink>
        </w:p>
        <w:p w14:paraId="0A4BB5E1" w14:textId="1550210D"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57" w:history="1">
            <w:r w:rsidRPr="00C85DA9">
              <w:rPr>
                <w:rStyle w:val="Hyperlink"/>
                <w:rFonts w:ascii="Arial" w:eastAsia="Arial" w:hAnsi="Arial" w:cs="Arial"/>
                <w:noProof/>
              </w:rPr>
              <w:t>3.2 Methodological tools of data collection and analysis of results</w:t>
            </w:r>
            <w:r>
              <w:rPr>
                <w:noProof/>
                <w:webHidden/>
              </w:rPr>
              <w:tab/>
            </w:r>
            <w:r>
              <w:rPr>
                <w:noProof/>
                <w:webHidden/>
              </w:rPr>
              <w:fldChar w:fldCharType="begin"/>
            </w:r>
            <w:r>
              <w:rPr>
                <w:noProof/>
                <w:webHidden/>
              </w:rPr>
              <w:instrText xml:space="preserve"> PAGEREF _Toc240965957 \h </w:instrText>
            </w:r>
            <w:r>
              <w:rPr>
                <w:noProof/>
                <w:webHidden/>
              </w:rPr>
            </w:r>
            <w:r>
              <w:rPr>
                <w:noProof/>
                <w:webHidden/>
              </w:rPr>
              <w:fldChar w:fldCharType="separate"/>
            </w:r>
            <w:r>
              <w:rPr>
                <w:noProof/>
                <w:webHidden/>
              </w:rPr>
              <w:t>28</w:t>
            </w:r>
            <w:r>
              <w:rPr>
                <w:noProof/>
                <w:webHidden/>
              </w:rPr>
              <w:fldChar w:fldCharType="end"/>
            </w:r>
          </w:hyperlink>
        </w:p>
        <w:p w14:paraId="158D2459" w14:textId="2200AE4B"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58" w:history="1">
            <w:r w:rsidRPr="00C85DA9">
              <w:rPr>
                <w:rStyle w:val="Hyperlink"/>
                <w:rFonts w:ascii="Arial" w:eastAsia="Arial" w:hAnsi="Arial" w:cs="Arial"/>
                <w:noProof/>
              </w:rPr>
              <w:t>3.3 Critical Decolonial Ethnography and the Study of Settler Space</w:t>
            </w:r>
            <w:r>
              <w:rPr>
                <w:noProof/>
                <w:webHidden/>
              </w:rPr>
              <w:tab/>
            </w:r>
            <w:r>
              <w:rPr>
                <w:noProof/>
                <w:webHidden/>
              </w:rPr>
              <w:fldChar w:fldCharType="begin"/>
            </w:r>
            <w:r>
              <w:rPr>
                <w:noProof/>
                <w:webHidden/>
              </w:rPr>
              <w:instrText xml:space="preserve"> PAGEREF _Toc240965958 \h </w:instrText>
            </w:r>
            <w:r>
              <w:rPr>
                <w:noProof/>
                <w:webHidden/>
              </w:rPr>
            </w:r>
            <w:r>
              <w:rPr>
                <w:noProof/>
                <w:webHidden/>
              </w:rPr>
              <w:fldChar w:fldCharType="separate"/>
            </w:r>
            <w:r>
              <w:rPr>
                <w:noProof/>
                <w:webHidden/>
              </w:rPr>
              <w:t>28</w:t>
            </w:r>
            <w:r>
              <w:rPr>
                <w:noProof/>
                <w:webHidden/>
              </w:rPr>
              <w:fldChar w:fldCharType="end"/>
            </w:r>
          </w:hyperlink>
        </w:p>
        <w:p w14:paraId="62B8393B" w14:textId="07482410"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59" w:history="1">
            <w:r w:rsidRPr="00C85DA9">
              <w:rPr>
                <w:rStyle w:val="Hyperlink"/>
                <w:rFonts w:ascii="Arial" w:eastAsia="Arial" w:hAnsi="Arial" w:cs="Arial"/>
                <w:noProof/>
              </w:rPr>
              <w:t>3.4 Visual Geographies and the Settler Gaze</w:t>
            </w:r>
            <w:r>
              <w:rPr>
                <w:noProof/>
                <w:webHidden/>
              </w:rPr>
              <w:tab/>
            </w:r>
            <w:r>
              <w:rPr>
                <w:noProof/>
                <w:webHidden/>
              </w:rPr>
              <w:fldChar w:fldCharType="begin"/>
            </w:r>
            <w:r>
              <w:rPr>
                <w:noProof/>
                <w:webHidden/>
              </w:rPr>
              <w:instrText xml:space="preserve"> PAGEREF _Toc240965959 \h </w:instrText>
            </w:r>
            <w:r>
              <w:rPr>
                <w:noProof/>
                <w:webHidden/>
              </w:rPr>
            </w:r>
            <w:r>
              <w:rPr>
                <w:noProof/>
                <w:webHidden/>
              </w:rPr>
              <w:fldChar w:fldCharType="separate"/>
            </w:r>
            <w:r>
              <w:rPr>
                <w:noProof/>
                <w:webHidden/>
              </w:rPr>
              <w:t>30</w:t>
            </w:r>
            <w:r>
              <w:rPr>
                <w:noProof/>
                <w:webHidden/>
              </w:rPr>
              <w:fldChar w:fldCharType="end"/>
            </w:r>
          </w:hyperlink>
        </w:p>
        <w:p w14:paraId="5078708A" w14:textId="01BEF5DD"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60" w:history="1">
            <w:r w:rsidRPr="00C85DA9">
              <w:rPr>
                <w:rStyle w:val="Hyperlink"/>
                <w:rFonts w:ascii="Arial" w:eastAsia="Arial" w:hAnsi="Arial" w:cs="Arial"/>
                <w:noProof/>
              </w:rPr>
              <w:t>3.5 Decolonial Textual Analysis: Settler-Authored Media and the Construction of Indigeneity</w:t>
            </w:r>
            <w:r>
              <w:rPr>
                <w:noProof/>
                <w:webHidden/>
              </w:rPr>
              <w:tab/>
            </w:r>
            <w:r>
              <w:rPr>
                <w:noProof/>
                <w:webHidden/>
              </w:rPr>
              <w:fldChar w:fldCharType="begin"/>
            </w:r>
            <w:r>
              <w:rPr>
                <w:noProof/>
                <w:webHidden/>
              </w:rPr>
              <w:instrText xml:space="preserve"> PAGEREF _Toc240965960 \h </w:instrText>
            </w:r>
            <w:r>
              <w:rPr>
                <w:noProof/>
                <w:webHidden/>
              </w:rPr>
            </w:r>
            <w:r>
              <w:rPr>
                <w:noProof/>
                <w:webHidden/>
              </w:rPr>
              <w:fldChar w:fldCharType="separate"/>
            </w:r>
            <w:r>
              <w:rPr>
                <w:noProof/>
                <w:webHidden/>
              </w:rPr>
              <w:t>31</w:t>
            </w:r>
            <w:r>
              <w:rPr>
                <w:noProof/>
                <w:webHidden/>
              </w:rPr>
              <w:fldChar w:fldCharType="end"/>
            </w:r>
          </w:hyperlink>
        </w:p>
        <w:p w14:paraId="37822B62" w14:textId="6BCF9E15"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61" w:history="1">
            <w:r w:rsidRPr="00C85DA9">
              <w:rPr>
                <w:rStyle w:val="Hyperlink"/>
                <w:rFonts w:ascii="Arial" w:eastAsia="Arial" w:hAnsi="Arial" w:cs="Arial"/>
                <w:noProof/>
              </w:rPr>
              <w:t>3.6 Critically reflecting and moving forward</w:t>
            </w:r>
            <w:r>
              <w:rPr>
                <w:noProof/>
                <w:webHidden/>
              </w:rPr>
              <w:tab/>
            </w:r>
            <w:r>
              <w:rPr>
                <w:noProof/>
                <w:webHidden/>
              </w:rPr>
              <w:fldChar w:fldCharType="begin"/>
            </w:r>
            <w:r>
              <w:rPr>
                <w:noProof/>
                <w:webHidden/>
              </w:rPr>
              <w:instrText xml:space="preserve"> PAGEREF _Toc240965961 \h </w:instrText>
            </w:r>
            <w:r>
              <w:rPr>
                <w:noProof/>
                <w:webHidden/>
              </w:rPr>
            </w:r>
            <w:r>
              <w:rPr>
                <w:noProof/>
                <w:webHidden/>
              </w:rPr>
              <w:fldChar w:fldCharType="separate"/>
            </w:r>
            <w:r>
              <w:rPr>
                <w:noProof/>
                <w:webHidden/>
              </w:rPr>
              <w:t>32</w:t>
            </w:r>
            <w:r>
              <w:rPr>
                <w:noProof/>
                <w:webHidden/>
              </w:rPr>
              <w:fldChar w:fldCharType="end"/>
            </w:r>
          </w:hyperlink>
        </w:p>
        <w:p w14:paraId="17C732DC" w14:textId="2287FADA"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62" w:history="1">
            <w:r w:rsidRPr="00C85DA9">
              <w:rPr>
                <w:rStyle w:val="Hyperlink"/>
                <w:rFonts w:ascii="Arial" w:eastAsia="Arial" w:hAnsi="Arial" w:cs="Arial"/>
                <w:noProof/>
              </w:rPr>
              <w:t>3.7 Decolonial Ethnography</w:t>
            </w:r>
            <w:r>
              <w:rPr>
                <w:noProof/>
                <w:webHidden/>
              </w:rPr>
              <w:tab/>
            </w:r>
            <w:r>
              <w:rPr>
                <w:noProof/>
                <w:webHidden/>
              </w:rPr>
              <w:fldChar w:fldCharType="begin"/>
            </w:r>
            <w:r>
              <w:rPr>
                <w:noProof/>
                <w:webHidden/>
              </w:rPr>
              <w:instrText xml:space="preserve"> PAGEREF _Toc240965962 \h </w:instrText>
            </w:r>
            <w:r>
              <w:rPr>
                <w:noProof/>
                <w:webHidden/>
              </w:rPr>
            </w:r>
            <w:r>
              <w:rPr>
                <w:noProof/>
                <w:webHidden/>
              </w:rPr>
              <w:fldChar w:fldCharType="separate"/>
            </w:r>
            <w:r>
              <w:rPr>
                <w:noProof/>
                <w:webHidden/>
              </w:rPr>
              <w:t>33</w:t>
            </w:r>
            <w:r>
              <w:rPr>
                <w:noProof/>
                <w:webHidden/>
              </w:rPr>
              <w:fldChar w:fldCharType="end"/>
            </w:r>
          </w:hyperlink>
        </w:p>
        <w:p w14:paraId="4FF6D6BF" w14:textId="4193F27C"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63" w:history="1">
            <w:r w:rsidRPr="00C85DA9">
              <w:rPr>
                <w:rStyle w:val="Hyperlink"/>
                <w:rFonts w:ascii="Arial" w:eastAsia="Arial" w:hAnsi="Arial" w:cs="Arial"/>
                <w:noProof/>
              </w:rPr>
              <w:t>3.8 Reflexive Engagement with Positionality</w:t>
            </w:r>
            <w:r>
              <w:rPr>
                <w:noProof/>
                <w:webHidden/>
              </w:rPr>
              <w:tab/>
            </w:r>
            <w:r>
              <w:rPr>
                <w:noProof/>
                <w:webHidden/>
              </w:rPr>
              <w:fldChar w:fldCharType="begin"/>
            </w:r>
            <w:r>
              <w:rPr>
                <w:noProof/>
                <w:webHidden/>
              </w:rPr>
              <w:instrText xml:space="preserve"> PAGEREF _Toc240965963 \h </w:instrText>
            </w:r>
            <w:r>
              <w:rPr>
                <w:noProof/>
                <w:webHidden/>
              </w:rPr>
            </w:r>
            <w:r>
              <w:rPr>
                <w:noProof/>
                <w:webHidden/>
              </w:rPr>
              <w:fldChar w:fldCharType="separate"/>
            </w:r>
            <w:r>
              <w:rPr>
                <w:noProof/>
                <w:webHidden/>
              </w:rPr>
              <w:t>33</w:t>
            </w:r>
            <w:r>
              <w:rPr>
                <w:noProof/>
                <w:webHidden/>
              </w:rPr>
              <w:fldChar w:fldCharType="end"/>
            </w:r>
          </w:hyperlink>
        </w:p>
        <w:p w14:paraId="4B993966" w14:textId="6719931B"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64" w:history="1">
            <w:r w:rsidRPr="00C85DA9">
              <w:rPr>
                <w:rStyle w:val="Hyperlink"/>
                <w:rFonts w:ascii="Arial" w:eastAsia="Arial" w:hAnsi="Arial" w:cs="Arial"/>
                <w:noProof/>
              </w:rPr>
              <w:t>3.9 Situating Representation and Visual Analysis</w:t>
            </w:r>
            <w:r>
              <w:rPr>
                <w:noProof/>
                <w:webHidden/>
              </w:rPr>
              <w:tab/>
            </w:r>
            <w:r>
              <w:rPr>
                <w:noProof/>
                <w:webHidden/>
              </w:rPr>
              <w:fldChar w:fldCharType="begin"/>
            </w:r>
            <w:r>
              <w:rPr>
                <w:noProof/>
                <w:webHidden/>
              </w:rPr>
              <w:instrText xml:space="preserve"> PAGEREF _Toc240965964 \h </w:instrText>
            </w:r>
            <w:r>
              <w:rPr>
                <w:noProof/>
                <w:webHidden/>
              </w:rPr>
            </w:r>
            <w:r>
              <w:rPr>
                <w:noProof/>
                <w:webHidden/>
              </w:rPr>
              <w:fldChar w:fldCharType="separate"/>
            </w:r>
            <w:r>
              <w:rPr>
                <w:noProof/>
                <w:webHidden/>
              </w:rPr>
              <w:t>34</w:t>
            </w:r>
            <w:r>
              <w:rPr>
                <w:noProof/>
                <w:webHidden/>
              </w:rPr>
              <w:fldChar w:fldCharType="end"/>
            </w:r>
          </w:hyperlink>
        </w:p>
        <w:p w14:paraId="503BD9FE" w14:textId="76F8CA69"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65" w:history="1">
            <w:r w:rsidRPr="00C85DA9">
              <w:rPr>
                <w:rStyle w:val="Hyperlink"/>
                <w:rFonts w:ascii="Arial" w:eastAsia="Arial" w:hAnsi="Arial" w:cs="Arial"/>
                <w:noProof/>
              </w:rPr>
              <w:t>3.10 Engaging with Text and Media</w:t>
            </w:r>
            <w:r>
              <w:rPr>
                <w:noProof/>
                <w:webHidden/>
              </w:rPr>
              <w:tab/>
            </w:r>
            <w:r>
              <w:rPr>
                <w:noProof/>
                <w:webHidden/>
              </w:rPr>
              <w:fldChar w:fldCharType="begin"/>
            </w:r>
            <w:r>
              <w:rPr>
                <w:noProof/>
                <w:webHidden/>
              </w:rPr>
              <w:instrText xml:space="preserve"> PAGEREF _Toc240965965 \h </w:instrText>
            </w:r>
            <w:r>
              <w:rPr>
                <w:noProof/>
                <w:webHidden/>
              </w:rPr>
            </w:r>
            <w:r>
              <w:rPr>
                <w:noProof/>
                <w:webHidden/>
              </w:rPr>
              <w:fldChar w:fldCharType="separate"/>
            </w:r>
            <w:r>
              <w:rPr>
                <w:noProof/>
                <w:webHidden/>
              </w:rPr>
              <w:t>34</w:t>
            </w:r>
            <w:r>
              <w:rPr>
                <w:noProof/>
                <w:webHidden/>
              </w:rPr>
              <w:fldChar w:fldCharType="end"/>
            </w:r>
          </w:hyperlink>
        </w:p>
        <w:p w14:paraId="2326BA3F" w14:textId="01BD929B"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66" w:history="1">
            <w:r w:rsidRPr="00C85DA9">
              <w:rPr>
                <w:rStyle w:val="Hyperlink"/>
                <w:rFonts w:ascii="Arial" w:eastAsia="Arial" w:hAnsi="Arial" w:cs="Arial"/>
                <w:noProof/>
              </w:rPr>
              <w:t>3.11 Moving Forward Critically</w:t>
            </w:r>
            <w:r>
              <w:rPr>
                <w:noProof/>
                <w:webHidden/>
              </w:rPr>
              <w:tab/>
            </w:r>
            <w:r>
              <w:rPr>
                <w:noProof/>
                <w:webHidden/>
              </w:rPr>
              <w:fldChar w:fldCharType="begin"/>
            </w:r>
            <w:r>
              <w:rPr>
                <w:noProof/>
                <w:webHidden/>
              </w:rPr>
              <w:instrText xml:space="preserve"> PAGEREF _Toc240965966 \h </w:instrText>
            </w:r>
            <w:r>
              <w:rPr>
                <w:noProof/>
                <w:webHidden/>
              </w:rPr>
            </w:r>
            <w:r>
              <w:rPr>
                <w:noProof/>
                <w:webHidden/>
              </w:rPr>
              <w:fldChar w:fldCharType="separate"/>
            </w:r>
            <w:r>
              <w:rPr>
                <w:noProof/>
                <w:webHidden/>
              </w:rPr>
              <w:t>35</w:t>
            </w:r>
            <w:r>
              <w:rPr>
                <w:noProof/>
                <w:webHidden/>
              </w:rPr>
              <w:fldChar w:fldCharType="end"/>
            </w:r>
          </w:hyperlink>
        </w:p>
        <w:p w14:paraId="1FC3B59E" w14:textId="0F43B1F6"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67" w:history="1">
            <w:r w:rsidRPr="00C85DA9">
              <w:rPr>
                <w:rStyle w:val="Hyperlink"/>
                <w:rFonts w:ascii="Arial" w:eastAsia="Arial" w:hAnsi="Arial" w:cs="Arial"/>
                <w:noProof/>
              </w:rPr>
              <w:t>3.12 Research Design</w:t>
            </w:r>
            <w:r>
              <w:rPr>
                <w:noProof/>
                <w:webHidden/>
              </w:rPr>
              <w:tab/>
            </w:r>
            <w:r>
              <w:rPr>
                <w:noProof/>
                <w:webHidden/>
              </w:rPr>
              <w:fldChar w:fldCharType="begin"/>
            </w:r>
            <w:r>
              <w:rPr>
                <w:noProof/>
                <w:webHidden/>
              </w:rPr>
              <w:instrText xml:space="preserve"> PAGEREF _Toc240965967 \h </w:instrText>
            </w:r>
            <w:r>
              <w:rPr>
                <w:noProof/>
                <w:webHidden/>
              </w:rPr>
            </w:r>
            <w:r>
              <w:rPr>
                <w:noProof/>
                <w:webHidden/>
              </w:rPr>
              <w:fldChar w:fldCharType="separate"/>
            </w:r>
            <w:r>
              <w:rPr>
                <w:noProof/>
                <w:webHidden/>
              </w:rPr>
              <w:t>35</w:t>
            </w:r>
            <w:r>
              <w:rPr>
                <w:noProof/>
                <w:webHidden/>
              </w:rPr>
              <w:fldChar w:fldCharType="end"/>
            </w:r>
          </w:hyperlink>
        </w:p>
        <w:p w14:paraId="321B20C0" w14:textId="5D97EB2C"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68" w:history="1">
            <w:r w:rsidRPr="00C85DA9">
              <w:rPr>
                <w:rStyle w:val="Hyperlink"/>
                <w:rFonts w:ascii="Arial" w:eastAsia="Arial" w:hAnsi="Arial" w:cs="Arial"/>
                <w:noProof/>
              </w:rPr>
              <w:t>3.13 Research Locations</w:t>
            </w:r>
            <w:r>
              <w:rPr>
                <w:noProof/>
                <w:webHidden/>
              </w:rPr>
              <w:tab/>
            </w:r>
            <w:r>
              <w:rPr>
                <w:noProof/>
                <w:webHidden/>
              </w:rPr>
              <w:fldChar w:fldCharType="begin"/>
            </w:r>
            <w:r>
              <w:rPr>
                <w:noProof/>
                <w:webHidden/>
              </w:rPr>
              <w:instrText xml:space="preserve"> PAGEREF _Toc240965968 \h </w:instrText>
            </w:r>
            <w:r>
              <w:rPr>
                <w:noProof/>
                <w:webHidden/>
              </w:rPr>
            </w:r>
            <w:r>
              <w:rPr>
                <w:noProof/>
                <w:webHidden/>
              </w:rPr>
              <w:fldChar w:fldCharType="separate"/>
            </w:r>
            <w:r>
              <w:rPr>
                <w:noProof/>
                <w:webHidden/>
              </w:rPr>
              <w:t>36</w:t>
            </w:r>
            <w:r>
              <w:rPr>
                <w:noProof/>
                <w:webHidden/>
              </w:rPr>
              <w:fldChar w:fldCharType="end"/>
            </w:r>
          </w:hyperlink>
        </w:p>
        <w:p w14:paraId="55C441FC" w14:textId="500226B8"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69" w:history="1">
            <w:r w:rsidRPr="00C85DA9">
              <w:rPr>
                <w:rStyle w:val="Hyperlink"/>
                <w:rFonts w:ascii="Arial" w:eastAsia="Arial" w:hAnsi="Arial" w:cs="Arial"/>
                <w:noProof/>
              </w:rPr>
              <w:t>3.14 Data Collection and Organisation</w:t>
            </w:r>
            <w:r>
              <w:rPr>
                <w:noProof/>
                <w:webHidden/>
              </w:rPr>
              <w:tab/>
            </w:r>
            <w:r>
              <w:rPr>
                <w:noProof/>
                <w:webHidden/>
              </w:rPr>
              <w:fldChar w:fldCharType="begin"/>
            </w:r>
            <w:r>
              <w:rPr>
                <w:noProof/>
                <w:webHidden/>
              </w:rPr>
              <w:instrText xml:space="preserve"> PAGEREF _Toc240965969 \h </w:instrText>
            </w:r>
            <w:r>
              <w:rPr>
                <w:noProof/>
                <w:webHidden/>
              </w:rPr>
            </w:r>
            <w:r>
              <w:rPr>
                <w:noProof/>
                <w:webHidden/>
              </w:rPr>
              <w:fldChar w:fldCharType="separate"/>
            </w:r>
            <w:r>
              <w:rPr>
                <w:noProof/>
                <w:webHidden/>
              </w:rPr>
              <w:t>37</w:t>
            </w:r>
            <w:r>
              <w:rPr>
                <w:noProof/>
                <w:webHidden/>
              </w:rPr>
              <w:fldChar w:fldCharType="end"/>
            </w:r>
          </w:hyperlink>
        </w:p>
        <w:p w14:paraId="65245163" w14:textId="38FE2FDF"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70" w:history="1">
            <w:r w:rsidRPr="00C85DA9">
              <w:rPr>
                <w:rStyle w:val="Hyperlink"/>
                <w:rFonts w:ascii="Arial" w:eastAsia="Arial" w:hAnsi="Arial" w:cs="Arial"/>
                <w:noProof/>
              </w:rPr>
              <w:t>3.15 Data Analysis.</w:t>
            </w:r>
            <w:r>
              <w:rPr>
                <w:noProof/>
                <w:webHidden/>
              </w:rPr>
              <w:tab/>
            </w:r>
            <w:r>
              <w:rPr>
                <w:noProof/>
                <w:webHidden/>
              </w:rPr>
              <w:fldChar w:fldCharType="begin"/>
            </w:r>
            <w:r>
              <w:rPr>
                <w:noProof/>
                <w:webHidden/>
              </w:rPr>
              <w:instrText xml:space="preserve"> PAGEREF _Toc240965970 \h </w:instrText>
            </w:r>
            <w:r>
              <w:rPr>
                <w:noProof/>
                <w:webHidden/>
              </w:rPr>
            </w:r>
            <w:r>
              <w:rPr>
                <w:noProof/>
                <w:webHidden/>
              </w:rPr>
              <w:fldChar w:fldCharType="separate"/>
            </w:r>
            <w:r>
              <w:rPr>
                <w:noProof/>
                <w:webHidden/>
              </w:rPr>
              <w:t>38</w:t>
            </w:r>
            <w:r>
              <w:rPr>
                <w:noProof/>
                <w:webHidden/>
              </w:rPr>
              <w:fldChar w:fldCharType="end"/>
            </w:r>
          </w:hyperlink>
        </w:p>
        <w:p w14:paraId="3D5331EF" w14:textId="4F40BB8F"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71" w:history="1">
            <w:r w:rsidRPr="00C85DA9">
              <w:rPr>
                <w:rStyle w:val="Hyperlink"/>
                <w:rFonts w:ascii="Arial" w:eastAsia="Arial" w:hAnsi="Arial" w:cs="Arial"/>
                <w:noProof/>
              </w:rPr>
              <w:t>3.16 Reflexivity and Decolonial Commitments.</w:t>
            </w:r>
            <w:r>
              <w:rPr>
                <w:noProof/>
                <w:webHidden/>
              </w:rPr>
              <w:tab/>
            </w:r>
            <w:r>
              <w:rPr>
                <w:noProof/>
                <w:webHidden/>
              </w:rPr>
              <w:fldChar w:fldCharType="begin"/>
            </w:r>
            <w:r>
              <w:rPr>
                <w:noProof/>
                <w:webHidden/>
              </w:rPr>
              <w:instrText xml:space="preserve"> PAGEREF _Toc240965971 \h </w:instrText>
            </w:r>
            <w:r>
              <w:rPr>
                <w:noProof/>
                <w:webHidden/>
              </w:rPr>
            </w:r>
            <w:r>
              <w:rPr>
                <w:noProof/>
                <w:webHidden/>
              </w:rPr>
              <w:fldChar w:fldCharType="separate"/>
            </w:r>
            <w:r>
              <w:rPr>
                <w:noProof/>
                <w:webHidden/>
              </w:rPr>
              <w:t>38</w:t>
            </w:r>
            <w:r>
              <w:rPr>
                <w:noProof/>
                <w:webHidden/>
              </w:rPr>
              <w:fldChar w:fldCharType="end"/>
            </w:r>
          </w:hyperlink>
        </w:p>
        <w:p w14:paraId="3BAF780A" w14:textId="19B3CAE6"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72" w:history="1">
            <w:r w:rsidRPr="00C85DA9">
              <w:rPr>
                <w:rStyle w:val="Hyperlink"/>
                <w:rFonts w:ascii="Arial" w:eastAsia="Arial" w:hAnsi="Arial" w:cs="Arial"/>
                <w:noProof/>
              </w:rPr>
              <w:t>3.17 Conclusion.</w:t>
            </w:r>
            <w:r>
              <w:rPr>
                <w:noProof/>
                <w:webHidden/>
              </w:rPr>
              <w:tab/>
            </w:r>
            <w:r>
              <w:rPr>
                <w:noProof/>
                <w:webHidden/>
              </w:rPr>
              <w:fldChar w:fldCharType="begin"/>
            </w:r>
            <w:r>
              <w:rPr>
                <w:noProof/>
                <w:webHidden/>
              </w:rPr>
              <w:instrText xml:space="preserve"> PAGEREF _Toc240965972 \h </w:instrText>
            </w:r>
            <w:r>
              <w:rPr>
                <w:noProof/>
                <w:webHidden/>
              </w:rPr>
            </w:r>
            <w:r>
              <w:rPr>
                <w:noProof/>
                <w:webHidden/>
              </w:rPr>
              <w:fldChar w:fldCharType="separate"/>
            </w:r>
            <w:r>
              <w:rPr>
                <w:noProof/>
                <w:webHidden/>
              </w:rPr>
              <w:t>39</w:t>
            </w:r>
            <w:r>
              <w:rPr>
                <w:noProof/>
                <w:webHidden/>
              </w:rPr>
              <w:fldChar w:fldCharType="end"/>
            </w:r>
          </w:hyperlink>
        </w:p>
        <w:p w14:paraId="559CE5C8" w14:textId="1BB04B27" w:rsidR="00F44422" w:rsidRDefault="00F44422">
          <w:pPr>
            <w:pStyle w:val="TOC1"/>
            <w:rPr>
              <w:rFonts w:asciiTheme="minorHAnsi" w:eastAsiaTheme="minorEastAsia" w:hAnsiTheme="minorHAnsi" w:cstheme="minorBidi"/>
              <w:b w:val="0"/>
              <w:bCs w:val="0"/>
              <w:kern w:val="2"/>
              <w14:ligatures w14:val="standardContextual"/>
            </w:rPr>
          </w:pPr>
          <w:hyperlink w:anchor="_Toc240965973" w:history="1">
            <w:r w:rsidRPr="00C85DA9">
              <w:rPr>
                <w:rStyle w:val="Hyperlink"/>
                <w:rFonts w:eastAsia="Arial"/>
              </w:rPr>
              <w:t>4.0 A review of the literature</w:t>
            </w:r>
            <w:r>
              <w:rPr>
                <w:webHidden/>
              </w:rPr>
              <w:tab/>
            </w:r>
            <w:r>
              <w:rPr>
                <w:webHidden/>
              </w:rPr>
              <w:fldChar w:fldCharType="begin"/>
            </w:r>
            <w:r>
              <w:rPr>
                <w:webHidden/>
              </w:rPr>
              <w:instrText xml:space="preserve"> PAGEREF _Toc240965973 \h </w:instrText>
            </w:r>
            <w:r>
              <w:rPr>
                <w:webHidden/>
              </w:rPr>
            </w:r>
            <w:r>
              <w:rPr>
                <w:webHidden/>
              </w:rPr>
              <w:fldChar w:fldCharType="separate"/>
            </w:r>
            <w:r>
              <w:rPr>
                <w:webHidden/>
              </w:rPr>
              <w:t>40</w:t>
            </w:r>
            <w:r>
              <w:rPr>
                <w:webHidden/>
              </w:rPr>
              <w:fldChar w:fldCharType="end"/>
            </w:r>
          </w:hyperlink>
        </w:p>
        <w:p w14:paraId="7F2814CD" w14:textId="0BD0B7BC"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74" w:history="1">
            <w:r w:rsidRPr="00C85DA9">
              <w:rPr>
                <w:rStyle w:val="Hyperlink"/>
                <w:rFonts w:ascii="Arial" w:eastAsia="Arial" w:hAnsi="Arial" w:cs="Arial"/>
                <w:noProof/>
              </w:rPr>
              <w:t>Introduction</w:t>
            </w:r>
            <w:r>
              <w:rPr>
                <w:noProof/>
                <w:webHidden/>
              </w:rPr>
              <w:tab/>
            </w:r>
            <w:r>
              <w:rPr>
                <w:noProof/>
                <w:webHidden/>
              </w:rPr>
              <w:fldChar w:fldCharType="begin"/>
            </w:r>
            <w:r>
              <w:rPr>
                <w:noProof/>
                <w:webHidden/>
              </w:rPr>
              <w:instrText xml:space="preserve"> PAGEREF _Toc240965974 \h </w:instrText>
            </w:r>
            <w:r>
              <w:rPr>
                <w:noProof/>
                <w:webHidden/>
              </w:rPr>
            </w:r>
            <w:r>
              <w:rPr>
                <w:noProof/>
                <w:webHidden/>
              </w:rPr>
              <w:fldChar w:fldCharType="separate"/>
            </w:r>
            <w:r>
              <w:rPr>
                <w:noProof/>
                <w:webHidden/>
              </w:rPr>
              <w:t>40</w:t>
            </w:r>
            <w:r>
              <w:rPr>
                <w:noProof/>
                <w:webHidden/>
              </w:rPr>
              <w:fldChar w:fldCharType="end"/>
            </w:r>
          </w:hyperlink>
        </w:p>
        <w:p w14:paraId="3FB2F2EF" w14:textId="6ECAEA1C"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75" w:history="1">
            <w:r w:rsidRPr="00C85DA9">
              <w:rPr>
                <w:rStyle w:val="Hyperlink"/>
                <w:rFonts w:ascii="Arial" w:eastAsia="Arial" w:hAnsi="Arial" w:cs="Arial"/>
                <w:noProof/>
              </w:rPr>
              <w:t>4.1 The Modus of Sustainable Progress</w:t>
            </w:r>
            <w:r>
              <w:rPr>
                <w:noProof/>
                <w:webHidden/>
              </w:rPr>
              <w:tab/>
            </w:r>
            <w:r>
              <w:rPr>
                <w:noProof/>
                <w:webHidden/>
              </w:rPr>
              <w:fldChar w:fldCharType="begin"/>
            </w:r>
            <w:r>
              <w:rPr>
                <w:noProof/>
                <w:webHidden/>
              </w:rPr>
              <w:instrText xml:space="preserve"> PAGEREF _Toc240965975 \h </w:instrText>
            </w:r>
            <w:r>
              <w:rPr>
                <w:noProof/>
                <w:webHidden/>
              </w:rPr>
            </w:r>
            <w:r>
              <w:rPr>
                <w:noProof/>
                <w:webHidden/>
              </w:rPr>
              <w:fldChar w:fldCharType="separate"/>
            </w:r>
            <w:r>
              <w:rPr>
                <w:noProof/>
                <w:webHidden/>
              </w:rPr>
              <w:t>40</w:t>
            </w:r>
            <w:r>
              <w:rPr>
                <w:noProof/>
                <w:webHidden/>
              </w:rPr>
              <w:fldChar w:fldCharType="end"/>
            </w:r>
          </w:hyperlink>
        </w:p>
        <w:p w14:paraId="4F1E9B68" w14:textId="5FE877E6"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76" w:history="1">
            <w:r w:rsidRPr="00C85DA9">
              <w:rPr>
                <w:rStyle w:val="Hyperlink"/>
                <w:rFonts w:ascii="Arial" w:eastAsia="Arial" w:hAnsi="Arial" w:cs="Arial"/>
                <w:noProof/>
              </w:rPr>
              <w:t>4.2 Tourism and the Crisis of Plutonomy</w:t>
            </w:r>
            <w:r>
              <w:rPr>
                <w:noProof/>
                <w:webHidden/>
              </w:rPr>
              <w:tab/>
            </w:r>
            <w:r>
              <w:rPr>
                <w:noProof/>
                <w:webHidden/>
              </w:rPr>
              <w:fldChar w:fldCharType="begin"/>
            </w:r>
            <w:r>
              <w:rPr>
                <w:noProof/>
                <w:webHidden/>
              </w:rPr>
              <w:instrText xml:space="preserve"> PAGEREF _Toc240965976 \h </w:instrText>
            </w:r>
            <w:r>
              <w:rPr>
                <w:noProof/>
                <w:webHidden/>
              </w:rPr>
            </w:r>
            <w:r>
              <w:rPr>
                <w:noProof/>
                <w:webHidden/>
              </w:rPr>
              <w:fldChar w:fldCharType="separate"/>
            </w:r>
            <w:r>
              <w:rPr>
                <w:noProof/>
                <w:webHidden/>
              </w:rPr>
              <w:t>40</w:t>
            </w:r>
            <w:r>
              <w:rPr>
                <w:noProof/>
                <w:webHidden/>
              </w:rPr>
              <w:fldChar w:fldCharType="end"/>
            </w:r>
          </w:hyperlink>
        </w:p>
        <w:p w14:paraId="643CC3CA" w14:textId="3A4DB25C"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77" w:history="1">
            <w:r w:rsidRPr="00C85DA9">
              <w:rPr>
                <w:rStyle w:val="Hyperlink"/>
                <w:rFonts w:ascii="Arial" w:eastAsia="Arial" w:hAnsi="Arial" w:cs="Arial"/>
                <w:noProof/>
              </w:rPr>
              <w:t>4.3 Community-Based Tourism and the Emergence of Diverse Economies</w:t>
            </w:r>
            <w:r>
              <w:rPr>
                <w:noProof/>
                <w:webHidden/>
              </w:rPr>
              <w:tab/>
            </w:r>
            <w:r>
              <w:rPr>
                <w:noProof/>
                <w:webHidden/>
              </w:rPr>
              <w:fldChar w:fldCharType="begin"/>
            </w:r>
            <w:r>
              <w:rPr>
                <w:noProof/>
                <w:webHidden/>
              </w:rPr>
              <w:instrText xml:space="preserve"> PAGEREF _Toc240965977 \h </w:instrText>
            </w:r>
            <w:r>
              <w:rPr>
                <w:noProof/>
                <w:webHidden/>
              </w:rPr>
            </w:r>
            <w:r>
              <w:rPr>
                <w:noProof/>
                <w:webHidden/>
              </w:rPr>
              <w:fldChar w:fldCharType="separate"/>
            </w:r>
            <w:r>
              <w:rPr>
                <w:noProof/>
                <w:webHidden/>
              </w:rPr>
              <w:t>41</w:t>
            </w:r>
            <w:r>
              <w:rPr>
                <w:noProof/>
                <w:webHidden/>
              </w:rPr>
              <w:fldChar w:fldCharType="end"/>
            </w:r>
          </w:hyperlink>
        </w:p>
        <w:p w14:paraId="0A300284" w14:textId="59C8505B"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78" w:history="1">
            <w:r w:rsidRPr="00C85DA9">
              <w:rPr>
                <w:rStyle w:val="Hyperlink"/>
                <w:rFonts w:ascii="Arial" w:eastAsia="Arial" w:hAnsi="Arial" w:cs="Arial"/>
                <w:noProof/>
              </w:rPr>
              <w:t>4.4 The Limits of Diverse Economies within Settler Colonial Frameworks</w:t>
            </w:r>
            <w:r>
              <w:rPr>
                <w:noProof/>
                <w:webHidden/>
              </w:rPr>
              <w:tab/>
            </w:r>
            <w:r>
              <w:rPr>
                <w:noProof/>
                <w:webHidden/>
              </w:rPr>
              <w:fldChar w:fldCharType="begin"/>
            </w:r>
            <w:r>
              <w:rPr>
                <w:noProof/>
                <w:webHidden/>
              </w:rPr>
              <w:instrText xml:space="preserve"> PAGEREF _Toc240965978 \h </w:instrText>
            </w:r>
            <w:r>
              <w:rPr>
                <w:noProof/>
                <w:webHidden/>
              </w:rPr>
            </w:r>
            <w:r>
              <w:rPr>
                <w:noProof/>
                <w:webHidden/>
              </w:rPr>
              <w:fldChar w:fldCharType="separate"/>
            </w:r>
            <w:r>
              <w:rPr>
                <w:noProof/>
                <w:webHidden/>
              </w:rPr>
              <w:t>41</w:t>
            </w:r>
            <w:r>
              <w:rPr>
                <w:noProof/>
                <w:webHidden/>
              </w:rPr>
              <w:fldChar w:fldCharType="end"/>
            </w:r>
          </w:hyperlink>
        </w:p>
        <w:p w14:paraId="6EDD252B" w14:textId="743F5D35"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79" w:history="1">
            <w:r w:rsidRPr="00C85DA9">
              <w:rPr>
                <w:rStyle w:val="Hyperlink"/>
                <w:rFonts w:ascii="Arial" w:eastAsia="Arial" w:hAnsi="Arial" w:cs="Arial"/>
                <w:noProof/>
              </w:rPr>
              <w:t>4.5 Cannibal Capitalism: The Consumptive Logic of Capital</w:t>
            </w:r>
            <w:r>
              <w:rPr>
                <w:noProof/>
                <w:webHidden/>
              </w:rPr>
              <w:tab/>
            </w:r>
            <w:r>
              <w:rPr>
                <w:noProof/>
                <w:webHidden/>
              </w:rPr>
              <w:fldChar w:fldCharType="begin"/>
            </w:r>
            <w:r>
              <w:rPr>
                <w:noProof/>
                <w:webHidden/>
              </w:rPr>
              <w:instrText xml:space="preserve"> PAGEREF _Toc240965979 \h </w:instrText>
            </w:r>
            <w:r>
              <w:rPr>
                <w:noProof/>
                <w:webHidden/>
              </w:rPr>
            </w:r>
            <w:r>
              <w:rPr>
                <w:noProof/>
                <w:webHidden/>
              </w:rPr>
              <w:fldChar w:fldCharType="separate"/>
            </w:r>
            <w:r>
              <w:rPr>
                <w:noProof/>
                <w:webHidden/>
              </w:rPr>
              <w:t>42</w:t>
            </w:r>
            <w:r>
              <w:rPr>
                <w:noProof/>
                <w:webHidden/>
              </w:rPr>
              <w:fldChar w:fldCharType="end"/>
            </w:r>
          </w:hyperlink>
        </w:p>
        <w:p w14:paraId="34E7CAB3" w14:textId="7A0C18BC"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80" w:history="1">
            <w:r w:rsidRPr="00C85DA9">
              <w:rPr>
                <w:rStyle w:val="Hyperlink"/>
                <w:rFonts w:ascii="Arial" w:eastAsia="Arial" w:hAnsi="Arial" w:cs="Arial"/>
                <w:noProof/>
              </w:rPr>
              <w:t>4.6 A Structural and Representational Critique of Tourism Economies</w:t>
            </w:r>
            <w:r>
              <w:rPr>
                <w:noProof/>
                <w:webHidden/>
              </w:rPr>
              <w:tab/>
            </w:r>
            <w:r>
              <w:rPr>
                <w:noProof/>
                <w:webHidden/>
              </w:rPr>
              <w:fldChar w:fldCharType="begin"/>
            </w:r>
            <w:r>
              <w:rPr>
                <w:noProof/>
                <w:webHidden/>
              </w:rPr>
              <w:instrText xml:space="preserve"> PAGEREF _Toc240965980 \h </w:instrText>
            </w:r>
            <w:r>
              <w:rPr>
                <w:noProof/>
                <w:webHidden/>
              </w:rPr>
            </w:r>
            <w:r>
              <w:rPr>
                <w:noProof/>
                <w:webHidden/>
              </w:rPr>
              <w:fldChar w:fldCharType="separate"/>
            </w:r>
            <w:r>
              <w:rPr>
                <w:noProof/>
                <w:webHidden/>
              </w:rPr>
              <w:t>43</w:t>
            </w:r>
            <w:r>
              <w:rPr>
                <w:noProof/>
                <w:webHidden/>
              </w:rPr>
              <w:fldChar w:fldCharType="end"/>
            </w:r>
          </w:hyperlink>
        </w:p>
        <w:p w14:paraId="3B57F40B" w14:textId="3F88EC2D"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81" w:history="1">
            <w:r w:rsidRPr="00C85DA9">
              <w:rPr>
                <w:rStyle w:val="Hyperlink"/>
                <w:rFonts w:ascii="Arial" w:eastAsia="Arial" w:hAnsi="Arial" w:cs="Arial"/>
                <w:noProof/>
              </w:rPr>
              <w:t>4.7 Conclusion: Decolonising the Economic Imagination in Tourism</w:t>
            </w:r>
            <w:r>
              <w:rPr>
                <w:noProof/>
                <w:webHidden/>
              </w:rPr>
              <w:tab/>
            </w:r>
            <w:r>
              <w:rPr>
                <w:noProof/>
                <w:webHidden/>
              </w:rPr>
              <w:fldChar w:fldCharType="begin"/>
            </w:r>
            <w:r>
              <w:rPr>
                <w:noProof/>
                <w:webHidden/>
              </w:rPr>
              <w:instrText xml:space="preserve"> PAGEREF _Toc240965981 \h </w:instrText>
            </w:r>
            <w:r>
              <w:rPr>
                <w:noProof/>
                <w:webHidden/>
              </w:rPr>
            </w:r>
            <w:r>
              <w:rPr>
                <w:noProof/>
                <w:webHidden/>
              </w:rPr>
              <w:fldChar w:fldCharType="separate"/>
            </w:r>
            <w:r>
              <w:rPr>
                <w:noProof/>
                <w:webHidden/>
              </w:rPr>
              <w:t>43</w:t>
            </w:r>
            <w:r>
              <w:rPr>
                <w:noProof/>
                <w:webHidden/>
              </w:rPr>
              <w:fldChar w:fldCharType="end"/>
            </w:r>
          </w:hyperlink>
        </w:p>
        <w:p w14:paraId="383A1A9F" w14:textId="641B42A7" w:rsidR="00F44422" w:rsidRDefault="00F44422">
          <w:pPr>
            <w:pStyle w:val="TOC1"/>
            <w:rPr>
              <w:rFonts w:asciiTheme="minorHAnsi" w:eastAsiaTheme="minorEastAsia" w:hAnsiTheme="minorHAnsi" w:cstheme="minorBidi"/>
              <w:b w:val="0"/>
              <w:bCs w:val="0"/>
              <w:kern w:val="2"/>
              <w14:ligatures w14:val="standardContextual"/>
            </w:rPr>
          </w:pPr>
          <w:hyperlink w:anchor="_Toc240965982" w:history="1">
            <w:r w:rsidRPr="00C85DA9">
              <w:rPr>
                <w:rStyle w:val="Hyperlink"/>
                <w:rFonts w:eastAsia="Arial"/>
              </w:rPr>
              <w:t>4.8 The Ideological Infrastructure of Sustainable Tourism</w:t>
            </w:r>
            <w:r>
              <w:rPr>
                <w:webHidden/>
              </w:rPr>
              <w:tab/>
            </w:r>
            <w:r>
              <w:rPr>
                <w:webHidden/>
              </w:rPr>
              <w:fldChar w:fldCharType="begin"/>
            </w:r>
            <w:r>
              <w:rPr>
                <w:webHidden/>
              </w:rPr>
              <w:instrText xml:space="preserve"> PAGEREF _Toc240965982 \h </w:instrText>
            </w:r>
            <w:r>
              <w:rPr>
                <w:webHidden/>
              </w:rPr>
            </w:r>
            <w:r>
              <w:rPr>
                <w:webHidden/>
              </w:rPr>
              <w:fldChar w:fldCharType="separate"/>
            </w:r>
            <w:r>
              <w:rPr>
                <w:webHidden/>
              </w:rPr>
              <w:t>44</w:t>
            </w:r>
            <w:r>
              <w:rPr>
                <w:webHidden/>
              </w:rPr>
              <w:fldChar w:fldCharType="end"/>
            </w:r>
          </w:hyperlink>
        </w:p>
        <w:p w14:paraId="281C0A53" w14:textId="1342BC5B"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83" w:history="1">
            <w:r w:rsidRPr="00C85DA9">
              <w:rPr>
                <w:rStyle w:val="Hyperlink"/>
                <w:rFonts w:ascii="Arial" w:eastAsia="Arial" w:hAnsi="Arial" w:cs="Arial"/>
                <w:noProof/>
              </w:rPr>
              <w:t>4.9 Land, Labour, and Representation: Sustainable Tourism</w:t>
            </w:r>
            <w:r>
              <w:rPr>
                <w:noProof/>
                <w:webHidden/>
              </w:rPr>
              <w:tab/>
            </w:r>
            <w:r>
              <w:rPr>
                <w:noProof/>
                <w:webHidden/>
              </w:rPr>
              <w:fldChar w:fldCharType="begin"/>
            </w:r>
            <w:r>
              <w:rPr>
                <w:noProof/>
                <w:webHidden/>
              </w:rPr>
              <w:instrText xml:space="preserve"> PAGEREF _Toc240965983 \h </w:instrText>
            </w:r>
            <w:r>
              <w:rPr>
                <w:noProof/>
                <w:webHidden/>
              </w:rPr>
            </w:r>
            <w:r>
              <w:rPr>
                <w:noProof/>
                <w:webHidden/>
              </w:rPr>
              <w:fldChar w:fldCharType="separate"/>
            </w:r>
            <w:r>
              <w:rPr>
                <w:noProof/>
                <w:webHidden/>
              </w:rPr>
              <w:t>45</w:t>
            </w:r>
            <w:r>
              <w:rPr>
                <w:noProof/>
                <w:webHidden/>
              </w:rPr>
              <w:fldChar w:fldCharType="end"/>
            </w:r>
          </w:hyperlink>
        </w:p>
        <w:p w14:paraId="56C4CD58" w14:textId="045D76CF"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84" w:history="1">
            <w:r w:rsidRPr="00C85DA9">
              <w:rPr>
                <w:rStyle w:val="Hyperlink"/>
                <w:rFonts w:ascii="Arial" w:eastAsia="Arial" w:hAnsi="Arial" w:cs="Arial"/>
                <w:noProof/>
              </w:rPr>
              <w:t>4.10 The Limits of Environmental Critique</w:t>
            </w:r>
            <w:r>
              <w:rPr>
                <w:noProof/>
                <w:webHidden/>
              </w:rPr>
              <w:tab/>
            </w:r>
            <w:r>
              <w:rPr>
                <w:noProof/>
                <w:webHidden/>
              </w:rPr>
              <w:fldChar w:fldCharType="begin"/>
            </w:r>
            <w:r>
              <w:rPr>
                <w:noProof/>
                <w:webHidden/>
              </w:rPr>
              <w:instrText xml:space="preserve"> PAGEREF _Toc240965984 \h </w:instrText>
            </w:r>
            <w:r>
              <w:rPr>
                <w:noProof/>
                <w:webHidden/>
              </w:rPr>
            </w:r>
            <w:r>
              <w:rPr>
                <w:noProof/>
                <w:webHidden/>
              </w:rPr>
              <w:fldChar w:fldCharType="separate"/>
            </w:r>
            <w:r>
              <w:rPr>
                <w:noProof/>
                <w:webHidden/>
              </w:rPr>
              <w:t>45</w:t>
            </w:r>
            <w:r>
              <w:rPr>
                <w:noProof/>
                <w:webHidden/>
              </w:rPr>
              <w:fldChar w:fldCharType="end"/>
            </w:r>
          </w:hyperlink>
        </w:p>
        <w:p w14:paraId="570695D7" w14:textId="6D9661FF" w:rsidR="00F44422" w:rsidRDefault="00F44422">
          <w:pPr>
            <w:pStyle w:val="TOC3"/>
            <w:tabs>
              <w:tab w:val="right" w:pos="9016"/>
            </w:tabs>
            <w:rPr>
              <w:rFonts w:asciiTheme="minorHAnsi" w:eastAsiaTheme="minorEastAsia" w:hAnsiTheme="minorHAnsi" w:cstheme="minorBidi"/>
              <w:noProof/>
              <w:kern w:val="2"/>
              <w14:ligatures w14:val="standardContextual"/>
            </w:rPr>
          </w:pPr>
          <w:hyperlink w:anchor="_Toc240965985" w:history="1">
            <w:r w:rsidRPr="00C85DA9">
              <w:rPr>
                <w:rStyle w:val="Hyperlink"/>
                <w:rFonts w:ascii="Arial" w:eastAsia="Arial" w:hAnsi="Arial" w:cs="Arial"/>
                <w:noProof/>
              </w:rPr>
              <w:t>4.11 Indigenous and Decolonial Interventions: From Spectacle to Sovereignty</w:t>
            </w:r>
            <w:r>
              <w:rPr>
                <w:noProof/>
                <w:webHidden/>
              </w:rPr>
              <w:tab/>
            </w:r>
            <w:r>
              <w:rPr>
                <w:noProof/>
                <w:webHidden/>
              </w:rPr>
              <w:fldChar w:fldCharType="begin"/>
            </w:r>
            <w:r>
              <w:rPr>
                <w:noProof/>
                <w:webHidden/>
              </w:rPr>
              <w:instrText xml:space="preserve"> PAGEREF _Toc240965985 \h </w:instrText>
            </w:r>
            <w:r>
              <w:rPr>
                <w:noProof/>
                <w:webHidden/>
              </w:rPr>
            </w:r>
            <w:r>
              <w:rPr>
                <w:noProof/>
                <w:webHidden/>
              </w:rPr>
              <w:fldChar w:fldCharType="separate"/>
            </w:r>
            <w:r>
              <w:rPr>
                <w:noProof/>
                <w:webHidden/>
              </w:rPr>
              <w:t>46</w:t>
            </w:r>
            <w:r>
              <w:rPr>
                <w:noProof/>
                <w:webHidden/>
              </w:rPr>
              <w:fldChar w:fldCharType="end"/>
            </w:r>
          </w:hyperlink>
        </w:p>
        <w:p w14:paraId="32AF3006" w14:textId="02F2C991"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86" w:history="1">
            <w:r w:rsidRPr="00C85DA9">
              <w:rPr>
                <w:rStyle w:val="Hyperlink"/>
                <w:rFonts w:ascii="Arial" w:eastAsia="Arial" w:hAnsi="Arial" w:cs="Arial"/>
                <w:noProof/>
              </w:rPr>
              <w:t>4.12 Curated Indigeneity and Settler Desire: The Unexplored Representational Gap</w:t>
            </w:r>
            <w:r>
              <w:rPr>
                <w:noProof/>
                <w:webHidden/>
              </w:rPr>
              <w:tab/>
            </w:r>
            <w:r>
              <w:rPr>
                <w:noProof/>
                <w:webHidden/>
              </w:rPr>
              <w:fldChar w:fldCharType="begin"/>
            </w:r>
            <w:r>
              <w:rPr>
                <w:noProof/>
                <w:webHidden/>
              </w:rPr>
              <w:instrText xml:space="preserve"> PAGEREF _Toc240965986 \h </w:instrText>
            </w:r>
            <w:r>
              <w:rPr>
                <w:noProof/>
                <w:webHidden/>
              </w:rPr>
            </w:r>
            <w:r>
              <w:rPr>
                <w:noProof/>
                <w:webHidden/>
              </w:rPr>
              <w:fldChar w:fldCharType="separate"/>
            </w:r>
            <w:r>
              <w:rPr>
                <w:noProof/>
                <w:webHidden/>
              </w:rPr>
              <w:t>46</w:t>
            </w:r>
            <w:r>
              <w:rPr>
                <w:noProof/>
                <w:webHidden/>
              </w:rPr>
              <w:fldChar w:fldCharType="end"/>
            </w:r>
          </w:hyperlink>
        </w:p>
        <w:p w14:paraId="05D224A2" w14:textId="192F8DDF"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87" w:history="1">
            <w:r w:rsidRPr="00C85DA9">
              <w:rPr>
                <w:rStyle w:val="Hyperlink"/>
                <w:rFonts w:ascii="Arial" w:eastAsia="Arial" w:hAnsi="Arial" w:cs="Arial"/>
                <w:noProof/>
              </w:rPr>
              <w:t>4.13 Conclusion: Toward an Anti-Colonial Reading of Sustainable Tourism</w:t>
            </w:r>
            <w:r>
              <w:rPr>
                <w:noProof/>
                <w:webHidden/>
              </w:rPr>
              <w:tab/>
            </w:r>
            <w:r>
              <w:rPr>
                <w:noProof/>
                <w:webHidden/>
              </w:rPr>
              <w:fldChar w:fldCharType="begin"/>
            </w:r>
            <w:r>
              <w:rPr>
                <w:noProof/>
                <w:webHidden/>
              </w:rPr>
              <w:instrText xml:space="preserve"> PAGEREF _Toc240965987 \h </w:instrText>
            </w:r>
            <w:r>
              <w:rPr>
                <w:noProof/>
                <w:webHidden/>
              </w:rPr>
            </w:r>
            <w:r>
              <w:rPr>
                <w:noProof/>
                <w:webHidden/>
              </w:rPr>
              <w:fldChar w:fldCharType="separate"/>
            </w:r>
            <w:r>
              <w:rPr>
                <w:noProof/>
                <w:webHidden/>
              </w:rPr>
              <w:t>47</w:t>
            </w:r>
            <w:r>
              <w:rPr>
                <w:noProof/>
                <w:webHidden/>
              </w:rPr>
              <w:fldChar w:fldCharType="end"/>
            </w:r>
          </w:hyperlink>
        </w:p>
        <w:p w14:paraId="69D41525" w14:textId="686FA052"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88" w:history="1">
            <w:r w:rsidRPr="00C85DA9">
              <w:rPr>
                <w:rStyle w:val="Hyperlink"/>
                <w:rFonts w:ascii="Arial" w:eastAsia="Arial" w:hAnsi="Arial" w:cs="Arial"/>
                <w:noProof/>
              </w:rPr>
              <w:t>4.14 Race: What Is It Good For?</w:t>
            </w:r>
            <w:r>
              <w:rPr>
                <w:noProof/>
                <w:webHidden/>
              </w:rPr>
              <w:tab/>
            </w:r>
            <w:r>
              <w:rPr>
                <w:noProof/>
                <w:webHidden/>
              </w:rPr>
              <w:fldChar w:fldCharType="begin"/>
            </w:r>
            <w:r>
              <w:rPr>
                <w:noProof/>
                <w:webHidden/>
              </w:rPr>
              <w:instrText xml:space="preserve"> PAGEREF _Toc240965988 \h </w:instrText>
            </w:r>
            <w:r>
              <w:rPr>
                <w:noProof/>
                <w:webHidden/>
              </w:rPr>
            </w:r>
            <w:r>
              <w:rPr>
                <w:noProof/>
                <w:webHidden/>
              </w:rPr>
              <w:fldChar w:fldCharType="separate"/>
            </w:r>
            <w:r>
              <w:rPr>
                <w:noProof/>
                <w:webHidden/>
              </w:rPr>
              <w:t>48</w:t>
            </w:r>
            <w:r>
              <w:rPr>
                <w:noProof/>
                <w:webHidden/>
              </w:rPr>
              <w:fldChar w:fldCharType="end"/>
            </w:r>
          </w:hyperlink>
        </w:p>
        <w:p w14:paraId="083C126C" w14:textId="7A5C6534"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89" w:history="1">
            <w:r w:rsidRPr="00C85DA9">
              <w:rPr>
                <w:rStyle w:val="Hyperlink"/>
                <w:rFonts w:ascii="Arial" w:eastAsia="Arial" w:hAnsi="Arial" w:cs="Arial"/>
                <w:noProof/>
              </w:rPr>
              <w:t>4.15 What is Race? A Genealogy of Violence</w:t>
            </w:r>
            <w:r>
              <w:rPr>
                <w:noProof/>
                <w:webHidden/>
              </w:rPr>
              <w:tab/>
            </w:r>
            <w:r>
              <w:rPr>
                <w:noProof/>
                <w:webHidden/>
              </w:rPr>
              <w:fldChar w:fldCharType="begin"/>
            </w:r>
            <w:r>
              <w:rPr>
                <w:noProof/>
                <w:webHidden/>
              </w:rPr>
              <w:instrText xml:space="preserve"> PAGEREF _Toc240965989 \h </w:instrText>
            </w:r>
            <w:r>
              <w:rPr>
                <w:noProof/>
                <w:webHidden/>
              </w:rPr>
            </w:r>
            <w:r>
              <w:rPr>
                <w:noProof/>
                <w:webHidden/>
              </w:rPr>
              <w:fldChar w:fldCharType="separate"/>
            </w:r>
            <w:r>
              <w:rPr>
                <w:noProof/>
                <w:webHidden/>
              </w:rPr>
              <w:t>48</w:t>
            </w:r>
            <w:r>
              <w:rPr>
                <w:noProof/>
                <w:webHidden/>
              </w:rPr>
              <w:fldChar w:fldCharType="end"/>
            </w:r>
          </w:hyperlink>
        </w:p>
        <w:p w14:paraId="039B74E2" w14:textId="2C946E31"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90" w:history="1">
            <w:r w:rsidRPr="00C85DA9">
              <w:rPr>
                <w:rStyle w:val="Hyperlink"/>
                <w:rFonts w:ascii="Arial" w:eastAsia="Arial" w:hAnsi="Arial" w:cs="Arial"/>
                <w:noProof/>
              </w:rPr>
              <w:t>4.16 Institutionalised Racism and Epistemic Violence</w:t>
            </w:r>
            <w:r>
              <w:rPr>
                <w:noProof/>
                <w:webHidden/>
              </w:rPr>
              <w:tab/>
            </w:r>
            <w:r>
              <w:rPr>
                <w:noProof/>
                <w:webHidden/>
              </w:rPr>
              <w:fldChar w:fldCharType="begin"/>
            </w:r>
            <w:r>
              <w:rPr>
                <w:noProof/>
                <w:webHidden/>
              </w:rPr>
              <w:instrText xml:space="preserve"> PAGEREF _Toc240965990 \h </w:instrText>
            </w:r>
            <w:r>
              <w:rPr>
                <w:noProof/>
                <w:webHidden/>
              </w:rPr>
            </w:r>
            <w:r>
              <w:rPr>
                <w:noProof/>
                <w:webHidden/>
              </w:rPr>
              <w:fldChar w:fldCharType="separate"/>
            </w:r>
            <w:r>
              <w:rPr>
                <w:noProof/>
                <w:webHidden/>
              </w:rPr>
              <w:t>49</w:t>
            </w:r>
            <w:r>
              <w:rPr>
                <w:noProof/>
                <w:webHidden/>
              </w:rPr>
              <w:fldChar w:fldCharType="end"/>
            </w:r>
          </w:hyperlink>
        </w:p>
        <w:p w14:paraId="7DDFA5B0" w14:textId="1473DEF1"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91" w:history="1">
            <w:r w:rsidRPr="00C85DA9">
              <w:rPr>
                <w:rStyle w:val="Hyperlink"/>
                <w:rFonts w:ascii="Arial" w:eastAsia="Arial" w:hAnsi="Arial" w:cs="Arial"/>
                <w:noProof/>
              </w:rPr>
              <w:t>4.17 Settler Memory and the Racialised Past</w:t>
            </w:r>
            <w:r>
              <w:rPr>
                <w:noProof/>
                <w:webHidden/>
              </w:rPr>
              <w:tab/>
            </w:r>
            <w:r>
              <w:rPr>
                <w:noProof/>
                <w:webHidden/>
              </w:rPr>
              <w:fldChar w:fldCharType="begin"/>
            </w:r>
            <w:r>
              <w:rPr>
                <w:noProof/>
                <w:webHidden/>
              </w:rPr>
              <w:instrText xml:space="preserve"> PAGEREF _Toc240965991 \h </w:instrText>
            </w:r>
            <w:r>
              <w:rPr>
                <w:noProof/>
                <w:webHidden/>
              </w:rPr>
            </w:r>
            <w:r>
              <w:rPr>
                <w:noProof/>
                <w:webHidden/>
              </w:rPr>
              <w:fldChar w:fldCharType="separate"/>
            </w:r>
            <w:r>
              <w:rPr>
                <w:noProof/>
                <w:webHidden/>
              </w:rPr>
              <w:t>49</w:t>
            </w:r>
            <w:r>
              <w:rPr>
                <w:noProof/>
                <w:webHidden/>
              </w:rPr>
              <w:fldChar w:fldCharType="end"/>
            </w:r>
          </w:hyperlink>
        </w:p>
        <w:p w14:paraId="07E45BDC" w14:textId="7559089A"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92" w:history="1">
            <w:r w:rsidRPr="00C85DA9">
              <w:rPr>
                <w:rStyle w:val="Hyperlink"/>
                <w:rFonts w:ascii="Arial" w:eastAsia="Arial" w:hAnsi="Arial" w:cs="Arial"/>
                <w:noProof/>
              </w:rPr>
              <w:t>4.18 Race and Tourism: Performing the Other</w:t>
            </w:r>
            <w:r>
              <w:rPr>
                <w:noProof/>
                <w:webHidden/>
              </w:rPr>
              <w:tab/>
            </w:r>
            <w:r>
              <w:rPr>
                <w:noProof/>
                <w:webHidden/>
              </w:rPr>
              <w:fldChar w:fldCharType="begin"/>
            </w:r>
            <w:r>
              <w:rPr>
                <w:noProof/>
                <w:webHidden/>
              </w:rPr>
              <w:instrText xml:space="preserve"> PAGEREF _Toc240965992 \h </w:instrText>
            </w:r>
            <w:r>
              <w:rPr>
                <w:noProof/>
                <w:webHidden/>
              </w:rPr>
            </w:r>
            <w:r>
              <w:rPr>
                <w:noProof/>
                <w:webHidden/>
              </w:rPr>
              <w:fldChar w:fldCharType="separate"/>
            </w:r>
            <w:r>
              <w:rPr>
                <w:noProof/>
                <w:webHidden/>
              </w:rPr>
              <w:t>50</w:t>
            </w:r>
            <w:r>
              <w:rPr>
                <w:noProof/>
                <w:webHidden/>
              </w:rPr>
              <w:fldChar w:fldCharType="end"/>
            </w:r>
          </w:hyperlink>
        </w:p>
        <w:p w14:paraId="5EA4B168" w14:textId="26A4BEC2"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93" w:history="1">
            <w:r w:rsidRPr="00C85DA9">
              <w:rPr>
                <w:rStyle w:val="Hyperlink"/>
                <w:rFonts w:ascii="Arial" w:eastAsia="Arial" w:hAnsi="Arial" w:cs="Arial"/>
                <w:noProof/>
              </w:rPr>
              <w:t>4.19 Linking Race and Sustainability: Expanding the Field</w:t>
            </w:r>
            <w:r>
              <w:rPr>
                <w:noProof/>
                <w:webHidden/>
              </w:rPr>
              <w:tab/>
            </w:r>
            <w:r>
              <w:rPr>
                <w:noProof/>
                <w:webHidden/>
              </w:rPr>
              <w:fldChar w:fldCharType="begin"/>
            </w:r>
            <w:r>
              <w:rPr>
                <w:noProof/>
                <w:webHidden/>
              </w:rPr>
              <w:instrText xml:space="preserve"> PAGEREF _Toc240965993 \h </w:instrText>
            </w:r>
            <w:r>
              <w:rPr>
                <w:noProof/>
                <w:webHidden/>
              </w:rPr>
            </w:r>
            <w:r>
              <w:rPr>
                <w:noProof/>
                <w:webHidden/>
              </w:rPr>
              <w:fldChar w:fldCharType="separate"/>
            </w:r>
            <w:r>
              <w:rPr>
                <w:noProof/>
                <w:webHidden/>
              </w:rPr>
              <w:t>50</w:t>
            </w:r>
            <w:r>
              <w:rPr>
                <w:noProof/>
                <w:webHidden/>
              </w:rPr>
              <w:fldChar w:fldCharType="end"/>
            </w:r>
          </w:hyperlink>
        </w:p>
        <w:p w14:paraId="6F36BC3E" w14:textId="6B87E445"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94" w:history="1">
            <w:r w:rsidRPr="00C85DA9">
              <w:rPr>
                <w:rStyle w:val="Hyperlink"/>
                <w:rFonts w:ascii="Arial" w:eastAsia="Arial" w:hAnsi="Arial" w:cs="Arial"/>
                <w:noProof/>
              </w:rPr>
              <w:t>4.20 Conclusion: From Representation to Erasure, Race, Indigeneity, and the Fetishism of the "Native"</w:t>
            </w:r>
            <w:r>
              <w:rPr>
                <w:noProof/>
                <w:webHidden/>
              </w:rPr>
              <w:tab/>
            </w:r>
            <w:r>
              <w:rPr>
                <w:noProof/>
                <w:webHidden/>
              </w:rPr>
              <w:fldChar w:fldCharType="begin"/>
            </w:r>
            <w:r>
              <w:rPr>
                <w:noProof/>
                <w:webHidden/>
              </w:rPr>
              <w:instrText xml:space="preserve"> PAGEREF _Toc240965994 \h </w:instrText>
            </w:r>
            <w:r>
              <w:rPr>
                <w:noProof/>
                <w:webHidden/>
              </w:rPr>
            </w:r>
            <w:r>
              <w:rPr>
                <w:noProof/>
                <w:webHidden/>
              </w:rPr>
              <w:fldChar w:fldCharType="separate"/>
            </w:r>
            <w:r>
              <w:rPr>
                <w:noProof/>
                <w:webHidden/>
              </w:rPr>
              <w:t>51</w:t>
            </w:r>
            <w:r>
              <w:rPr>
                <w:noProof/>
                <w:webHidden/>
              </w:rPr>
              <w:fldChar w:fldCharType="end"/>
            </w:r>
          </w:hyperlink>
        </w:p>
        <w:p w14:paraId="21E09215" w14:textId="4265B726"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95" w:history="1">
            <w:r w:rsidRPr="00C85DA9">
              <w:rPr>
                <w:rStyle w:val="Hyperlink"/>
                <w:rFonts w:ascii="Arial" w:eastAsia="Arial" w:hAnsi="Arial" w:cs="Arial"/>
                <w:noProof/>
              </w:rPr>
              <w:t>4.21 Looking to the past, to look forward</w:t>
            </w:r>
            <w:r>
              <w:rPr>
                <w:noProof/>
                <w:webHidden/>
              </w:rPr>
              <w:tab/>
            </w:r>
            <w:r>
              <w:rPr>
                <w:noProof/>
                <w:webHidden/>
              </w:rPr>
              <w:fldChar w:fldCharType="begin"/>
            </w:r>
            <w:r>
              <w:rPr>
                <w:noProof/>
                <w:webHidden/>
              </w:rPr>
              <w:instrText xml:space="preserve"> PAGEREF _Toc240965995 \h </w:instrText>
            </w:r>
            <w:r>
              <w:rPr>
                <w:noProof/>
                <w:webHidden/>
              </w:rPr>
            </w:r>
            <w:r>
              <w:rPr>
                <w:noProof/>
                <w:webHidden/>
              </w:rPr>
              <w:fldChar w:fldCharType="separate"/>
            </w:r>
            <w:r>
              <w:rPr>
                <w:noProof/>
                <w:webHidden/>
              </w:rPr>
              <w:t>52</w:t>
            </w:r>
            <w:r>
              <w:rPr>
                <w:noProof/>
                <w:webHidden/>
              </w:rPr>
              <w:fldChar w:fldCharType="end"/>
            </w:r>
          </w:hyperlink>
        </w:p>
        <w:p w14:paraId="3F50F756" w14:textId="7187BBA0"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96" w:history="1">
            <w:r w:rsidRPr="00C85DA9">
              <w:rPr>
                <w:rStyle w:val="Hyperlink"/>
                <w:rFonts w:ascii="Arial" w:eastAsia="Arial" w:hAnsi="Arial" w:cs="Arial"/>
                <w:noProof/>
              </w:rPr>
              <w:t>4.22 Ancestral stories and epistemologies as an academic tool</w:t>
            </w:r>
            <w:r>
              <w:rPr>
                <w:noProof/>
                <w:webHidden/>
              </w:rPr>
              <w:tab/>
            </w:r>
            <w:r>
              <w:rPr>
                <w:noProof/>
                <w:webHidden/>
              </w:rPr>
              <w:fldChar w:fldCharType="begin"/>
            </w:r>
            <w:r>
              <w:rPr>
                <w:noProof/>
                <w:webHidden/>
              </w:rPr>
              <w:instrText xml:space="preserve"> PAGEREF _Toc240965996 \h </w:instrText>
            </w:r>
            <w:r>
              <w:rPr>
                <w:noProof/>
                <w:webHidden/>
              </w:rPr>
            </w:r>
            <w:r>
              <w:rPr>
                <w:noProof/>
                <w:webHidden/>
              </w:rPr>
              <w:fldChar w:fldCharType="separate"/>
            </w:r>
            <w:r>
              <w:rPr>
                <w:noProof/>
                <w:webHidden/>
              </w:rPr>
              <w:t>52</w:t>
            </w:r>
            <w:r>
              <w:rPr>
                <w:noProof/>
                <w:webHidden/>
              </w:rPr>
              <w:fldChar w:fldCharType="end"/>
            </w:r>
          </w:hyperlink>
        </w:p>
        <w:p w14:paraId="202D7191" w14:textId="4DE6DFA5"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97" w:history="1">
            <w:r w:rsidRPr="00C85DA9">
              <w:rPr>
                <w:rStyle w:val="Hyperlink"/>
                <w:rFonts w:ascii="Arial" w:eastAsia="Arial" w:hAnsi="Arial" w:cs="Arial"/>
                <w:noProof/>
              </w:rPr>
              <w:t>4.23 Conclusion</w:t>
            </w:r>
            <w:r>
              <w:rPr>
                <w:noProof/>
                <w:webHidden/>
              </w:rPr>
              <w:tab/>
            </w:r>
            <w:r>
              <w:rPr>
                <w:noProof/>
                <w:webHidden/>
              </w:rPr>
              <w:fldChar w:fldCharType="begin"/>
            </w:r>
            <w:r>
              <w:rPr>
                <w:noProof/>
                <w:webHidden/>
              </w:rPr>
              <w:instrText xml:space="preserve"> PAGEREF _Toc240965997 \h </w:instrText>
            </w:r>
            <w:r>
              <w:rPr>
                <w:noProof/>
                <w:webHidden/>
              </w:rPr>
            </w:r>
            <w:r>
              <w:rPr>
                <w:noProof/>
                <w:webHidden/>
              </w:rPr>
              <w:fldChar w:fldCharType="separate"/>
            </w:r>
            <w:r>
              <w:rPr>
                <w:noProof/>
                <w:webHidden/>
              </w:rPr>
              <w:t>54</w:t>
            </w:r>
            <w:r>
              <w:rPr>
                <w:noProof/>
                <w:webHidden/>
              </w:rPr>
              <w:fldChar w:fldCharType="end"/>
            </w:r>
          </w:hyperlink>
        </w:p>
        <w:p w14:paraId="0A6A7A8E" w14:textId="0A5A3F05" w:rsidR="00F44422" w:rsidRDefault="00F44422">
          <w:pPr>
            <w:pStyle w:val="TOC1"/>
            <w:rPr>
              <w:rFonts w:asciiTheme="minorHAnsi" w:eastAsiaTheme="minorEastAsia" w:hAnsiTheme="minorHAnsi" w:cstheme="minorBidi"/>
              <w:b w:val="0"/>
              <w:bCs w:val="0"/>
              <w:kern w:val="2"/>
              <w14:ligatures w14:val="standardContextual"/>
            </w:rPr>
          </w:pPr>
          <w:hyperlink w:anchor="_Toc240965998" w:history="1">
            <w:r w:rsidRPr="00C85DA9">
              <w:rPr>
                <w:rStyle w:val="Hyperlink"/>
                <w:rFonts w:eastAsia="Arial"/>
              </w:rPr>
              <w:t>5.0 Theoretical positioning, a decolonial analysis</w:t>
            </w:r>
            <w:r>
              <w:rPr>
                <w:webHidden/>
              </w:rPr>
              <w:tab/>
            </w:r>
            <w:r>
              <w:rPr>
                <w:webHidden/>
              </w:rPr>
              <w:fldChar w:fldCharType="begin"/>
            </w:r>
            <w:r>
              <w:rPr>
                <w:webHidden/>
              </w:rPr>
              <w:instrText xml:space="preserve"> PAGEREF _Toc240965998 \h </w:instrText>
            </w:r>
            <w:r>
              <w:rPr>
                <w:webHidden/>
              </w:rPr>
            </w:r>
            <w:r>
              <w:rPr>
                <w:webHidden/>
              </w:rPr>
              <w:fldChar w:fldCharType="separate"/>
            </w:r>
            <w:r>
              <w:rPr>
                <w:webHidden/>
              </w:rPr>
              <w:t>57</w:t>
            </w:r>
            <w:r>
              <w:rPr>
                <w:webHidden/>
              </w:rPr>
              <w:fldChar w:fldCharType="end"/>
            </w:r>
          </w:hyperlink>
        </w:p>
        <w:p w14:paraId="31EC59E0" w14:textId="31E0FC1B"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5999" w:history="1">
            <w:r w:rsidRPr="00C85DA9">
              <w:rPr>
                <w:rStyle w:val="Hyperlink"/>
                <w:rFonts w:ascii="Arial" w:eastAsia="Arial" w:hAnsi="Arial" w:cs="Arial"/>
                <w:noProof/>
              </w:rPr>
              <w:t>Introduction</w:t>
            </w:r>
            <w:r>
              <w:rPr>
                <w:noProof/>
                <w:webHidden/>
              </w:rPr>
              <w:tab/>
            </w:r>
            <w:r>
              <w:rPr>
                <w:noProof/>
                <w:webHidden/>
              </w:rPr>
              <w:fldChar w:fldCharType="begin"/>
            </w:r>
            <w:r>
              <w:rPr>
                <w:noProof/>
                <w:webHidden/>
              </w:rPr>
              <w:instrText xml:space="preserve"> PAGEREF _Toc240965999 \h </w:instrText>
            </w:r>
            <w:r>
              <w:rPr>
                <w:noProof/>
                <w:webHidden/>
              </w:rPr>
            </w:r>
            <w:r>
              <w:rPr>
                <w:noProof/>
                <w:webHidden/>
              </w:rPr>
              <w:fldChar w:fldCharType="separate"/>
            </w:r>
            <w:r>
              <w:rPr>
                <w:noProof/>
                <w:webHidden/>
              </w:rPr>
              <w:t>57</w:t>
            </w:r>
            <w:r>
              <w:rPr>
                <w:noProof/>
                <w:webHidden/>
              </w:rPr>
              <w:fldChar w:fldCharType="end"/>
            </w:r>
          </w:hyperlink>
        </w:p>
        <w:p w14:paraId="5340BA5E" w14:textId="3A1B3D6D"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00" w:history="1">
            <w:r w:rsidRPr="00C85DA9">
              <w:rPr>
                <w:rStyle w:val="Hyperlink"/>
                <w:rFonts w:ascii="Arial" w:eastAsia="Arial" w:hAnsi="Arial" w:cs="Arial"/>
                <w:noProof/>
              </w:rPr>
              <w:t>5.1 Settler colonialism and the unmasking of colonial power</w:t>
            </w:r>
            <w:r>
              <w:rPr>
                <w:noProof/>
                <w:webHidden/>
              </w:rPr>
              <w:tab/>
            </w:r>
            <w:r>
              <w:rPr>
                <w:noProof/>
                <w:webHidden/>
              </w:rPr>
              <w:fldChar w:fldCharType="begin"/>
            </w:r>
            <w:r>
              <w:rPr>
                <w:noProof/>
                <w:webHidden/>
              </w:rPr>
              <w:instrText xml:space="preserve"> PAGEREF _Toc240966000 \h </w:instrText>
            </w:r>
            <w:r>
              <w:rPr>
                <w:noProof/>
                <w:webHidden/>
              </w:rPr>
            </w:r>
            <w:r>
              <w:rPr>
                <w:noProof/>
                <w:webHidden/>
              </w:rPr>
              <w:fldChar w:fldCharType="separate"/>
            </w:r>
            <w:r>
              <w:rPr>
                <w:noProof/>
                <w:webHidden/>
              </w:rPr>
              <w:t>58</w:t>
            </w:r>
            <w:r>
              <w:rPr>
                <w:noProof/>
                <w:webHidden/>
              </w:rPr>
              <w:fldChar w:fldCharType="end"/>
            </w:r>
          </w:hyperlink>
        </w:p>
        <w:p w14:paraId="753A99BD" w14:textId="0662E648"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01" w:history="1">
            <w:r w:rsidRPr="00C85DA9">
              <w:rPr>
                <w:rStyle w:val="Hyperlink"/>
                <w:rFonts w:ascii="Arial" w:eastAsia="Arial" w:hAnsi="Arial" w:cs="Arial"/>
                <w:noProof/>
              </w:rPr>
              <w:t>5.3 Barker: settler colonial bricolage and the move to a romantic bricolage</w:t>
            </w:r>
            <w:r>
              <w:rPr>
                <w:noProof/>
                <w:webHidden/>
              </w:rPr>
              <w:tab/>
            </w:r>
            <w:r>
              <w:rPr>
                <w:noProof/>
                <w:webHidden/>
              </w:rPr>
              <w:fldChar w:fldCharType="begin"/>
            </w:r>
            <w:r>
              <w:rPr>
                <w:noProof/>
                <w:webHidden/>
              </w:rPr>
              <w:instrText xml:space="preserve"> PAGEREF _Toc240966001 \h </w:instrText>
            </w:r>
            <w:r>
              <w:rPr>
                <w:noProof/>
                <w:webHidden/>
              </w:rPr>
            </w:r>
            <w:r>
              <w:rPr>
                <w:noProof/>
                <w:webHidden/>
              </w:rPr>
              <w:fldChar w:fldCharType="separate"/>
            </w:r>
            <w:r>
              <w:rPr>
                <w:noProof/>
                <w:webHidden/>
              </w:rPr>
              <w:t>61</w:t>
            </w:r>
            <w:r>
              <w:rPr>
                <w:noProof/>
                <w:webHidden/>
              </w:rPr>
              <w:fldChar w:fldCharType="end"/>
            </w:r>
          </w:hyperlink>
        </w:p>
        <w:p w14:paraId="6428CF95" w14:textId="0DFE3691"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02" w:history="1">
            <w:r w:rsidRPr="00C85DA9">
              <w:rPr>
                <w:rStyle w:val="Hyperlink"/>
                <w:rFonts w:ascii="Arial" w:eastAsia="Arial" w:hAnsi="Arial" w:cs="Arial"/>
                <w:noProof/>
              </w:rPr>
              <w:t>5.4 Bruyneel: settler memory and the third space</w:t>
            </w:r>
            <w:r>
              <w:rPr>
                <w:noProof/>
                <w:webHidden/>
              </w:rPr>
              <w:tab/>
            </w:r>
            <w:r>
              <w:rPr>
                <w:noProof/>
                <w:webHidden/>
              </w:rPr>
              <w:fldChar w:fldCharType="begin"/>
            </w:r>
            <w:r>
              <w:rPr>
                <w:noProof/>
                <w:webHidden/>
              </w:rPr>
              <w:instrText xml:space="preserve"> PAGEREF _Toc240966002 \h </w:instrText>
            </w:r>
            <w:r>
              <w:rPr>
                <w:noProof/>
                <w:webHidden/>
              </w:rPr>
            </w:r>
            <w:r>
              <w:rPr>
                <w:noProof/>
                <w:webHidden/>
              </w:rPr>
              <w:fldChar w:fldCharType="separate"/>
            </w:r>
            <w:r>
              <w:rPr>
                <w:noProof/>
                <w:webHidden/>
              </w:rPr>
              <w:t>62</w:t>
            </w:r>
            <w:r>
              <w:rPr>
                <w:noProof/>
                <w:webHidden/>
              </w:rPr>
              <w:fldChar w:fldCharType="end"/>
            </w:r>
          </w:hyperlink>
        </w:p>
        <w:p w14:paraId="0CB084F0" w14:textId="060BD51B"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03" w:history="1">
            <w:r w:rsidRPr="00C85DA9">
              <w:rPr>
                <w:rStyle w:val="Hyperlink"/>
                <w:rFonts w:ascii="Arial" w:eastAsia="Arial" w:hAnsi="Arial" w:cs="Arial"/>
                <w:noProof/>
              </w:rPr>
              <w:t>5.6 Aldred: Plastic Shamans</w:t>
            </w:r>
            <w:r>
              <w:rPr>
                <w:noProof/>
                <w:webHidden/>
              </w:rPr>
              <w:tab/>
            </w:r>
            <w:r>
              <w:rPr>
                <w:noProof/>
                <w:webHidden/>
              </w:rPr>
              <w:fldChar w:fldCharType="begin"/>
            </w:r>
            <w:r>
              <w:rPr>
                <w:noProof/>
                <w:webHidden/>
              </w:rPr>
              <w:instrText xml:space="preserve"> PAGEREF _Toc240966003 \h </w:instrText>
            </w:r>
            <w:r>
              <w:rPr>
                <w:noProof/>
                <w:webHidden/>
              </w:rPr>
            </w:r>
            <w:r>
              <w:rPr>
                <w:noProof/>
                <w:webHidden/>
              </w:rPr>
              <w:fldChar w:fldCharType="separate"/>
            </w:r>
            <w:r>
              <w:rPr>
                <w:noProof/>
                <w:webHidden/>
              </w:rPr>
              <w:t>65</w:t>
            </w:r>
            <w:r>
              <w:rPr>
                <w:noProof/>
                <w:webHidden/>
              </w:rPr>
              <w:fldChar w:fldCharType="end"/>
            </w:r>
          </w:hyperlink>
        </w:p>
        <w:p w14:paraId="6AE89DB0" w14:textId="5123F86F"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04" w:history="1">
            <w:r w:rsidRPr="00C85DA9">
              <w:rPr>
                <w:rStyle w:val="Hyperlink"/>
                <w:rFonts w:ascii="Arial" w:eastAsia="Arial" w:hAnsi="Arial" w:cs="Arial"/>
                <w:noProof/>
              </w:rPr>
              <w:t>5.7 Lightfoot: Selective endorsement</w:t>
            </w:r>
            <w:r>
              <w:rPr>
                <w:noProof/>
                <w:webHidden/>
              </w:rPr>
              <w:tab/>
            </w:r>
            <w:r>
              <w:rPr>
                <w:noProof/>
                <w:webHidden/>
              </w:rPr>
              <w:fldChar w:fldCharType="begin"/>
            </w:r>
            <w:r>
              <w:rPr>
                <w:noProof/>
                <w:webHidden/>
              </w:rPr>
              <w:instrText xml:space="preserve"> PAGEREF _Toc240966004 \h </w:instrText>
            </w:r>
            <w:r>
              <w:rPr>
                <w:noProof/>
                <w:webHidden/>
              </w:rPr>
            </w:r>
            <w:r>
              <w:rPr>
                <w:noProof/>
                <w:webHidden/>
              </w:rPr>
              <w:fldChar w:fldCharType="separate"/>
            </w:r>
            <w:r>
              <w:rPr>
                <w:noProof/>
                <w:webHidden/>
              </w:rPr>
              <w:t>66</w:t>
            </w:r>
            <w:r>
              <w:rPr>
                <w:noProof/>
                <w:webHidden/>
              </w:rPr>
              <w:fldChar w:fldCharType="end"/>
            </w:r>
          </w:hyperlink>
        </w:p>
        <w:p w14:paraId="78F6531C" w14:textId="23330227"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05" w:history="1">
            <w:r w:rsidRPr="00C85DA9">
              <w:rPr>
                <w:rStyle w:val="Hyperlink"/>
                <w:rFonts w:ascii="Arial" w:eastAsia="Arial" w:hAnsi="Arial" w:cs="Arial"/>
                <w:noProof/>
              </w:rPr>
              <w:t>5.8 Dorries: Colonial Urbanism</w:t>
            </w:r>
            <w:r>
              <w:rPr>
                <w:noProof/>
                <w:webHidden/>
              </w:rPr>
              <w:tab/>
            </w:r>
            <w:r>
              <w:rPr>
                <w:noProof/>
                <w:webHidden/>
              </w:rPr>
              <w:fldChar w:fldCharType="begin"/>
            </w:r>
            <w:r>
              <w:rPr>
                <w:noProof/>
                <w:webHidden/>
              </w:rPr>
              <w:instrText xml:space="preserve"> PAGEREF _Toc240966005 \h </w:instrText>
            </w:r>
            <w:r>
              <w:rPr>
                <w:noProof/>
                <w:webHidden/>
              </w:rPr>
            </w:r>
            <w:r>
              <w:rPr>
                <w:noProof/>
                <w:webHidden/>
              </w:rPr>
              <w:fldChar w:fldCharType="separate"/>
            </w:r>
            <w:r>
              <w:rPr>
                <w:noProof/>
                <w:webHidden/>
              </w:rPr>
              <w:t>67</w:t>
            </w:r>
            <w:r>
              <w:rPr>
                <w:noProof/>
                <w:webHidden/>
              </w:rPr>
              <w:fldChar w:fldCharType="end"/>
            </w:r>
          </w:hyperlink>
        </w:p>
        <w:p w14:paraId="1CDF41D9" w14:textId="7D7780AD"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06" w:history="1">
            <w:r w:rsidRPr="00C85DA9">
              <w:rPr>
                <w:rStyle w:val="Hyperlink"/>
                <w:rFonts w:ascii="Arial" w:eastAsia="Arial" w:hAnsi="Arial" w:cs="Arial"/>
                <w:noProof/>
              </w:rPr>
              <w:t>5.9 Art, Poetry, and Storytelling: the act of decolonial mapping</w:t>
            </w:r>
            <w:r>
              <w:rPr>
                <w:noProof/>
                <w:webHidden/>
              </w:rPr>
              <w:tab/>
            </w:r>
            <w:r>
              <w:rPr>
                <w:noProof/>
                <w:webHidden/>
              </w:rPr>
              <w:fldChar w:fldCharType="begin"/>
            </w:r>
            <w:r>
              <w:rPr>
                <w:noProof/>
                <w:webHidden/>
              </w:rPr>
              <w:instrText xml:space="preserve"> PAGEREF _Toc240966006 \h </w:instrText>
            </w:r>
            <w:r>
              <w:rPr>
                <w:noProof/>
                <w:webHidden/>
              </w:rPr>
            </w:r>
            <w:r>
              <w:rPr>
                <w:noProof/>
                <w:webHidden/>
              </w:rPr>
              <w:fldChar w:fldCharType="separate"/>
            </w:r>
            <w:r>
              <w:rPr>
                <w:noProof/>
                <w:webHidden/>
              </w:rPr>
              <w:t>69</w:t>
            </w:r>
            <w:r>
              <w:rPr>
                <w:noProof/>
                <w:webHidden/>
              </w:rPr>
              <w:fldChar w:fldCharType="end"/>
            </w:r>
          </w:hyperlink>
        </w:p>
        <w:p w14:paraId="3BEDF23B" w14:textId="7A7DEB6F"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07" w:history="1">
            <w:r w:rsidRPr="00C85DA9">
              <w:rPr>
                <w:rStyle w:val="Hyperlink"/>
                <w:rFonts w:ascii="Arial" w:eastAsia="Arial" w:hAnsi="Arial" w:cs="Arial"/>
                <w:noProof/>
              </w:rPr>
              <w:t>5.10 Challenging the capitalist-colonial order</w:t>
            </w:r>
            <w:r>
              <w:rPr>
                <w:noProof/>
                <w:webHidden/>
              </w:rPr>
              <w:tab/>
            </w:r>
            <w:r>
              <w:rPr>
                <w:noProof/>
                <w:webHidden/>
              </w:rPr>
              <w:fldChar w:fldCharType="begin"/>
            </w:r>
            <w:r>
              <w:rPr>
                <w:noProof/>
                <w:webHidden/>
              </w:rPr>
              <w:instrText xml:space="preserve"> PAGEREF _Toc240966007 \h </w:instrText>
            </w:r>
            <w:r>
              <w:rPr>
                <w:noProof/>
                <w:webHidden/>
              </w:rPr>
            </w:r>
            <w:r>
              <w:rPr>
                <w:noProof/>
                <w:webHidden/>
              </w:rPr>
              <w:fldChar w:fldCharType="separate"/>
            </w:r>
            <w:r>
              <w:rPr>
                <w:noProof/>
                <w:webHidden/>
              </w:rPr>
              <w:t>71</w:t>
            </w:r>
            <w:r>
              <w:rPr>
                <w:noProof/>
                <w:webHidden/>
              </w:rPr>
              <w:fldChar w:fldCharType="end"/>
            </w:r>
          </w:hyperlink>
        </w:p>
        <w:p w14:paraId="32729774" w14:textId="51FFF8CA"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08" w:history="1">
            <w:r w:rsidRPr="00C85DA9">
              <w:rPr>
                <w:rStyle w:val="Hyperlink"/>
                <w:rFonts w:ascii="Arial" w:eastAsia="Arial" w:hAnsi="Arial" w:cs="Arial"/>
                <w:noProof/>
              </w:rPr>
              <w:t>5.11 Theoretical Framework: Decoloniality and the Representation of Indigenous Peoples</w:t>
            </w:r>
            <w:r>
              <w:rPr>
                <w:noProof/>
                <w:webHidden/>
              </w:rPr>
              <w:tab/>
            </w:r>
            <w:r>
              <w:rPr>
                <w:noProof/>
                <w:webHidden/>
              </w:rPr>
              <w:fldChar w:fldCharType="begin"/>
            </w:r>
            <w:r>
              <w:rPr>
                <w:noProof/>
                <w:webHidden/>
              </w:rPr>
              <w:instrText xml:space="preserve"> PAGEREF _Toc240966008 \h </w:instrText>
            </w:r>
            <w:r>
              <w:rPr>
                <w:noProof/>
                <w:webHidden/>
              </w:rPr>
            </w:r>
            <w:r>
              <w:rPr>
                <w:noProof/>
                <w:webHidden/>
              </w:rPr>
              <w:fldChar w:fldCharType="separate"/>
            </w:r>
            <w:r>
              <w:rPr>
                <w:noProof/>
                <w:webHidden/>
              </w:rPr>
              <w:t>71</w:t>
            </w:r>
            <w:r>
              <w:rPr>
                <w:noProof/>
                <w:webHidden/>
              </w:rPr>
              <w:fldChar w:fldCharType="end"/>
            </w:r>
          </w:hyperlink>
        </w:p>
        <w:p w14:paraId="712904B2" w14:textId="480BCD9B"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09" w:history="1">
            <w:r w:rsidRPr="00C85DA9">
              <w:rPr>
                <w:rStyle w:val="Hyperlink"/>
                <w:rFonts w:ascii="Arial" w:eastAsia="Arial" w:hAnsi="Arial" w:cs="Arial"/>
                <w:noProof/>
              </w:rPr>
              <w:t>5.12 Racial Capitalism: Colonial Structures and the Commodification of Indigenous Life</w:t>
            </w:r>
            <w:r>
              <w:rPr>
                <w:noProof/>
                <w:webHidden/>
              </w:rPr>
              <w:tab/>
            </w:r>
            <w:r>
              <w:rPr>
                <w:noProof/>
                <w:webHidden/>
              </w:rPr>
              <w:fldChar w:fldCharType="begin"/>
            </w:r>
            <w:r>
              <w:rPr>
                <w:noProof/>
                <w:webHidden/>
              </w:rPr>
              <w:instrText xml:space="preserve"> PAGEREF _Toc240966009 \h </w:instrText>
            </w:r>
            <w:r>
              <w:rPr>
                <w:noProof/>
                <w:webHidden/>
              </w:rPr>
            </w:r>
            <w:r>
              <w:rPr>
                <w:noProof/>
                <w:webHidden/>
              </w:rPr>
              <w:fldChar w:fldCharType="separate"/>
            </w:r>
            <w:r>
              <w:rPr>
                <w:noProof/>
                <w:webHidden/>
              </w:rPr>
              <w:t>73</w:t>
            </w:r>
            <w:r>
              <w:rPr>
                <w:noProof/>
                <w:webHidden/>
              </w:rPr>
              <w:fldChar w:fldCharType="end"/>
            </w:r>
          </w:hyperlink>
        </w:p>
        <w:p w14:paraId="4DA60C69" w14:textId="0E6F0936"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10" w:history="1">
            <w:r w:rsidRPr="00C85DA9">
              <w:rPr>
                <w:rStyle w:val="Hyperlink"/>
                <w:rFonts w:ascii="Arial" w:eastAsia="Arial" w:hAnsi="Arial" w:cs="Arial"/>
                <w:noProof/>
              </w:rPr>
              <w:t>5.13 Literary perrichlismo: a reinvented history</w:t>
            </w:r>
            <w:r>
              <w:rPr>
                <w:noProof/>
                <w:webHidden/>
              </w:rPr>
              <w:tab/>
            </w:r>
            <w:r>
              <w:rPr>
                <w:noProof/>
                <w:webHidden/>
              </w:rPr>
              <w:fldChar w:fldCharType="begin"/>
            </w:r>
            <w:r>
              <w:rPr>
                <w:noProof/>
                <w:webHidden/>
              </w:rPr>
              <w:instrText xml:space="preserve"> PAGEREF _Toc240966010 \h </w:instrText>
            </w:r>
            <w:r>
              <w:rPr>
                <w:noProof/>
                <w:webHidden/>
              </w:rPr>
            </w:r>
            <w:r>
              <w:rPr>
                <w:noProof/>
                <w:webHidden/>
              </w:rPr>
              <w:fldChar w:fldCharType="separate"/>
            </w:r>
            <w:r>
              <w:rPr>
                <w:noProof/>
                <w:webHidden/>
              </w:rPr>
              <w:t>74</w:t>
            </w:r>
            <w:r>
              <w:rPr>
                <w:noProof/>
                <w:webHidden/>
              </w:rPr>
              <w:fldChar w:fldCharType="end"/>
            </w:r>
          </w:hyperlink>
        </w:p>
        <w:p w14:paraId="7636F9C6" w14:textId="0D795B8F"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11" w:history="1">
            <w:r w:rsidRPr="00C85DA9">
              <w:rPr>
                <w:rStyle w:val="Hyperlink"/>
                <w:rFonts w:ascii="Arial" w:eastAsia="Arial" w:hAnsi="Arial" w:cs="Arial"/>
                <w:noProof/>
              </w:rPr>
              <w:t>5.14 The reification of non-material items into commodified goods.</w:t>
            </w:r>
            <w:r>
              <w:rPr>
                <w:noProof/>
                <w:webHidden/>
              </w:rPr>
              <w:tab/>
            </w:r>
            <w:r>
              <w:rPr>
                <w:noProof/>
                <w:webHidden/>
              </w:rPr>
              <w:fldChar w:fldCharType="begin"/>
            </w:r>
            <w:r>
              <w:rPr>
                <w:noProof/>
                <w:webHidden/>
              </w:rPr>
              <w:instrText xml:space="preserve"> PAGEREF _Toc240966011 \h </w:instrText>
            </w:r>
            <w:r>
              <w:rPr>
                <w:noProof/>
                <w:webHidden/>
              </w:rPr>
            </w:r>
            <w:r>
              <w:rPr>
                <w:noProof/>
                <w:webHidden/>
              </w:rPr>
              <w:fldChar w:fldCharType="separate"/>
            </w:r>
            <w:r>
              <w:rPr>
                <w:noProof/>
                <w:webHidden/>
              </w:rPr>
              <w:t>75</w:t>
            </w:r>
            <w:r>
              <w:rPr>
                <w:noProof/>
                <w:webHidden/>
              </w:rPr>
              <w:fldChar w:fldCharType="end"/>
            </w:r>
          </w:hyperlink>
        </w:p>
        <w:p w14:paraId="361914C5" w14:textId="189E7A3F"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12" w:history="1">
            <w:r w:rsidRPr="00C85DA9">
              <w:rPr>
                <w:rStyle w:val="Hyperlink"/>
                <w:rFonts w:ascii="Arial" w:eastAsia="Arial" w:hAnsi="Arial" w:cs="Arial"/>
                <w:noProof/>
              </w:rPr>
              <w:t>5.15 Conclusion</w:t>
            </w:r>
            <w:r>
              <w:rPr>
                <w:noProof/>
                <w:webHidden/>
              </w:rPr>
              <w:tab/>
            </w:r>
            <w:r>
              <w:rPr>
                <w:noProof/>
                <w:webHidden/>
              </w:rPr>
              <w:fldChar w:fldCharType="begin"/>
            </w:r>
            <w:r>
              <w:rPr>
                <w:noProof/>
                <w:webHidden/>
              </w:rPr>
              <w:instrText xml:space="preserve"> PAGEREF _Toc240966012 \h </w:instrText>
            </w:r>
            <w:r>
              <w:rPr>
                <w:noProof/>
                <w:webHidden/>
              </w:rPr>
            </w:r>
            <w:r>
              <w:rPr>
                <w:noProof/>
                <w:webHidden/>
              </w:rPr>
              <w:fldChar w:fldCharType="separate"/>
            </w:r>
            <w:r>
              <w:rPr>
                <w:noProof/>
                <w:webHidden/>
              </w:rPr>
              <w:t>75</w:t>
            </w:r>
            <w:r>
              <w:rPr>
                <w:noProof/>
                <w:webHidden/>
              </w:rPr>
              <w:fldChar w:fldCharType="end"/>
            </w:r>
          </w:hyperlink>
        </w:p>
        <w:p w14:paraId="7B3E9C82" w14:textId="18A12111" w:rsidR="00F44422" w:rsidRDefault="00F44422">
          <w:pPr>
            <w:pStyle w:val="TOC1"/>
            <w:rPr>
              <w:rFonts w:asciiTheme="minorHAnsi" w:eastAsiaTheme="minorEastAsia" w:hAnsiTheme="minorHAnsi" w:cstheme="minorBidi"/>
              <w:b w:val="0"/>
              <w:bCs w:val="0"/>
              <w:kern w:val="2"/>
              <w14:ligatures w14:val="standardContextual"/>
            </w:rPr>
          </w:pPr>
          <w:hyperlink w:anchor="_Toc240966013" w:history="1">
            <w:r w:rsidRPr="00C85DA9">
              <w:rPr>
                <w:rStyle w:val="Hyperlink"/>
                <w:rFonts w:eastAsia="Arial"/>
              </w:rPr>
              <w:t>6.0 Homogenisation and role of spatial erasure</w:t>
            </w:r>
            <w:r>
              <w:rPr>
                <w:webHidden/>
              </w:rPr>
              <w:tab/>
            </w:r>
            <w:r>
              <w:rPr>
                <w:webHidden/>
              </w:rPr>
              <w:fldChar w:fldCharType="begin"/>
            </w:r>
            <w:r>
              <w:rPr>
                <w:webHidden/>
              </w:rPr>
              <w:instrText xml:space="preserve"> PAGEREF _Toc240966013 \h </w:instrText>
            </w:r>
            <w:r>
              <w:rPr>
                <w:webHidden/>
              </w:rPr>
            </w:r>
            <w:r>
              <w:rPr>
                <w:webHidden/>
              </w:rPr>
              <w:fldChar w:fldCharType="separate"/>
            </w:r>
            <w:r>
              <w:rPr>
                <w:webHidden/>
              </w:rPr>
              <w:t>78</w:t>
            </w:r>
            <w:r>
              <w:rPr>
                <w:webHidden/>
              </w:rPr>
              <w:fldChar w:fldCharType="end"/>
            </w:r>
          </w:hyperlink>
        </w:p>
        <w:p w14:paraId="2C072A5A" w14:textId="2230D312" w:rsidR="00F44422" w:rsidRDefault="00F44422">
          <w:pPr>
            <w:pStyle w:val="TOC1"/>
            <w:rPr>
              <w:rFonts w:asciiTheme="minorHAnsi" w:eastAsiaTheme="minorEastAsia" w:hAnsiTheme="minorHAnsi" w:cstheme="minorBidi"/>
              <w:b w:val="0"/>
              <w:bCs w:val="0"/>
              <w:kern w:val="2"/>
              <w14:ligatures w14:val="standardContextual"/>
            </w:rPr>
          </w:pPr>
          <w:hyperlink w:anchor="_Toc240966014" w:history="1">
            <w:r w:rsidRPr="00C85DA9">
              <w:rPr>
                <w:rStyle w:val="Hyperlink"/>
                <w:rFonts w:eastAsia="Arial"/>
              </w:rPr>
              <w:t>Introduction:</w:t>
            </w:r>
            <w:r>
              <w:rPr>
                <w:webHidden/>
              </w:rPr>
              <w:tab/>
            </w:r>
            <w:r>
              <w:rPr>
                <w:webHidden/>
              </w:rPr>
              <w:fldChar w:fldCharType="begin"/>
            </w:r>
            <w:r>
              <w:rPr>
                <w:webHidden/>
              </w:rPr>
              <w:instrText xml:space="preserve"> PAGEREF _Toc240966014 \h </w:instrText>
            </w:r>
            <w:r>
              <w:rPr>
                <w:webHidden/>
              </w:rPr>
            </w:r>
            <w:r>
              <w:rPr>
                <w:webHidden/>
              </w:rPr>
              <w:fldChar w:fldCharType="separate"/>
            </w:r>
            <w:r>
              <w:rPr>
                <w:webHidden/>
              </w:rPr>
              <w:t>78</w:t>
            </w:r>
            <w:r>
              <w:rPr>
                <w:webHidden/>
              </w:rPr>
              <w:fldChar w:fldCharType="end"/>
            </w:r>
          </w:hyperlink>
        </w:p>
        <w:p w14:paraId="29F093BE" w14:textId="0A421FFD"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15" w:history="1">
            <w:r w:rsidRPr="00C85DA9">
              <w:rPr>
                <w:rStyle w:val="Hyperlink"/>
                <w:rFonts w:ascii="Arial" w:eastAsia="Arial" w:hAnsi="Arial" w:cs="Arial"/>
                <w:noProof/>
              </w:rPr>
              <w:t>6.1 Homogenisation and the role of Indigenous erasure</w:t>
            </w:r>
            <w:r>
              <w:rPr>
                <w:noProof/>
                <w:webHidden/>
              </w:rPr>
              <w:tab/>
            </w:r>
            <w:r>
              <w:rPr>
                <w:noProof/>
                <w:webHidden/>
              </w:rPr>
              <w:fldChar w:fldCharType="begin"/>
            </w:r>
            <w:r>
              <w:rPr>
                <w:noProof/>
                <w:webHidden/>
              </w:rPr>
              <w:instrText xml:space="preserve"> PAGEREF _Toc240966015 \h </w:instrText>
            </w:r>
            <w:r>
              <w:rPr>
                <w:noProof/>
                <w:webHidden/>
              </w:rPr>
            </w:r>
            <w:r>
              <w:rPr>
                <w:noProof/>
                <w:webHidden/>
              </w:rPr>
              <w:fldChar w:fldCharType="separate"/>
            </w:r>
            <w:r>
              <w:rPr>
                <w:noProof/>
                <w:webHidden/>
              </w:rPr>
              <w:t>78</w:t>
            </w:r>
            <w:r>
              <w:rPr>
                <w:noProof/>
                <w:webHidden/>
              </w:rPr>
              <w:fldChar w:fldCharType="end"/>
            </w:r>
          </w:hyperlink>
        </w:p>
        <w:p w14:paraId="0D6099B9" w14:textId="02C4A32C"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16" w:history="1">
            <w:r w:rsidRPr="00C85DA9">
              <w:rPr>
                <w:rStyle w:val="Hyperlink"/>
                <w:rFonts w:ascii="Arial" w:eastAsia="Arial" w:hAnsi="Arial" w:cs="Arial"/>
                <w:noProof/>
              </w:rPr>
              <w:t>6.2 Weaponizing Ontology</w:t>
            </w:r>
            <w:r>
              <w:rPr>
                <w:noProof/>
                <w:webHidden/>
              </w:rPr>
              <w:tab/>
            </w:r>
            <w:r>
              <w:rPr>
                <w:noProof/>
                <w:webHidden/>
              </w:rPr>
              <w:fldChar w:fldCharType="begin"/>
            </w:r>
            <w:r>
              <w:rPr>
                <w:noProof/>
                <w:webHidden/>
              </w:rPr>
              <w:instrText xml:space="preserve"> PAGEREF _Toc240966016 \h </w:instrText>
            </w:r>
            <w:r>
              <w:rPr>
                <w:noProof/>
                <w:webHidden/>
              </w:rPr>
            </w:r>
            <w:r>
              <w:rPr>
                <w:noProof/>
                <w:webHidden/>
              </w:rPr>
              <w:fldChar w:fldCharType="separate"/>
            </w:r>
            <w:r>
              <w:rPr>
                <w:noProof/>
                <w:webHidden/>
              </w:rPr>
              <w:t>80</w:t>
            </w:r>
            <w:r>
              <w:rPr>
                <w:noProof/>
                <w:webHidden/>
              </w:rPr>
              <w:fldChar w:fldCharType="end"/>
            </w:r>
          </w:hyperlink>
        </w:p>
        <w:p w14:paraId="4DF5FC70" w14:textId="423D4EB7"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17" w:history="1">
            <w:r w:rsidRPr="00C85DA9">
              <w:rPr>
                <w:rStyle w:val="Hyperlink"/>
                <w:rFonts w:ascii="Arial" w:eastAsia="Arial" w:hAnsi="Arial" w:cs="Arial"/>
                <w:noProof/>
              </w:rPr>
              <w:t>6.3 Homogenisation as a Colonial Mechanism</w:t>
            </w:r>
            <w:r>
              <w:rPr>
                <w:noProof/>
                <w:webHidden/>
              </w:rPr>
              <w:tab/>
            </w:r>
            <w:r>
              <w:rPr>
                <w:noProof/>
                <w:webHidden/>
              </w:rPr>
              <w:fldChar w:fldCharType="begin"/>
            </w:r>
            <w:r>
              <w:rPr>
                <w:noProof/>
                <w:webHidden/>
              </w:rPr>
              <w:instrText xml:space="preserve"> PAGEREF _Toc240966017 \h </w:instrText>
            </w:r>
            <w:r>
              <w:rPr>
                <w:noProof/>
                <w:webHidden/>
              </w:rPr>
            </w:r>
            <w:r>
              <w:rPr>
                <w:noProof/>
                <w:webHidden/>
              </w:rPr>
              <w:fldChar w:fldCharType="separate"/>
            </w:r>
            <w:r>
              <w:rPr>
                <w:noProof/>
                <w:webHidden/>
              </w:rPr>
              <w:t>81</w:t>
            </w:r>
            <w:r>
              <w:rPr>
                <w:noProof/>
                <w:webHidden/>
              </w:rPr>
              <w:fldChar w:fldCharType="end"/>
            </w:r>
          </w:hyperlink>
        </w:p>
        <w:p w14:paraId="70E2314C" w14:textId="6BD39091" w:rsidR="00F44422" w:rsidRDefault="00F44422">
          <w:pPr>
            <w:pStyle w:val="TOC3"/>
            <w:tabs>
              <w:tab w:val="right" w:pos="9016"/>
            </w:tabs>
            <w:rPr>
              <w:rFonts w:asciiTheme="minorHAnsi" w:eastAsiaTheme="minorEastAsia" w:hAnsiTheme="minorHAnsi" w:cstheme="minorBidi"/>
              <w:noProof/>
              <w:kern w:val="2"/>
              <w14:ligatures w14:val="standardContextual"/>
            </w:rPr>
          </w:pPr>
          <w:hyperlink w:anchor="_Toc240966018" w:history="1">
            <w:r w:rsidRPr="00C85DA9">
              <w:rPr>
                <w:rStyle w:val="Hyperlink"/>
                <w:noProof/>
              </w:rPr>
              <w:t>6.4 Invented Traditions within a Colonial Framework</w:t>
            </w:r>
            <w:r>
              <w:rPr>
                <w:noProof/>
                <w:webHidden/>
              </w:rPr>
              <w:tab/>
            </w:r>
            <w:r>
              <w:rPr>
                <w:noProof/>
                <w:webHidden/>
              </w:rPr>
              <w:fldChar w:fldCharType="begin"/>
            </w:r>
            <w:r>
              <w:rPr>
                <w:noProof/>
                <w:webHidden/>
              </w:rPr>
              <w:instrText xml:space="preserve"> PAGEREF _Toc240966018 \h </w:instrText>
            </w:r>
            <w:r>
              <w:rPr>
                <w:noProof/>
                <w:webHidden/>
              </w:rPr>
            </w:r>
            <w:r>
              <w:rPr>
                <w:noProof/>
                <w:webHidden/>
              </w:rPr>
              <w:fldChar w:fldCharType="separate"/>
            </w:r>
            <w:r>
              <w:rPr>
                <w:noProof/>
                <w:webHidden/>
              </w:rPr>
              <w:t>85</w:t>
            </w:r>
            <w:r>
              <w:rPr>
                <w:noProof/>
                <w:webHidden/>
              </w:rPr>
              <w:fldChar w:fldCharType="end"/>
            </w:r>
          </w:hyperlink>
        </w:p>
        <w:p w14:paraId="308A1DEE" w14:textId="68AECD3D"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19" w:history="1">
            <w:r w:rsidRPr="00C85DA9">
              <w:rPr>
                <w:rStyle w:val="Hyperlink"/>
                <w:rFonts w:ascii="Arial" w:eastAsia="Arial" w:hAnsi="Arial" w:cs="Arial"/>
                <w:noProof/>
              </w:rPr>
              <w:t>6.7 Homogenisation and the process of commodification</w:t>
            </w:r>
            <w:r>
              <w:rPr>
                <w:noProof/>
                <w:webHidden/>
              </w:rPr>
              <w:tab/>
            </w:r>
            <w:r>
              <w:rPr>
                <w:noProof/>
                <w:webHidden/>
              </w:rPr>
              <w:fldChar w:fldCharType="begin"/>
            </w:r>
            <w:r>
              <w:rPr>
                <w:noProof/>
                <w:webHidden/>
              </w:rPr>
              <w:instrText xml:space="preserve"> PAGEREF _Toc240966019 \h </w:instrText>
            </w:r>
            <w:r>
              <w:rPr>
                <w:noProof/>
                <w:webHidden/>
              </w:rPr>
            </w:r>
            <w:r>
              <w:rPr>
                <w:noProof/>
                <w:webHidden/>
              </w:rPr>
              <w:fldChar w:fldCharType="separate"/>
            </w:r>
            <w:r>
              <w:rPr>
                <w:noProof/>
                <w:webHidden/>
              </w:rPr>
              <w:t>94</w:t>
            </w:r>
            <w:r>
              <w:rPr>
                <w:noProof/>
                <w:webHidden/>
              </w:rPr>
              <w:fldChar w:fldCharType="end"/>
            </w:r>
          </w:hyperlink>
        </w:p>
        <w:p w14:paraId="3DAB0DE6" w14:textId="6BA2FB23"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20" w:history="1">
            <w:r w:rsidRPr="00C85DA9">
              <w:rPr>
                <w:rStyle w:val="Hyperlink"/>
                <w:rFonts w:ascii="Arial" w:eastAsia="Arial" w:hAnsi="Arial" w:cs="Arial"/>
                <w:noProof/>
              </w:rPr>
              <w:t>6.9 Homogenisation and knowledge production</w:t>
            </w:r>
            <w:r>
              <w:rPr>
                <w:noProof/>
                <w:webHidden/>
              </w:rPr>
              <w:tab/>
            </w:r>
            <w:r>
              <w:rPr>
                <w:noProof/>
                <w:webHidden/>
              </w:rPr>
              <w:fldChar w:fldCharType="begin"/>
            </w:r>
            <w:r>
              <w:rPr>
                <w:noProof/>
                <w:webHidden/>
              </w:rPr>
              <w:instrText xml:space="preserve"> PAGEREF _Toc240966020 \h </w:instrText>
            </w:r>
            <w:r>
              <w:rPr>
                <w:noProof/>
                <w:webHidden/>
              </w:rPr>
            </w:r>
            <w:r>
              <w:rPr>
                <w:noProof/>
                <w:webHidden/>
              </w:rPr>
              <w:fldChar w:fldCharType="separate"/>
            </w:r>
            <w:r>
              <w:rPr>
                <w:noProof/>
                <w:webHidden/>
              </w:rPr>
              <w:t>98</w:t>
            </w:r>
            <w:r>
              <w:rPr>
                <w:noProof/>
                <w:webHidden/>
              </w:rPr>
              <w:fldChar w:fldCharType="end"/>
            </w:r>
          </w:hyperlink>
        </w:p>
        <w:p w14:paraId="6641139C" w14:textId="40678C43"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21" w:history="1">
            <w:r w:rsidRPr="00C85DA9">
              <w:rPr>
                <w:rStyle w:val="Hyperlink"/>
                <w:rFonts w:ascii="Arial" w:eastAsia="Arial" w:hAnsi="Arial" w:cs="Arial"/>
                <w:noProof/>
              </w:rPr>
              <w:t>6.10 Language and representations</w:t>
            </w:r>
            <w:r>
              <w:rPr>
                <w:noProof/>
                <w:webHidden/>
              </w:rPr>
              <w:tab/>
            </w:r>
            <w:r>
              <w:rPr>
                <w:noProof/>
                <w:webHidden/>
              </w:rPr>
              <w:fldChar w:fldCharType="begin"/>
            </w:r>
            <w:r>
              <w:rPr>
                <w:noProof/>
                <w:webHidden/>
              </w:rPr>
              <w:instrText xml:space="preserve"> PAGEREF _Toc240966021 \h </w:instrText>
            </w:r>
            <w:r>
              <w:rPr>
                <w:noProof/>
                <w:webHidden/>
              </w:rPr>
            </w:r>
            <w:r>
              <w:rPr>
                <w:noProof/>
                <w:webHidden/>
              </w:rPr>
              <w:fldChar w:fldCharType="separate"/>
            </w:r>
            <w:r>
              <w:rPr>
                <w:noProof/>
                <w:webHidden/>
              </w:rPr>
              <w:t>99</w:t>
            </w:r>
            <w:r>
              <w:rPr>
                <w:noProof/>
                <w:webHidden/>
              </w:rPr>
              <w:fldChar w:fldCharType="end"/>
            </w:r>
          </w:hyperlink>
        </w:p>
        <w:p w14:paraId="699A2674" w14:textId="4CE0392C"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22" w:history="1">
            <w:r w:rsidRPr="00C85DA9">
              <w:rPr>
                <w:rStyle w:val="Hyperlink"/>
                <w:rFonts w:ascii="Arial" w:eastAsia="Arial" w:hAnsi="Arial" w:cs="Arial"/>
                <w:noProof/>
              </w:rPr>
              <w:t>6.11 Where next?</w:t>
            </w:r>
            <w:r>
              <w:rPr>
                <w:noProof/>
                <w:webHidden/>
              </w:rPr>
              <w:tab/>
            </w:r>
            <w:r>
              <w:rPr>
                <w:noProof/>
                <w:webHidden/>
              </w:rPr>
              <w:fldChar w:fldCharType="begin"/>
            </w:r>
            <w:r>
              <w:rPr>
                <w:noProof/>
                <w:webHidden/>
              </w:rPr>
              <w:instrText xml:space="preserve"> PAGEREF _Toc240966022 \h </w:instrText>
            </w:r>
            <w:r>
              <w:rPr>
                <w:noProof/>
                <w:webHidden/>
              </w:rPr>
            </w:r>
            <w:r>
              <w:rPr>
                <w:noProof/>
                <w:webHidden/>
              </w:rPr>
              <w:fldChar w:fldCharType="separate"/>
            </w:r>
            <w:r>
              <w:rPr>
                <w:noProof/>
                <w:webHidden/>
              </w:rPr>
              <w:t>102</w:t>
            </w:r>
            <w:r>
              <w:rPr>
                <w:noProof/>
                <w:webHidden/>
              </w:rPr>
              <w:fldChar w:fldCharType="end"/>
            </w:r>
          </w:hyperlink>
        </w:p>
        <w:p w14:paraId="59C227BA" w14:textId="407AA5F4"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23" w:history="1">
            <w:r w:rsidRPr="00C85DA9">
              <w:rPr>
                <w:rStyle w:val="Hyperlink"/>
                <w:rFonts w:ascii="Arial" w:eastAsia="Arial" w:hAnsi="Arial" w:cs="Arial"/>
                <w:noProof/>
              </w:rPr>
              <w:t>6.12 Conclusion</w:t>
            </w:r>
            <w:r>
              <w:rPr>
                <w:noProof/>
                <w:webHidden/>
              </w:rPr>
              <w:tab/>
            </w:r>
            <w:r>
              <w:rPr>
                <w:noProof/>
                <w:webHidden/>
              </w:rPr>
              <w:fldChar w:fldCharType="begin"/>
            </w:r>
            <w:r>
              <w:rPr>
                <w:noProof/>
                <w:webHidden/>
              </w:rPr>
              <w:instrText xml:space="preserve"> PAGEREF _Toc240966023 \h </w:instrText>
            </w:r>
            <w:r>
              <w:rPr>
                <w:noProof/>
                <w:webHidden/>
              </w:rPr>
            </w:r>
            <w:r>
              <w:rPr>
                <w:noProof/>
                <w:webHidden/>
              </w:rPr>
              <w:fldChar w:fldCharType="separate"/>
            </w:r>
            <w:r>
              <w:rPr>
                <w:noProof/>
                <w:webHidden/>
              </w:rPr>
              <w:t>103</w:t>
            </w:r>
            <w:r>
              <w:rPr>
                <w:noProof/>
                <w:webHidden/>
              </w:rPr>
              <w:fldChar w:fldCharType="end"/>
            </w:r>
          </w:hyperlink>
        </w:p>
        <w:p w14:paraId="087AE084" w14:textId="1ACB59C3" w:rsidR="00F44422" w:rsidRDefault="00F44422">
          <w:pPr>
            <w:pStyle w:val="TOC1"/>
            <w:rPr>
              <w:rFonts w:asciiTheme="minorHAnsi" w:eastAsiaTheme="minorEastAsia" w:hAnsiTheme="minorHAnsi" w:cstheme="minorBidi"/>
              <w:b w:val="0"/>
              <w:bCs w:val="0"/>
              <w:kern w:val="2"/>
              <w14:ligatures w14:val="standardContextual"/>
            </w:rPr>
          </w:pPr>
          <w:hyperlink w:anchor="_Toc240966024" w:history="1">
            <w:r w:rsidRPr="00C85DA9">
              <w:rPr>
                <w:rStyle w:val="Hyperlink"/>
                <w:rFonts w:eastAsia="Arial"/>
              </w:rPr>
              <w:t>7.0 Commodification and Indigenous Culture.</w:t>
            </w:r>
            <w:r>
              <w:rPr>
                <w:webHidden/>
              </w:rPr>
              <w:tab/>
            </w:r>
            <w:r>
              <w:rPr>
                <w:webHidden/>
              </w:rPr>
              <w:fldChar w:fldCharType="begin"/>
            </w:r>
            <w:r>
              <w:rPr>
                <w:webHidden/>
              </w:rPr>
              <w:instrText xml:space="preserve"> PAGEREF _Toc240966024 \h </w:instrText>
            </w:r>
            <w:r>
              <w:rPr>
                <w:webHidden/>
              </w:rPr>
            </w:r>
            <w:r>
              <w:rPr>
                <w:webHidden/>
              </w:rPr>
              <w:fldChar w:fldCharType="separate"/>
            </w:r>
            <w:r>
              <w:rPr>
                <w:webHidden/>
              </w:rPr>
              <w:t>105</w:t>
            </w:r>
            <w:r>
              <w:rPr>
                <w:webHidden/>
              </w:rPr>
              <w:fldChar w:fldCharType="end"/>
            </w:r>
          </w:hyperlink>
        </w:p>
        <w:p w14:paraId="6D03E88A" w14:textId="44016EDD"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25" w:history="1">
            <w:r w:rsidRPr="00C85DA9">
              <w:rPr>
                <w:rStyle w:val="Hyperlink"/>
                <w:rFonts w:ascii="Arial" w:eastAsia="Arial" w:hAnsi="Arial" w:cs="Arial"/>
                <w:noProof/>
              </w:rPr>
              <w:t>Introduction</w:t>
            </w:r>
            <w:r>
              <w:rPr>
                <w:noProof/>
                <w:webHidden/>
              </w:rPr>
              <w:tab/>
            </w:r>
            <w:r>
              <w:rPr>
                <w:noProof/>
                <w:webHidden/>
              </w:rPr>
              <w:fldChar w:fldCharType="begin"/>
            </w:r>
            <w:r>
              <w:rPr>
                <w:noProof/>
                <w:webHidden/>
              </w:rPr>
              <w:instrText xml:space="preserve"> PAGEREF _Toc240966025 \h </w:instrText>
            </w:r>
            <w:r>
              <w:rPr>
                <w:noProof/>
                <w:webHidden/>
              </w:rPr>
            </w:r>
            <w:r>
              <w:rPr>
                <w:noProof/>
                <w:webHidden/>
              </w:rPr>
              <w:fldChar w:fldCharType="separate"/>
            </w:r>
            <w:r>
              <w:rPr>
                <w:noProof/>
                <w:webHidden/>
              </w:rPr>
              <w:t>105</w:t>
            </w:r>
            <w:r>
              <w:rPr>
                <w:noProof/>
                <w:webHidden/>
              </w:rPr>
              <w:fldChar w:fldCharType="end"/>
            </w:r>
          </w:hyperlink>
        </w:p>
        <w:p w14:paraId="49FCE600" w14:textId="54A79F40" w:rsidR="00F44422" w:rsidRDefault="00F44422">
          <w:pPr>
            <w:pStyle w:val="TOC3"/>
            <w:tabs>
              <w:tab w:val="right" w:pos="9016"/>
            </w:tabs>
            <w:rPr>
              <w:rFonts w:asciiTheme="minorHAnsi" w:eastAsiaTheme="minorEastAsia" w:hAnsiTheme="minorHAnsi" w:cstheme="minorBidi"/>
              <w:noProof/>
              <w:kern w:val="2"/>
              <w14:ligatures w14:val="standardContextual"/>
            </w:rPr>
          </w:pPr>
          <w:hyperlink w:anchor="_Toc240966026" w:history="1">
            <w:r w:rsidRPr="00C85DA9">
              <w:rPr>
                <w:rStyle w:val="Hyperlink"/>
                <w:noProof/>
              </w:rPr>
              <w:t>7.1 Commodification of the colonial Indian</w:t>
            </w:r>
            <w:r>
              <w:rPr>
                <w:noProof/>
                <w:webHidden/>
              </w:rPr>
              <w:tab/>
            </w:r>
            <w:r>
              <w:rPr>
                <w:noProof/>
                <w:webHidden/>
              </w:rPr>
              <w:fldChar w:fldCharType="begin"/>
            </w:r>
            <w:r>
              <w:rPr>
                <w:noProof/>
                <w:webHidden/>
              </w:rPr>
              <w:instrText xml:space="preserve"> PAGEREF _Toc240966026 \h </w:instrText>
            </w:r>
            <w:r>
              <w:rPr>
                <w:noProof/>
                <w:webHidden/>
              </w:rPr>
            </w:r>
            <w:r>
              <w:rPr>
                <w:noProof/>
                <w:webHidden/>
              </w:rPr>
              <w:fldChar w:fldCharType="separate"/>
            </w:r>
            <w:r>
              <w:rPr>
                <w:noProof/>
                <w:webHidden/>
              </w:rPr>
              <w:t>105</w:t>
            </w:r>
            <w:r>
              <w:rPr>
                <w:noProof/>
                <w:webHidden/>
              </w:rPr>
              <w:fldChar w:fldCharType="end"/>
            </w:r>
          </w:hyperlink>
        </w:p>
        <w:p w14:paraId="06106F30" w14:textId="21ED71A8" w:rsidR="00F44422" w:rsidRDefault="00F44422">
          <w:pPr>
            <w:pStyle w:val="TOC3"/>
            <w:tabs>
              <w:tab w:val="right" w:pos="9016"/>
            </w:tabs>
            <w:rPr>
              <w:rFonts w:asciiTheme="minorHAnsi" w:eastAsiaTheme="minorEastAsia" w:hAnsiTheme="minorHAnsi" w:cstheme="minorBidi"/>
              <w:noProof/>
              <w:kern w:val="2"/>
              <w14:ligatures w14:val="standardContextual"/>
            </w:rPr>
          </w:pPr>
          <w:hyperlink w:anchor="_Toc240966027" w:history="1">
            <w:r w:rsidRPr="00C85DA9">
              <w:rPr>
                <w:rStyle w:val="Hyperlink"/>
                <w:noProof/>
              </w:rPr>
              <w:t>7.2 Understanding the commodity</w:t>
            </w:r>
            <w:r>
              <w:rPr>
                <w:noProof/>
                <w:webHidden/>
              </w:rPr>
              <w:tab/>
            </w:r>
            <w:r>
              <w:rPr>
                <w:noProof/>
                <w:webHidden/>
              </w:rPr>
              <w:fldChar w:fldCharType="begin"/>
            </w:r>
            <w:r>
              <w:rPr>
                <w:noProof/>
                <w:webHidden/>
              </w:rPr>
              <w:instrText xml:space="preserve"> PAGEREF _Toc240966027 \h </w:instrText>
            </w:r>
            <w:r>
              <w:rPr>
                <w:noProof/>
                <w:webHidden/>
              </w:rPr>
            </w:r>
            <w:r>
              <w:rPr>
                <w:noProof/>
                <w:webHidden/>
              </w:rPr>
              <w:fldChar w:fldCharType="separate"/>
            </w:r>
            <w:r>
              <w:rPr>
                <w:noProof/>
                <w:webHidden/>
              </w:rPr>
              <w:t>106</w:t>
            </w:r>
            <w:r>
              <w:rPr>
                <w:noProof/>
                <w:webHidden/>
              </w:rPr>
              <w:fldChar w:fldCharType="end"/>
            </w:r>
          </w:hyperlink>
        </w:p>
        <w:p w14:paraId="3F86281B" w14:textId="58506B20"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28" w:history="1">
            <w:r w:rsidRPr="00C85DA9">
              <w:rPr>
                <w:rStyle w:val="Hyperlink"/>
                <w:rFonts w:ascii="Arial" w:eastAsia="Arial" w:hAnsi="Arial" w:cs="Arial"/>
                <w:noProof/>
              </w:rPr>
              <w:t>7.3 The commodity, alienation, and commodity fetishism in the cycle of representation</w:t>
            </w:r>
            <w:r>
              <w:rPr>
                <w:noProof/>
                <w:webHidden/>
              </w:rPr>
              <w:tab/>
            </w:r>
            <w:r>
              <w:rPr>
                <w:noProof/>
                <w:webHidden/>
              </w:rPr>
              <w:fldChar w:fldCharType="begin"/>
            </w:r>
            <w:r>
              <w:rPr>
                <w:noProof/>
                <w:webHidden/>
              </w:rPr>
              <w:instrText xml:space="preserve"> PAGEREF _Toc240966028 \h </w:instrText>
            </w:r>
            <w:r>
              <w:rPr>
                <w:noProof/>
                <w:webHidden/>
              </w:rPr>
            </w:r>
            <w:r>
              <w:rPr>
                <w:noProof/>
                <w:webHidden/>
              </w:rPr>
              <w:fldChar w:fldCharType="separate"/>
            </w:r>
            <w:r>
              <w:rPr>
                <w:noProof/>
                <w:webHidden/>
              </w:rPr>
              <w:t>106</w:t>
            </w:r>
            <w:r>
              <w:rPr>
                <w:noProof/>
                <w:webHidden/>
              </w:rPr>
              <w:fldChar w:fldCharType="end"/>
            </w:r>
          </w:hyperlink>
        </w:p>
        <w:p w14:paraId="18BD58F8" w14:textId="1E7B491D" w:rsidR="00F44422" w:rsidRDefault="00F44422">
          <w:pPr>
            <w:pStyle w:val="TOC3"/>
            <w:tabs>
              <w:tab w:val="right" w:pos="9016"/>
            </w:tabs>
            <w:rPr>
              <w:rFonts w:asciiTheme="minorHAnsi" w:eastAsiaTheme="minorEastAsia" w:hAnsiTheme="minorHAnsi" w:cstheme="minorBidi"/>
              <w:noProof/>
              <w:kern w:val="2"/>
              <w14:ligatures w14:val="standardContextual"/>
            </w:rPr>
          </w:pPr>
          <w:hyperlink w:anchor="_Toc240966029" w:history="1">
            <w:r w:rsidRPr="00C85DA9">
              <w:rPr>
                <w:rStyle w:val="Hyperlink"/>
                <w:noProof/>
              </w:rPr>
              <w:t>7.4 Commodity fetishism and the commodification of representation</w:t>
            </w:r>
            <w:r>
              <w:rPr>
                <w:noProof/>
                <w:webHidden/>
              </w:rPr>
              <w:tab/>
            </w:r>
            <w:r>
              <w:rPr>
                <w:noProof/>
                <w:webHidden/>
              </w:rPr>
              <w:fldChar w:fldCharType="begin"/>
            </w:r>
            <w:r>
              <w:rPr>
                <w:noProof/>
                <w:webHidden/>
              </w:rPr>
              <w:instrText xml:space="preserve"> PAGEREF _Toc240966029 \h </w:instrText>
            </w:r>
            <w:r>
              <w:rPr>
                <w:noProof/>
                <w:webHidden/>
              </w:rPr>
            </w:r>
            <w:r>
              <w:rPr>
                <w:noProof/>
                <w:webHidden/>
              </w:rPr>
              <w:fldChar w:fldCharType="separate"/>
            </w:r>
            <w:r>
              <w:rPr>
                <w:noProof/>
                <w:webHidden/>
              </w:rPr>
              <w:t>107</w:t>
            </w:r>
            <w:r>
              <w:rPr>
                <w:noProof/>
                <w:webHidden/>
              </w:rPr>
              <w:fldChar w:fldCharType="end"/>
            </w:r>
          </w:hyperlink>
        </w:p>
        <w:p w14:paraId="330AEEAC" w14:textId="665867FD" w:rsidR="00F44422" w:rsidRDefault="00F44422">
          <w:pPr>
            <w:pStyle w:val="TOC3"/>
            <w:tabs>
              <w:tab w:val="right" w:pos="9016"/>
            </w:tabs>
            <w:rPr>
              <w:rFonts w:asciiTheme="minorHAnsi" w:eastAsiaTheme="minorEastAsia" w:hAnsiTheme="minorHAnsi" w:cstheme="minorBidi"/>
              <w:noProof/>
              <w:kern w:val="2"/>
              <w14:ligatures w14:val="standardContextual"/>
            </w:rPr>
          </w:pPr>
          <w:hyperlink w:anchor="_Toc240966030" w:history="1">
            <w:r w:rsidRPr="00C85DA9">
              <w:rPr>
                <w:rStyle w:val="Hyperlink"/>
                <w:noProof/>
              </w:rPr>
              <w:t>7.5 The intersection of race, capital, commodification, and Indigeneity</w:t>
            </w:r>
            <w:r>
              <w:rPr>
                <w:noProof/>
                <w:webHidden/>
              </w:rPr>
              <w:tab/>
            </w:r>
            <w:r>
              <w:rPr>
                <w:noProof/>
                <w:webHidden/>
              </w:rPr>
              <w:fldChar w:fldCharType="begin"/>
            </w:r>
            <w:r>
              <w:rPr>
                <w:noProof/>
                <w:webHidden/>
              </w:rPr>
              <w:instrText xml:space="preserve"> PAGEREF _Toc240966030 \h </w:instrText>
            </w:r>
            <w:r>
              <w:rPr>
                <w:noProof/>
                <w:webHidden/>
              </w:rPr>
            </w:r>
            <w:r>
              <w:rPr>
                <w:noProof/>
                <w:webHidden/>
              </w:rPr>
              <w:fldChar w:fldCharType="separate"/>
            </w:r>
            <w:r>
              <w:rPr>
                <w:noProof/>
                <w:webHidden/>
              </w:rPr>
              <w:t>109</w:t>
            </w:r>
            <w:r>
              <w:rPr>
                <w:noProof/>
                <w:webHidden/>
              </w:rPr>
              <w:fldChar w:fldCharType="end"/>
            </w:r>
          </w:hyperlink>
        </w:p>
        <w:p w14:paraId="45730863" w14:textId="7FAF7A05" w:rsidR="00F44422" w:rsidRDefault="00F44422">
          <w:pPr>
            <w:pStyle w:val="TOC3"/>
            <w:tabs>
              <w:tab w:val="right" w:pos="9016"/>
            </w:tabs>
            <w:rPr>
              <w:rFonts w:asciiTheme="minorHAnsi" w:eastAsiaTheme="minorEastAsia" w:hAnsiTheme="minorHAnsi" w:cstheme="minorBidi"/>
              <w:noProof/>
              <w:kern w:val="2"/>
              <w14:ligatures w14:val="standardContextual"/>
            </w:rPr>
          </w:pPr>
          <w:hyperlink w:anchor="_Toc240966031" w:history="1">
            <w:r w:rsidRPr="00C85DA9">
              <w:rPr>
                <w:rStyle w:val="Hyperlink"/>
                <w:noProof/>
              </w:rPr>
              <w:t>7.6 Purchasing the Indigenous</w:t>
            </w:r>
            <w:r>
              <w:rPr>
                <w:noProof/>
                <w:webHidden/>
              </w:rPr>
              <w:tab/>
            </w:r>
            <w:r>
              <w:rPr>
                <w:noProof/>
                <w:webHidden/>
              </w:rPr>
              <w:fldChar w:fldCharType="begin"/>
            </w:r>
            <w:r>
              <w:rPr>
                <w:noProof/>
                <w:webHidden/>
              </w:rPr>
              <w:instrText xml:space="preserve"> PAGEREF _Toc240966031 \h </w:instrText>
            </w:r>
            <w:r>
              <w:rPr>
                <w:noProof/>
                <w:webHidden/>
              </w:rPr>
            </w:r>
            <w:r>
              <w:rPr>
                <w:noProof/>
                <w:webHidden/>
              </w:rPr>
              <w:fldChar w:fldCharType="separate"/>
            </w:r>
            <w:r>
              <w:rPr>
                <w:noProof/>
                <w:webHidden/>
              </w:rPr>
              <w:t>110</w:t>
            </w:r>
            <w:r>
              <w:rPr>
                <w:noProof/>
                <w:webHidden/>
              </w:rPr>
              <w:fldChar w:fldCharType="end"/>
            </w:r>
          </w:hyperlink>
        </w:p>
        <w:p w14:paraId="691597E0" w14:textId="4CAD23D7" w:rsidR="00F44422" w:rsidRDefault="00F44422">
          <w:pPr>
            <w:pStyle w:val="TOC3"/>
            <w:tabs>
              <w:tab w:val="right" w:pos="9016"/>
            </w:tabs>
            <w:rPr>
              <w:rFonts w:asciiTheme="minorHAnsi" w:eastAsiaTheme="minorEastAsia" w:hAnsiTheme="minorHAnsi" w:cstheme="minorBidi"/>
              <w:noProof/>
              <w:kern w:val="2"/>
              <w14:ligatures w14:val="standardContextual"/>
            </w:rPr>
          </w:pPr>
          <w:hyperlink w:anchor="_Toc240966032" w:history="1">
            <w:r w:rsidRPr="00C85DA9">
              <w:rPr>
                <w:rStyle w:val="Hyperlink"/>
                <w:noProof/>
              </w:rPr>
              <w:t>7.7 Indigenous culture as a purchasable concept</w:t>
            </w:r>
            <w:r>
              <w:rPr>
                <w:noProof/>
                <w:webHidden/>
              </w:rPr>
              <w:tab/>
            </w:r>
            <w:r>
              <w:rPr>
                <w:noProof/>
                <w:webHidden/>
              </w:rPr>
              <w:fldChar w:fldCharType="begin"/>
            </w:r>
            <w:r>
              <w:rPr>
                <w:noProof/>
                <w:webHidden/>
              </w:rPr>
              <w:instrText xml:space="preserve"> PAGEREF _Toc240966032 \h </w:instrText>
            </w:r>
            <w:r>
              <w:rPr>
                <w:noProof/>
                <w:webHidden/>
              </w:rPr>
            </w:r>
            <w:r>
              <w:rPr>
                <w:noProof/>
                <w:webHidden/>
              </w:rPr>
              <w:fldChar w:fldCharType="separate"/>
            </w:r>
            <w:r>
              <w:rPr>
                <w:noProof/>
                <w:webHidden/>
              </w:rPr>
              <w:t>110</w:t>
            </w:r>
            <w:r>
              <w:rPr>
                <w:noProof/>
                <w:webHidden/>
              </w:rPr>
              <w:fldChar w:fldCharType="end"/>
            </w:r>
          </w:hyperlink>
        </w:p>
        <w:p w14:paraId="7C706B60" w14:textId="4F1FDA9C" w:rsidR="00F44422" w:rsidRDefault="00F44422">
          <w:pPr>
            <w:pStyle w:val="TOC3"/>
            <w:tabs>
              <w:tab w:val="right" w:pos="9016"/>
            </w:tabs>
            <w:rPr>
              <w:rFonts w:asciiTheme="minorHAnsi" w:eastAsiaTheme="minorEastAsia" w:hAnsiTheme="minorHAnsi" w:cstheme="minorBidi"/>
              <w:noProof/>
              <w:kern w:val="2"/>
              <w14:ligatures w14:val="standardContextual"/>
            </w:rPr>
          </w:pPr>
          <w:hyperlink w:anchor="_Toc240966033" w:history="1">
            <w:r w:rsidRPr="00C85DA9">
              <w:rPr>
                <w:rStyle w:val="Hyperlink"/>
                <w:noProof/>
              </w:rPr>
              <w:t>7.8 Reducing the Indigenous to a colonial bricolage</w:t>
            </w:r>
            <w:r>
              <w:rPr>
                <w:noProof/>
                <w:webHidden/>
              </w:rPr>
              <w:tab/>
            </w:r>
            <w:r>
              <w:rPr>
                <w:noProof/>
                <w:webHidden/>
              </w:rPr>
              <w:fldChar w:fldCharType="begin"/>
            </w:r>
            <w:r>
              <w:rPr>
                <w:noProof/>
                <w:webHidden/>
              </w:rPr>
              <w:instrText xml:space="preserve"> PAGEREF _Toc240966033 \h </w:instrText>
            </w:r>
            <w:r>
              <w:rPr>
                <w:noProof/>
                <w:webHidden/>
              </w:rPr>
            </w:r>
            <w:r>
              <w:rPr>
                <w:noProof/>
                <w:webHidden/>
              </w:rPr>
              <w:fldChar w:fldCharType="separate"/>
            </w:r>
            <w:r>
              <w:rPr>
                <w:noProof/>
                <w:webHidden/>
              </w:rPr>
              <w:t>115</w:t>
            </w:r>
            <w:r>
              <w:rPr>
                <w:noProof/>
                <w:webHidden/>
              </w:rPr>
              <w:fldChar w:fldCharType="end"/>
            </w:r>
          </w:hyperlink>
        </w:p>
        <w:p w14:paraId="7FD43D81" w14:textId="24D36CFE" w:rsidR="00F44422" w:rsidRDefault="00F44422">
          <w:pPr>
            <w:pStyle w:val="TOC3"/>
            <w:tabs>
              <w:tab w:val="right" w:pos="9016"/>
            </w:tabs>
            <w:rPr>
              <w:rFonts w:asciiTheme="minorHAnsi" w:eastAsiaTheme="minorEastAsia" w:hAnsiTheme="minorHAnsi" w:cstheme="minorBidi"/>
              <w:noProof/>
              <w:kern w:val="2"/>
              <w14:ligatures w14:val="standardContextual"/>
            </w:rPr>
          </w:pPr>
          <w:hyperlink w:anchor="_Toc240966034" w:history="1">
            <w:r w:rsidRPr="00C85DA9">
              <w:rPr>
                <w:rStyle w:val="Hyperlink"/>
                <w:noProof/>
              </w:rPr>
              <w:t>7.9 Homogenising the Indigenous into a singular entity</w:t>
            </w:r>
            <w:r>
              <w:rPr>
                <w:noProof/>
                <w:webHidden/>
              </w:rPr>
              <w:tab/>
            </w:r>
            <w:r>
              <w:rPr>
                <w:noProof/>
                <w:webHidden/>
              </w:rPr>
              <w:fldChar w:fldCharType="begin"/>
            </w:r>
            <w:r>
              <w:rPr>
                <w:noProof/>
                <w:webHidden/>
              </w:rPr>
              <w:instrText xml:space="preserve"> PAGEREF _Toc240966034 \h </w:instrText>
            </w:r>
            <w:r>
              <w:rPr>
                <w:noProof/>
                <w:webHidden/>
              </w:rPr>
            </w:r>
            <w:r>
              <w:rPr>
                <w:noProof/>
                <w:webHidden/>
              </w:rPr>
              <w:fldChar w:fldCharType="separate"/>
            </w:r>
            <w:r>
              <w:rPr>
                <w:noProof/>
                <w:webHidden/>
              </w:rPr>
              <w:t>117</w:t>
            </w:r>
            <w:r>
              <w:rPr>
                <w:noProof/>
                <w:webHidden/>
              </w:rPr>
              <w:fldChar w:fldCharType="end"/>
            </w:r>
          </w:hyperlink>
        </w:p>
        <w:p w14:paraId="0C4872FB" w14:textId="1D47B7E5" w:rsidR="00F44422" w:rsidRDefault="00F44422">
          <w:pPr>
            <w:pStyle w:val="TOC3"/>
            <w:tabs>
              <w:tab w:val="right" w:pos="9016"/>
            </w:tabs>
            <w:rPr>
              <w:rFonts w:asciiTheme="minorHAnsi" w:eastAsiaTheme="minorEastAsia" w:hAnsiTheme="minorHAnsi" w:cstheme="minorBidi"/>
              <w:noProof/>
              <w:kern w:val="2"/>
              <w14:ligatures w14:val="standardContextual"/>
            </w:rPr>
          </w:pPr>
          <w:hyperlink w:anchor="_Toc240966035" w:history="1">
            <w:r w:rsidRPr="00C85DA9">
              <w:rPr>
                <w:rStyle w:val="Hyperlink"/>
                <w:noProof/>
              </w:rPr>
              <w:t>7.10 Settler assigned identities</w:t>
            </w:r>
            <w:r>
              <w:rPr>
                <w:noProof/>
                <w:webHidden/>
              </w:rPr>
              <w:tab/>
            </w:r>
            <w:r>
              <w:rPr>
                <w:noProof/>
                <w:webHidden/>
              </w:rPr>
              <w:fldChar w:fldCharType="begin"/>
            </w:r>
            <w:r>
              <w:rPr>
                <w:noProof/>
                <w:webHidden/>
              </w:rPr>
              <w:instrText xml:space="preserve"> PAGEREF _Toc240966035 \h </w:instrText>
            </w:r>
            <w:r>
              <w:rPr>
                <w:noProof/>
                <w:webHidden/>
              </w:rPr>
            </w:r>
            <w:r>
              <w:rPr>
                <w:noProof/>
                <w:webHidden/>
              </w:rPr>
              <w:fldChar w:fldCharType="separate"/>
            </w:r>
            <w:r>
              <w:rPr>
                <w:noProof/>
                <w:webHidden/>
              </w:rPr>
              <w:t>117</w:t>
            </w:r>
            <w:r>
              <w:rPr>
                <w:noProof/>
                <w:webHidden/>
              </w:rPr>
              <w:fldChar w:fldCharType="end"/>
            </w:r>
          </w:hyperlink>
        </w:p>
        <w:p w14:paraId="526FB710" w14:textId="6FFFE07C" w:rsidR="00F44422" w:rsidRDefault="00F44422">
          <w:pPr>
            <w:pStyle w:val="TOC3"/>
            <w:tabs>
              <w:tab w:val="right" w:pos="9016"/>
            </w:tabs>
            <w:rPr>
              <w:rFonts w:asciiTheme="minorHAnsi" w:eastAsiaTheme="minorEastAsia" w:hAnsiTheme="minorHAnsi" w:cstheme="minorBidi"/>
              <w:noProof/>
              <w:kern w:val="2"/>
              <w14:ligatures w14:val="standardContextual"/>
            </w:rPr>
          </w:pPr>
          <w:hyperlink w:anchor="_Toc240966036" w:history="1">
            <w:r w:rsidRPr="00C85DA9">
              <w:rPr>
                <w:rStyle w:val="Hyperlink"/>
                <w:noProof/>
              </w:rPr>
              <w:t>7.11 Settler collective unconscious</w:t>
            </w:r>
            <w:r>
              <w:rPr>
                <w:noProof/>
                <w:webHidden/>
              </w:rPr>
              <w:tab/>
            </w:r>
            <w:r>
              <w:rPr>
                <w:noProof/>
                <w:webHidden/>
              </w:rPr>
              <w:fldChar w:fldCharType="begin"/>
            </w:r>
            <w:r>
              <w:rPr>
                <w:noProof/>
                <w:webHidden/>
              </w:rPr>
              <w:instrText xml:space="preserve"> PAGEREF _Toc240966036 \h </w:instrText>
            </w:r>
            <w:r>
              <w:rPr>
                <w:noProof/>
                <w:webHidden/>
              </w:rPr>
            </w:r>
            <w:r>
              <w:rPr>
                <w:noProof/>
                <w:webHidden/>
              </w:rPr>
              <w:fldChar w:fldCharType="separate"/>
            </w:r>
            <w:r>
              <w:rPr>
                <w:noProof/>
                <w:webHidden/>
              </w:rPr>
              <w:t>119</w:t>
            </w:r>
            <w:r>
              <w:rPr>
                <w:noProof/>
                <w:webHidden/>
              </w:rPr>
              <w:fldChar w:fldCharType="end"/>
            </w:r>
          </w:hyperlink>
        </w:p>
        <w:p w14:paraId="22CEBD47" w14:textId="1EA981ED" w:rsidR="00F44422" w:rsidRDefault="00F44422">
          <w:pPr>
            <w:pStyle w:val="TOC3"/>
            <w:tabs>
              <w:tab w:val="right" w:pos="9016"/>
            </w:tabs>
            <w:rPr>
              <w:rFonts w:asciiTheme="minorHAnsi" w:eastAsiaTheme="minorEastAsia" w:hAnsiTheme="minorHAnsi" w:cstheme="minorBidi"/>
              <w:noProof/>
              <w:kern w:val="2"/>
              <w14:ligatures w14:val="standardContextual"/>
            </w:rPr>
          </w:pPr>
          <w:hyperlink w:anchor="_Toc240966037" w:history="1">
            <w:r w:rsidRPr="00C85DA9">
              <w:rPr>
                <w:rStyle w:val="Hyperlink"/>
                <w:noProof/>
              </w:rPr>
              <w:t>7.12 The settler bricolage of Indigenous communities</w:t>
            </w:r>
            <w:r>
              <w:rPr>
                <w:noProof/>
                <w:webHidden/>
              </w:rPr>
              <w:tab/>
            </w:r>
            <w:r>
              <w:rPr>
                <w:noProof/>
                <w:webHidden/>
              </w:rPr>
              <w:fldChar w:fldCharType="begin"/>
            </w:r>
            <w:r>
              <w:rPr>
                <w:noProof/>
                <w:webHidden/>
              </w:rPr>
              <w:instrText xml:space="preserve"> PAGEREF _Toc240966037 \h </w:instrText>
            </w:r>
            <w:r>
              <w:rPr>
                <w:noProof/>
                <w:webHidden/>
              </w:rPr>
            </w:r>
            <w:r>
              <w:rPr>
                <w:noProof/>
                <w:webHidden/>
              </w:rPr>
              <w:fldChar w:fldCharType="separate"/>
            </w:r>
            <w:r>
              <w:rPr>
                <w:noProof/>
                <w:webHidden/>
              </w:rPr>
              <w:t>122</w:t>
            </w:r>
            <w:r>
              <w:rPr>
                <w:noProof/>
                <w:webHidden/>
              </w:rPr>
              <w:fldChar w:fldCharType="end"/>
            </w:r>
          </w:hyperlink>
        </w:p>
        <w:p w14:paraId="704005D0" w14:textId="1D7F9668" w:rsidR="00F44422" w:rsidRDefault="00F44422">
          <w:pPr>
            <w:pStyle w:val="TOC3"/>
            <w:tabs>
              <w:tab w:val="right" w:pos="9016"/>
            </w:tabs>
            <w:rPr>
              <w:rFonts w:asciiTheme="minorHAnsi" w:eastAsiaTheme="minorEastAsia" w:hAnsiTheme="minorHAnsi" w:cstheme="minorBidi"/>
              <w:noProof/>
              <w:kern w:val="2"/>
              <w14:ligatures w14:val="standardContextual"/>
            </w:rPr>
          </w:pPr>
          <w:hyperlink w:anchor="_Toc240966038" w:history="1">
            <w:r w:rsidRPr="00C85DA9">
              <w:rPr>
                <w:rStyle w:val="Hyperlink"/>
                <w:noProof/>
              </w:rPr>
              <w:t>7.13 Settler society and the mirage of reality</w:t>
            </w:r>
            <w:r>
              <w:rPr>
                <w:noProof/>
                <w:webHidden/>
              </w:rPr>
              <w:tab/>
            </w:r>
            <w:r>
              <w:rPr>
                <w:noProof/>
                <w:webHidden/>
              </w:rPr>
              <w:fldChar w:fldCharType="begin"/>
            </w:r>
            <w:r>
              <w:rPr>
                <w:noProof/>
                <w:webHidden/>
              </w:rPr>
              <w:instrText xml:space="preserve"> PAGEREF _Toc240966038 \h </w:instrText>
            </w:r>
            <w:r>
              <w:rPr>
                <w:noProof/>
                <w:webHidden/>
              </w:rPr>
            </w:r>
            <w:r>
              <w:rPr>
                <w:noProof/>
                <w:webHidden/>
              </w:rPr>
              <w:fldChar w:fldCharType="separate"/>
            </w:r>
            <w:r>
              <w:rPr>
                <w:noProof/>
                <w:webHidden/>
              </w:rPr>
              <w:t>122</w:t>
            </w:r>
            <w:r>
              <w:rPr>
                <w:noProof/>
                <w:webHidden/>
              </w:rPr>
              <w:fldChar w:fldCharType="end"/>
            </w:r>
          </w:hyperlink>
        </w:p>
        <w:p w14:paraId="632BDF2B" w14:textId="711D2719" w:rsidR="00F44422" w:rsidRDefault="00F44422">
          <w:pPr>
            <w:pStyle w:val="TOC3"/>
            <w:tabs>
              <w:tab w:val="right" w:pos="9016"/>
            </w:tabs>
            <w:rPr>
              <w:rFonts w:asciiTheme="minorHAnsi" w:eastAsiaTheme="minorEastAsia" w:hAnsiTheme="minorHAnsi" w:cstheme="minorBidi"/>
              <w:noProof/>
              <w:kern w:val="2"/>
              <w14:ligatures w14:val="standardContextual"/>
            </w:rPr>
          </w:pPr>
          <w:hyperlink w:anchor="_Toc240966039" w:history="1">
            <w:r w:rsidRPr="00C85DA9">
              <w:rPr>
                <w:rStyle w:val="Hyperlink"/>
                <w:noProof/>
              </w:rPr>
              <w:t>7.14 Dislocation of Indigenous culture as a colonial tool</w:t>
            </w:r>
            <w:r>
              <w:rPr>
                <w:noProof/>
                <w:webHidden/>
              </w:rPr>
              <w:tab/>
            </w:r>
            <w:r>
              <w:rPr>
                <w:noProof/>
                <w:webHidden/>
              </w:rPr>
              <w:fldChar w:fldCharType="begin"/>
            </w:r>
            <w:r>
              <w:rPr>
                <w:noProof/>
                <w:webHidden/>
              </w:rPr>
              <w:instrText xml:space="preserve"> PAGEREF _Toc240966039 \h </w:instrText>
            </w:r>
            <w:r>
              <w:rPr>
                <w:noProof/>
                <w:webHidden/>
              </w:rPr>
            </w:r>
            <w:r>
              <w:rPr>
                <w:noProof/>
                <w:webHidden/>
              </w:rPr>
              <w:fldChar w:fldCharType="separate"/>
            </w:r>
            <w:r>
              <w:rPr>
                <w:noProof/>
                <w:webHidden/>
              </w:rPr>
              <w:t>125</w:t>
            </w:r>
            <w:r>
              <w:rPr>
                <w:noProof/>
                <w:webHidden/>
              </w:rPr>
              <w:fldChar w:fldCharType="end"/>
            </w:r>
          </w:hyperlink>
        </w:p>
        <w:p w14:paraId="251D4FF6" w14:textId="56871A45" w:rsidR="00F44422" w:rsidRDefault="00F44422">
          <w:pPr>
            <w:pStyle w:val="TOC3"/>
            <w:tabs>
              <w:tab w:val="right" w:pos="9016"/>
            </w:tabs>
            <w:rPr>
              <w:rFonts w:asciiTheme="minorHAnsi" w:eastAsiaTheme="minorEastAsia" w:hAnsiTheme="minorHAnsi" w:cstheme="minorBidi"/>
              <w:noProof/>
              <w:kern w:val="2"/>
              <w14:ligatures w14:val="standardContextual"/>
            </w:rPr>
          </w:pPr>
          <w:hyperlink w:anchor="_Toc240966040" w:history="1">
            <w:r w:rsidRPr="00C85DA9">
              <w:rPr>
                <w:rStyle w:val="Hyperlink"/>
                <w:noProof/>
                <w:highlight w:val="white"/>
              </w:rPr>
              <w:t>7.15 Line of interest, where next?</w:t>
            </w:r>
            <w:r>
              <w:rPr>
                <w:noProof/>
                <w:webHidden/>
              </w:rPr>
              <w:tab/>
            </w:r>
            <w:r>
              <w:rPr>
                <w:noProof/>
                <w:webHidden/>
              </w:rPr>
              <w:fldChar w:fldCharType="begin"/>
            </w:r>
            <w:r>
              <w:rPr>
                <w:noProof/>
                <w:webHidden/>
              </w:rPr>
              <w:instrText xml:space="preserve"> PAGEREF _Toc240966040 \h </w:instrText>
            </w:r>
            <w:r>
              <w:rPr>
                <w:noProof/>
                <w:webHidden/>
              </w:rPr>
            </w:r>
            <w:r>
              <w:rPr>
                <w:noProof/>
                <w:webHidden/>
              </w:rPr>
              <w:fldChar w:fldCharType="separate"/>
            </w:r>
            <w:r>
              <w:rPr>
                <w:noProof/>
                <w:webHidden/>
              </w:rPr>
              <w:t>128</w:t>
            </w:r>
            <w:r>
              <w:rPr>
                <w:noProof/>
                <w:webHidden/>
              </w:rPr>
              <w:fldChar w:fldCharType="end"/>
            </w:r>
          </w:hyperlink>
        </w:p>
        <w:p w14:paraId="709153F3" w14:textId="78D90640" w:rsidR="00F44422" w:rsidRDefault="00F44422">
          <w:pPr>
            <w:pStyle w:val="TOC3"/>
            <w:tabs>
              <w:tab w:val="right" w:pos="9016"/>
            </w:tabs>
            <w:rPr>
              <w:rFonts w:asciiTheme="minorHAnsi" w:eastAsiaTheme="minorEastAsia" w:hAnsiTheme="minorHAnsi" w:cstheme="minorBidi"/>
              <w:noProof/>
              <w:kern w:val="2"/>
              <w14:ligatures w14:val="standardContextual"/>
            </w:rPr>
          </w:pPr>
          <w:hyperlink w:anchor="_Toc240966041" w:history="1">
            <w:r w:rsidRPr="00C85DA9">
              <w:rPr>
                <w:rStyle w:val="Hyperlink"/>
                <w:noProof/>
              </w:rPr>
              <w:t>7.16 Conclusion</w:t>
            </w:r>
            <w:r>
              <w:rPr>
                <w:noProof/>
                <w:webHidden/>
              </w:rPr>
              <w:tab/>
            </w:r>
            <w:r>
              <w:rPr>
                <w:noProof/>
                <w:webHidden/>
              </w:rPr>
              <w:fldChar w:fldCharType="begin"/>
            </w:r>
            <w:r>
              <w:rPr>
                <w:noProof/>
                <w:webHidden/>
              </w:rPr>
              <w:instrText xml:space="preserve"> PAGEREF _Toc240966041 \h </w:instrText>
            </w:r>
            <w:r>
              <w:rPr>
                <w:noProof/>
                <w:webHidden/>
              </w:rPr>
            </w:r>
            <w:r>
              <w:rPr>
                <w:noProof/>
                <w:webHidden/>
              </w:rPr>
              <w:fldChar w:fldCharType="separate"/>
            </w:r>
            <w:r>
              <w:rPr>
                <w:noProof/>
                <w:webHidden/>
              </w:rPr>
              <w:t>129</w:t>
            </w:r>
            <w:r>
              <w:rPr>
                <w:noProof/>
                <w:webHidden/>
              </w:rPr>
              <w:fldChar w:fldCharType="end"/>
            </w:r>
          </w:hyperlink>
        </w:p>
        <w:p w14:paraId="124E8B57" w14:textId="622C2956" w:rsidR="00F44422" w:rsidRDefault="00F44422">
          <w:pPr>
            <w:pStyle w:val="TOC1"/>
            <w:rPr>
              <w:rFonts w:asciiTheme="minorHAnsi" w:eastAsiaTheme="minorEastAsia" w:hAnsiTheme="minorHAnsi" w:cstheme="minorBidi"/>
              <w:b w:val="0"/>
              <w:bCs w:val="0"/>
              <w:kern w:val="2"/>
              <w14:ligatures w14:val="standardContextual"/>
            </w:rPr>
          </w:pPr>
          <w:hyperlink w:anchor="_Toc240966042" w:history="1">
            <w:r w:rsidRPr="00C85DA9">
              <w:rPr>
                <w:rStyle w:val="Hyperlink"/>
                <w:rFonts w:eastAsia="Arial"/>
              </w:rPr>
              <w:t>8.0 The relationship of Historization and Indigeneity</w:t>
            </w:r>
            <w:r>
              <w:rPr>
                <w:webHidden/>
              </w:rPr>
              <w:tab/>
            </w:r>
            <w:r>
              <w:rPr>
                <w:webHidden/>
              </w:rPr>
              <w:fldChar w:fldCharType="begin"/>
            </w:r>
            <w:r>
              <w:rPr>
                <w:webHidden/>
              </w:rPr>
              <w:instrText xml:space="preserve"> PAGEREF _Toc240966042 \h </w:instrText>
            </w:r>
            <w:r>
              <w:rPr>
                <w:webHidden/>
              </w:rPr>
            </w:r>
            <w:r>
              <w:rPr>
                <w:webHidden/>
              </w:rPr>
              <w:fldChar w:fldCharType="separate"/>
            </w:r>
            <w:r>
              <w:rPr>
                <w:webHidden/>
              </w:rPr>
              <w:t>130</w:t>
            </w:r>
            <w:r>
              <w:rPr>
                <w:webHidden/>
              </w:rPr>
              <w:fldChar w:fldCharType="end"/>
            </w:r>
          </w:hyperlink>
        </w:p>
        <w:p w14:paraId="6A443808" w14:textId="0FB5BFC6"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43" w:history="1">
            <w:r w:rsidRPr="00C85DA9">
              <w:rPr>
                <w:rStyle w:val="Hyperlink"/>
                <w:rFonts w:ascii="Arial" w:eastAsia="Arial" w:hAnsi="Arial" w:cs="Arial"/>
                <w:noProof/>
              </w:rPr>
              <w:t>Introduction</w:t>
            </w:r>
            <w:r>
              <w:rPr>
                <w:noProof/>
                <w:webHidden/>
              </w:rPr>
              <w:tab/>
            </w:r>
            <w:r>
              <w:rPr>
                <w:noProof/>
                <w:webHidden/>
              </w:rPr>
              <w:fldChar w:fldCharType="begin"/>
            </w:r>
            <w:r>
              <w:rPr>
                <w:noProof/>
                <w:webHidden/>
              </w:rPr>
              <w:instrText xml:space="preserve"> PAGEREF _Toc240966043 \h </w:instrText>
            </w:r>
            <w:r>
              <w:rPr>
                <w:noProof/>
                <w:webHidden/>
              </w:rPr>
            </w:r>
            <w:r>
              <w:rPr>
                <w:noProof/>
                <w:webHidden/>
              </w:rPr>
              <w:fldChar w:fldCharType="separate"/>
            </w:r>
            <w:r>
              <w:rPr>
                <w:noProof/>
                <w:webHidden/>
              </w:rPr>
              <w:t>130</w:t>
            </w:r>
            <w:r>
              <w:rPr>
                <w:noProof/>
                <w:webHidden/>
              </w:rPr>
              <w:fldChar w:fldCharType="end"/>
            </w:r>
          </w:hyperlink>
        </w:p>
        <w:p w14:paraId="56268A49" w14:textId="476DCBAB" w:rsidR="00F44422" w:rsidRDefault="00F44422">
          <w:pPr>
            <w:pStyle w:val="TOC3"/>
            <w:tabs>
              <w:tab w:val="right" w:pos="9016"/>
            </w:tabs>
            <w:rPr>
              <w:rFonts w:asciiTheme="minorHAnsi" w:eastAsiaTheme="minorEastAsia" w:hAnsiTheme="minorHAnsi" w:cstheme="minorBidi"/>
              <w:noProof/>
              <w:kern w:val="2"/>
              <w14:ligatures w14:val="standardContextual"/>
            </w:rPr>
          </w:pPr>
          <w:hyperlink w:anchor="_Toc240966044" w:history="1">
            <w:r w:rsidRPr="00C85DA9">
              <w:rPr>
                <w:rStyle w:val="Hyperlink"/>
                <w:noProof/>
              </w:rPr>
              <w:t>8.1 Historization, Time and Indigeneity</w:t>
            </w:r>
            <w:r>
              <w:rPr>
                <w:noProof/>
                <w:webHidden/>
              </w:rPr>
              <w:tab/>
            </w:r>
            <w:r>
              <w:rPr>
                <w:noProof/>
                <w:webHidden/>
              </w:rPr>
              <w:fldChar w:fldCharType="begin"/>
            </w:r>
            <w:r>
              <w:rPr>
                <w:noProof/>
                <w:webHidden/>
              </w:rPr>
              <w:instrText xml:space="preserve"> PAGEREF _Toc240966044 \h </w:instrText>
            </w:r>
            <w:r>
              <w:rPr>
                <w:noProof/>
                <w:webHidden/>
              </w:rPr>
            </w:r>
            <w:r>
              <w:rPr>
                <w:noProof/>
                <w:webHidden/>
              </w:rPr>
              <w:fldChar w:fldCharType="separate"/>
            </w:r>
            <w:r>
              <w:rPr>
                <w:noProof/>
                <w:webHidden/>
              </w:rPr>
              <w:t>130</w:t>
            </w:r>
            <w:r>
              <w:rPr>
                <w:noProof/>
                <w:webHidden/>
              </w:rPr>
              <w:fldChar w:fldCharType="end"/>
            </w:r>
          </w:hyperlink>
        </w:p>
        <w:p w14:paraId="1F93E445" w14:textId="49EF879D" w:rsidR="00F44422" w:rsidRDefault="00F44422">
          <w:pPr>
            <w:pStyle w:val="TOC3"/>
            <w:tabs>
              <w:tab w:val="right" w:pos="9016"/>
            </w:tabs>
            <w:rPr>
              <w:rFonts w:asciiTheme="minorHAnsi" w:eastAsiaTheme="minorEastAsia" w:hAnsiTheme="minorHAnsi" w:cstheme="minorBidi"/>
              <w:noProof/>
              <w:kern w:val="2"/>
              <w14:ligatures w14:val="standardContextual"/>
            </w:rPr>
          </w:pPr>
          <w:hyperlink w:anchor="_Toc240966045" w:history="1">
            <w:r w:rsidRPr="00C85DA9">
              <w:rPr>
                <w:rStyle w:val="Hyperlink"/>
                <w:noProof/>
              </w:rPr>
              <w:t>8.2 Settler memories, a History of Manipulation</w:t>
            </w:r>
            <w:r>
              <w:rPr>
                <w:noProof/>
                <w:webHidden/>
              </w:rPr>
              <w:tab/>
            </w:r>
            <w:r>
              <w:rPr>
                <w:noProof/>
                <w:webHidden/>
              </w:rPr>
              <w:fldChar w:fldCharType="begin"/>
            </w:r>
            <w:r>
              <w:rPr>
                <w:noProof/>
                <w:webHidden/>
              </w:rPr>
              <w:instrText xml:space="preserve"> PAGEREF _Toc240966045 \h </w:instrText>
            </w:r>
            <w:r>
              <w:rPr>
                <w:noProof/>
                <w:webHidden/>
              </w:rPr>
            </w:r>
            <w:r>
              <w:rPr>
                <w:noProof/>
                <w:webHidden/>
              </w:rPr>
              <w:fldChar w:fldCharType="separate"/>
            </w:r>
            <w:r>
              <w:rPr>
                <w:noProof/>
                <w:webHidden/>
              </w:rPr>
              <w:t>133</w:t>
            </w:r>
            <w:r>
              <w:rPr>
                <w:noProof/>
                <w:webHidden/>
              </w:rPr>
              <w:fldChar w:fldCharType="end"/>
            </w:r>
          </w:hyperlink>
        </w:p>
        <w:p w14:paraId="07A8E511" w14:textId="79B7A9AD"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46" w:history="1">
            <w:r w:rsidRPr="00C85DA9">
              <w:rPr>
                <w:rStyle w:val="Hyperlink"/>
                <w:rFonts w:ascii="Arial" w:eastAsia="Arial" w:hAnsi="Arial" w:cs="Arial"/>
                <w:noProof/>
              </w:rPr>
              <w:t>8.5 Temporal dimensions of settler power</w:t>
            </w:r>
            <w:r>
              <w:rPr>
                <w:noProof/>
                <w:webHidden/>
              </w:rPr>
              <w:tab/>
            </w:r>
            <w:r>
              <w:rPr>
                <w:noProof/>
                <w:webHidden/>
              </w:rPr>
              <w:fldChar w:fldCharType="begin"/>
            </w:r>
            <w:r>
              <w:rPr>
                <w:noProof/>
                <w:webHidden/>
              </w:rPr>
              <w:instrText xml:space="preserve"> PAGEREF _Toc240966046 \h </w:instrText>
            </w:r>
            <w:r>
              <w:rPr>
                <w:noProof/>
                <w:webHidden/>
              </w:rPr>
            </w:r>
            <w:r>
              <w:rPr>
                <w:noProof/>
                <w:webHidden/>
              </w:rPr>
              <w:fldChar w:fldCharType="separate"/>
            </w:r>
            <w:r>
              <w:rPr>
                <w:noProof/>
                <w:webHidden/>
              </w:rPr>
              <w:t>137</w:t>
            </w:r>
            <w:r>
              <w:rPr>
                <w:noProof/>
                <w:webHidden/>
              </w:rPr>
              <w:fldChar w:fldCharType="end"/>
            </w:r>
          </w:hyperlink>
        </w:p>
        <w:p w14:paraId="756860EA" w14:textId="7B79DB29"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47" w:history="1">
            <w:r w:rsidRPr="00C85DA9">
              <w:rPr>
                <w:rStyle w:val="Hyperlink"/>
                <w:rFonts w:ascii="Arial" w:eastAsia="Arial" w:hAnsi="Arial" w:cs="Arial"/>
                <w:noProof/>
              </w:rPr>
              <w:t>8.6 Fluidity of time</w:t>
            </w:r>
            <w:r>
              <w:rPr>
                <w:noProof/>
                <w:webHidden/>
              </w:rPr>
              <w:tab/>
            </w:r>
            <w:r>
              <w:rPr>
                <w:noProof/>
                <w:webHidden/>
              </w:rPr>
              <w:fldChar w:fldCharType="begin"/>
            </w:r>
            <w:r>
              <w:rPr>
                <w:noProof/>
                <w:webHidden/>
              </w:rPr>
              <w:instrText xml:space="preserve"> PAGEREF _Toc240966047 \h </w:instrText>
            </w:r>
            <w:r>
              <w:rPr>
                <w:noProof/>
                <w:webHidden/>
              </w:rPr>
            </w:r>
            <w:r>
              <w:rPr>
                <w:noProof/>
                <w:webHidden/>
              </w:rPr>
              <w:fldChar w:fldCharType="separate"/>
            </w:r>
            <w:r>
              <w:rPr>
                <w:noProof/>
                <w:webHidden/>
              </w:rPr>
              <w:t>137</w:t>
            </w:r>
            <w:r>
              <w:rPr>
                <w:noProof/>
                <w:webHidden/>
              </w:rPr>
              <w:fldChar w:fldCharType="end"/>
            </w:r>
          </w:hyperlink>
        </w:p>
        <w:p w14:paraId="405AE380" w14:textId="137DBBD5"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48" w:history="1">
            <w:r w:rsidRPr="00C85DA9">
              <w:rPr>
                <w:rStyle w:val="Hyperlink"/>
                <w:rFonts w:ascii="Arial" w:eastAsia="Arial" w:hAnsi="Arial" w:cs="Arial"/>
                <w:noProof/>
              </w:rPr>
              <w:t>8.9 Imageries of the Indigenous</w:t>
            </w:r>
            <w:r>
              <w:rPr>
                <w:noProof/>
                <w:webHidden/>
              </w:rPr>
              <w:tab/>
            </w:r>
            <w:r>
              <w:rPr>
                <w:noProof/>
                <w:webHidden/>
              </w:rPr>
              <w:fldChar w:fldCharType="begin"/>
            </w:r>
            <w:r>
              <w:rPr>
                <w:noProof/>
                <w:webHidden/>
              </w:rPr>
              <w:instrText xml:space="preserve"> PAGEREF _Toc240966048 \h </w:instrText>
            </w:r>
            <w:r>
              <w:rPr>
                <w:noProof/>
                <w:webHidden/>
              </w:rPr>
            </w:r>
            <w:r>
              <w:rPr>
                <w:noProof/>
                <w:webHidden/>
              </w:rPr>
              <w:fldChar w:fldCharType="separate"/>
            </w:r>
            <w:r>
              <w:rPr>
                <w:noProof/>
                <w:webHidden/>
              </w:rPr>
              <w:t>150</w:t>
            </w:r>
            <w:r>
              <w:rPr>
                <w:noProof/>
                <w:webHidden/>
              </w:rPr>
              <w:fldChar w:fldCharType="end"/>
            </w:r>
          </w:hyperlink>
        </w:p>
        <w:p w14:paraId="79D66DF4" w14:textId="438ECED6"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49" w:history="1">
            <w:r w:rsidRPr="00C85DA9">
              <w:rPr>
                <w:rStyle w:val="Hyperlink"/>
                <w:rFonts w:ascii="Arial" w:eastAsia="Arial" w:hAnsi="Arial" w:cs="Arial"/>
                <w:noProof/>
              </w:rPr>
              <w:t>8.11 Movement forward, next stages</w:t>
            </w:r>
            <w:r>
              <w:rPr>
                <w:noProof/>
                <w:webHidden/>
              </w:rPr>
              <w:tab/>
            </w:r>
            <w:r>
              <w:rPr>
                <w:noProof/>
                <w:webHidden/>
              </w:rPr>
              <w:fldChar w:fldCharType="begin"/>
            </w:r>
            <w:r>
              <w:rPr>
                <w:noProof/>
                <w:webHidden/>
              </w:rPr>
              <w:instrText xml:space="preserve"> PAGEREF _Toc240966049 \h </w:instrText>
            </w:r>
            <w:r>
              <w:rPr>
                <w:noProof/>
                <w:webHidden/>
              </w:rPr>
            </w:r>
            <w:r>
              <w:rPr>
                <w:noProof/>
                <w:webHidden/>
              </w:rPr>
              <w:fldChar w:fldCharType="separate"/>
            </w:r>
            <w:r>
              <w:rPr>
                <w:noProof/>
                <w:webHidden/>
              </w:rPr>
              <w:t>152</w:t>
            </w:r>
            <w:r>
              <w:rPr>
                <w:noProof/>
                <w:webHidden/>
              </w:rPr>
              <w:fldChar w:fldCharType="end"/>
            </w:r>
          </w:hyperlink>
        </w:p>
        <w:p w14:paraId="32451C48" w14:textId="522D100C"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50" w:history="1">
            <w:r w:rsidRPr="00C85DA9">
              <w:rPr>
                <w:rStyle w:val="Hyperlink"/>
                <w:rFonts w:ascii="Arial" w:eastAsia="Arial" w:hAnsi="Arial" w:cs="Arial"/>
                <w:noProof/>
              </w:rPr>
              <w:t>8.12 Conclusion</w:t>
            </w:r>
            <w:r>
              <w:rPr>
                <w:noProof/>
                <w:webHidden/>
              </w:rPr>
              <w:tab/>
            </w:r>
            <w:r>
              <w:rPr>
                <w:noProof/>
                <w:webHidden/>
              </w:rPr>
              <w:fldChar w:fldCharType="begin"/>
            </w:r>
            <w:r>
              <w:rPr>
                <w:noProof/>
                <w:webHidden/>
              </w:rPr>
              <w:instrText xml:space="preserve"> PAGEREF _Toc240966050 \h </w:instrText>
            </w:r>
            <w:r>
              <w:rPr>
                <w:noProof/>
                <w:webHidden/>
              </w:rPr>
            </w:r>
            <w:r>
              <w:rPr>
                <w:noProof/>
                <w:webHidden/>
              </w:rPr>
              <w:fldChar w:fldCharType="separate"/>
            </w:r>
            <w:r>
              <w:rPr>
                <w:noProof/>
                <w:webHidden/>
              </w:rPr>
              <w:t>154</w:t>
            </w:r>
            <w:r>
              <w:rPr>
                <w:noProof/>
                <w:webHidden/>
              </w:rPr>
              <w:fldChar w:fldCharType="end"/>
            </w:r>
          </w:hyperlink>
        </w:p>
        <w:p w14:paraId="205ACCB3" w14:textId="589AD8E9" w:rsidR="00F44422" w:rsidRDefault="00F44422">
          <w:pPr>
            <w:pStyle w:val="TOC1"/>
            <w:rPr>
              <w:rFonts w:asciiTheme="minorHAnsi" w:eastAsiaTheme="minorEastAsia" w:hAnsiTheme="minorHAnsi" w:cstheme="minorBidi"/>
              <w:b w:val="0"/>
              <w:bCs w:val="0"/>
              <w:kern w:val="2"/>
              <w14:ligatures w14:val="standardContextual"/>
            </w:rPr>
          </w:pPr>
          <w:hyperlink w:anchor="_Toc240966051" w:history="1">
            <w:r w:rsidRPr="00C85DA9">
              <w:rPr>
                <w:rStyle w:val="Hyperlink"/>
                <w:rFonts w:eastAsia="Arial"/>
              </w:rPr>
              <w:t xml:space="preserve">9.0 </w:t>
            </w:r>
            <w:r w:rsidRPr="00C85DA9">
              <w:rPr>
                <w:rStyle w:val="Hyperlink"/>
                <w:rFonts w:eastAsia="Arial"/>
                <w:highlight w:val="white"/>
              </w:rPr>
              <w:t>Territorialization</w:t>
            </w:r>
            <w:r w:rsidRPr="00C85DA9">
              <w:rPr>
                <w:rStyle w:val="Hyperlink"/>
                <w:rFonts w:eastAsia="Arial"/>
              </w:rPr>
              <w:t>: A Settler Colonial site of violence</w:t>
            </w:r>
            <w:r>
              <w:rPr>
                <w:webHidden/>
              </w:rPr>
              <w:tab/>
            </w:r>
            <w:r>
              <w:rPr>
                <w:webHidden/>
              </w:rPr>
              <w:fldChar w:fldCharType="begin"/>
            </w:r>
            <w:r>
              <w:rPr>
                <w:webHidden/>
              </w:rPr>
              <w:instrText xml:space="preserve"> PAGEREF _Toc240966051 \h </w:instrText>
            </w:r>
            <w:r>
              <w:rPr>
                <w:webHidden/>
              </w:rPr>
            </w:r>
            <w:r>
              <w:rPr>
                <w:webHidden/>
              </w:rPr>
              <w:fldChar w:fldCharType="separate"/>
            </w:r>
            <w:r>
              <w:rPr>
                <w:webHidden/>
              </w:rPr>
              <w:t>155</w:t>
            </w:r>
            <w:r>
              <w:rPr>
                <w:webHidden/>
              </w:rPr>
              <w:fldChar w:fldCharType="end"/>
            </w:r>
          </w:hyperlink>
        </w:p>
        <w:p w14:paraId="566BC0FF" w14:textId="1F777D62"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52" w:history="1">
            <w:r w:rsidRPr="00C85DA9">
              <w:rPr>
                <w:rStyle w:val="Hyperlink"/>
                <w:rFonts w:ascii="Arial" w:eastAsia="Arial" w:hAnsi="Arial" w:cs="Arial"/>
                <w:noProof/>
              </w:rPr>
              <w:t>Introduction</w:t>
            </w:r>
            <w:r>
              <w:rPr>
                <w:noProof/>
                <w:webHidden/>
              </w:rPr>
              <w:tab/>
            </w:r>
            <w:r>
              <w:rPr>
                <w:noProof/>
                <w:webHidden/>
              </w:rPr>
              <w:fldChar w:fldCharType="begin"/>
            </w:r>
            <w:r>
              <w:rPr>
                <w:noProof/>
                <w:webHidden/>
              </w:rPr>
              <w:instrText xml:space="preserve"> PAGEREF _Toc240966052 \h </w:instrText>
            </w:r>
            <w:r>
              <w:rPr>
                <w:noProof/>
                <w:webHidden/>
              </w:rPr>
            </w:r>
            <w:r>
              <w:rPr>
                <w:noProof/>
                <w:webHidden/>
              </w:rPr>
              <w:fldChar w:fldCharType="separate"/>
            </w:r>
            <w:r>
              <w:rPr>
                <w:noProof/>
                <w:webHidden/>
              </w:rPr>
              <w:t>155</w:t>
            </w:r>
            <w:r>
              <w:rPr>
                <w:noProof/>
                <w:webHidden/>
              </w:rPr>
              <w:fldChar w:fldCharType="end"/>
            </w:r>
          </w:hyperlink>
        </w:p>
        <w:p w14:paraId="7ED7EBE5" w14:textId="3552FB7B"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53" w:history="1">
            <w:r w:rsidRPr="00C85DA9">
              <w:rPr>
                <w:rStyle w:val="Hyperlink"/>
                <w:rFonts w:ascii="Arial" w:eastAsia="Arial" w:hAnsi="Arial" w:cs="Arial"/>
                <w:noProof/>
              </w:rPr>
              <w:t>9.1 Seminole creation and the introduction of land as a political entity</w:t>
            </w:r>
            <w:r>
              <w:rPr>
                <w:noProof/>
                <w:webHidden/>
              </w:rPr>
              <w:tab/>
            </w:r>
            <w:r>
              <w:rPr>
                <w:noProof/>
                <w:webHidden/>
              </w:rPr>
              <w:fldChar w:fldCharType="begin"/>
            </w:r>
            <w:r>
              <w:rPr>
                <w:noProof/>
                <w:webHidden/>
              </w:rPr>
              <w:instrText xml:space="preserve"> PAGEREF _Toc240966053 \h </w:instrText>
            </w:r>
            <w:r>
              <w:rPr>
                <w:noProof/>
                <w:webHidden/>
              </w:rPr>
            </w:r>
            <w:r>
              <w:rPr>
                <w:noProof/>
                <w:webHidden/>
              </w:rPr>
              <w:fldChar w:fldCharType="separate"/>
            </w:r>
            <w:r>
              <w:rPr>
                <w:noProof/>
                <w:webHidden/>
              </w:rPr>
              <w:t>155</w:t>
            </w:r>
            <w:r>
              <w:rPr>
                <w:noProof/>
                <w:webHidden/>
              </w:rPr>
              <w:fldChar w:fldCharType="end"/>
            </w:r>
          </w:hyperlink>
        </w:p>
        <w:p w14:paraId="3C81BAA9" w14:textId="7DB0235C"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54" w:history="1">
            <w:r w:rsidRPr="00C85DA9">
              <w:rPr>
                <w:rStyle w:val="Hyperlink"/>
                <w:rFonts w:ascii="Arial" w:eastAsia="Arial" w:hAnsi="Arial" w:cs="Arial"/>
                <w:noProof/>
              </w:rPr>
              <w:t>9.2 Settler relations with the land</w:t>
            </w:r>
            <w:r>
              <w:rPr>
                <w:noProof/>
                <w:webHidden/>
              </w:rPr>
              <w:tab/>
            </w:r>
            <w:r>
              <w:rPr>
                <w:noProof/>
                <w:webHidden/>
              </w:rPr>
              <w:fldChar w:fldCharType="begin"/>
            </w:r>
            <w:r>
              <w:rPr>
                <w:noProof/>
                <w:webHidden/>
              </w:rPr>
              <w:instrText xml:space="preserve"> PAGEREF _Toc240966054 \h </w:instrText>
            </w:r>
            <w:r>
              <w:rPr>
                <w:noProof/>
                <w:webHidden/>
              </w:rPr>
            </w:r>
            <w:r>
              <w:rPr>
                <w:noProof/>
                <w:webHidden/>
              </w:rPr>
              <w:fldChar w:fldCharType="separate"/>
            </w:r>
            <w:r>
              <w:rPr>
                <w:noProof/>
                <w:webHidden/>
              </w:rPr>
              <w:t>159</w:t>
            </w:r>
            <w:r>
              <w:rPr>
                <w:noProof/>
                <w:webHidden/>
              </w:rPr>
              <w:fldChar w:fldCharType="end"/>
            </w:r>
          </w:hyperlink>
        </w:p>
        <w:p w14:paraId="57E2B2A5" w14:textId="4539DC0A"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55" w:history="1">
            <w:r w:rsidRPr="00C85DA9">
              <w:rPr>
                <w:rStyle w:val="Hyperlink"/>
                <w:rFonts w:ascii="Arial" w:eastAsia="Arial" w:hAnsi="Arial" w:cs="Arial"/>
                <w:noProof/>
              </w:rPr>
              <w:t>9.3 Decentring Locke and Hobbes</w:t>
            </w:r>
            <w:r>
              <w:rPr>
                <w:noProof/>
                <w:webHidden/>
              </w:rPr>
              <w:tab/>
            </w:r>
            <w:r>
              <w:rPr>
                <w:noProof/>
                <w:webHidden/>
              </w:rPr>
              <w:fldChar w:fldCharType="begin"/>
            </w:r>
            <w:r>
              <w:rPr>
                <w:noProof/>
                <w:webHidden/>
              </w:rPr>
              <w:instrText xml:space="preserve"> PAGEREF _Toc240966055 \h </w:instrText>
            </w:r>
            <w:r>
              <w:rPr>
                <w:noProof/>
                <w:webHidden/>
              </w:rPr>
            </w:r>
            <w:r>
              <w:rPr>
                <w:noProof/>
                <w:webHidden/>
              </w:rPr>
              <w:fldChar w:fldCharType="separate"/>
            </w:r>
            <w:r>
              <w:rPr>
                <w:noProof/>
                <w:webHidden/>
              </w:rPr>
              <w:t>160</w:t>
            </w:r>
            <w:r>
              <w:rPr>
                <w:noProof/>
                <w:webHidden/>
              </w:rPr>
              <w:fldChar w:fldCharType="end"/>
            </w:r>
          </w:hyperlink>
        </w:p>
        <w:p w14:paraId="2EEC4832" w14:textId="47311B72"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56" w:history="1">
            <w:r w:rsidRPr="00C85DA9">
              <w:rPr>
                <w:rStyle w:val="Hyperlink"/>
                <w:rFonts w:ascii="Arial" w:eastAsia="Arial" w:hAnsi="Arial" w:cs="Arial"/>
                <w:noProof/>
              </w:rPr>
              <w:t>9.4 Indigenous relations to land</w:t>
            </w:r>
            <w:r>
              <w:rPr>
                <w:noProof/>
                <w:webHidden/>
              </w:rPr>
              <w:tab/>
            </w:r>
            <w:r>
              <w:rPr>
                <w:noProof/>
                <w:webHidden/>
              </w:rPr>
              <w:fldChar w:fldCharType="begin"/>
            </w:r>
            <w:r>
              <w:rPr>
                <w:noProof/>
                <w:webHidden/>
              </w:rPr>
              <w:instrText xml:space="preserve"> PAGEREF _Toc240966056 \h </w:instrText>
            </w:r>
            <w:r>
              <w:rPr>
                <w:noProof/>
                <w:webHidden/>
              </w:rPr>
            </w:r>
            <w:r>
              <w:rPr>
                <w:noProof/>
                <w:webHidden/>
              </w:rPr>
              <w:fldChar w:fldCharType="separate"/>
            </w:r>
            <w:r>
              <w:rPr>
                <w:noProof/>
                <w:webHidden/>
              </w:rPr>
              <w:t>163</w:t>
            </w:r>
            <w:r>
              <w:rPr>
                <w:noProof/>
                <w:webHidden/>
              </w:rPr>
              <w:fldChar w:fldCharType="end"/>
            </w:r>
          </w:hyperlink>
        </w:p>
        <w:p w14:paraId="399A815A" w14:textId="34015D5C"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57" w:history="1">
            <w:r w:rsidRPr="00C85DA9">
              <w:rPr>
                <w:rStyle w:val="Hyperlink"/>
                <w:rFonts w:ascii="Arial" w:eastAsia="Arial" w:hAnsi="Arial" w:cs="Arial"/>
                <w:noProof/>
              </w:rPr>
              <w:t>9.5 Creation stories as fluid and space-based</w:t>
            </w:r>
            <w:r>
              <w:rPr>
                <w:noProof/>
                <w:webHidden/>
              </w:rPr>
              <w:tab/>
            </w:r>
            <w:r>
              <w:rPr>
                <w:noProof/>
                <w:webHidden/>
              </w:rPr>
              <w:fldChar w:fldCharType="begin"/>
            </w:r>
            <w:r>
              <w:rPr>
                <w:noProof/>
                <w:webHidden/>
              </w:rPr>
              <w:instrText xml:space="preserve"> PAGEREF _Toc240966057 \h </w:instrText>
            </w:r>
            <w:r>
              <w:rPr>
                <w:noProof/>
                <w:webHidden/>
              </w:rPr>
            </w:r>
            <w:r>
              <w:rPr>
                <w:noProof/>
                <w:webHidden/>
              </w:rPr>
              <w:fldChar w:fldCharType="separate"/>
            </w:r>
            <w:r>
              <w:rPr>
                <w:noProof/>
                <w:webHidden/>
              </w:rPr>
              <w:t>163</w:t>
            </w:r>
            <w:r>
              <w:rPr>
                <w:noProof/>
                <w:webHidden/>
              </w:rPr>
              <w:fldChar w:fldCharType="end"/>
            </w:r>
          </w:hyperlink>
        </w:p>
        <w:p w14:paraId="776135B4" w14:textId="225AB062"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58" w:history="1">
            <w:r w:rsidRPr="00C85DA9">
              <w:rPr>
                <w:rStyle w:val="Hyperlink"/>
                <w:rFonts w:ascii="Arial" w:eastAsia="Arial" w:hAnsi="Arial" w:cs="Arial"/>
                <w:noProof/>
              </w:rPr>
              <w:t>9.6 Seminole and Miccosukee relations to land</w:t>
            </w:r>
            <w:r>
              <w:rPr>
                <w:noProof/>
                <w:webHidden/>
              </w:rPr>
              <w:tab/>
            </w:r>
            <w:r>
              <w:rPr>
                <w:noProof/>
                <w:webHidden/>
              </w:rPr>
              <w:fldChar w:fldCharType="begin"/>
            </w:r>
            <w:r>
              <w:rPr>
                <w:noProof/>
                <w:webHidden/>
              </w:rPr>
              <w:instrText xml:space="preserve"> PAGEREF _Toc240966058 \h </w:instrText>
            </w:r>
            <w:r>
              <w:rPr>
                <w:noProof/>
                <w:webHidden/>
              </w:rPr>
            </w:r>
            <w:r>
              <w:rPr>
                <w:noProof/>
                <w:webHidden/>
              </w:rPr>
              <w:fldChar w:fldCharType="separate"/>
            </w:r>
            <w:r>
              <w:rPr>
                <w:noProof/>
                <w:webHidden/>
              </w:rPr>
              <w:t>174</w:t>
            </w:r>
            <w:r>
              <w:rPr>
                <w:noProof/>
                <w:webHidden/>
              </w:rPr>
              <w:fldChar w:fldCharType="end"/>
            </w:r>
          </w:hyperlink>
        </w:p>
        <w:p w14:paraId="67563CB0" w14:textId="45962CDF"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59" w:history="1">
            <w:r w:rsidRPr="00C85DA9">
              <w:rPr>
                <w:rStyle w:val="Hyperlink"/>
                <w:rFonts w:ascii="Arial" w:eastAsia="Arial" w:hAnsi="Arial" w:cs="Arial"/>
                <w:noProof/>
              </w:rPr>
              <w:t>9.7 The Everglades: Settler Expansion and Environmental Transformation</w:t>
            </w:r>
            <w:r>
              <w:rPr>
                <w:noProof/>
                <w:webHidden/>
              </w:rPr>
              <w:tab/>
            </w:r>
            <w:r>
              <w:rPr>
                <w:noProof/>
                <w:webHidden/>
              </w:rPr>
              <w:fldChar w:fldCharType="begin"/>
            </w:r>
            <w:r>
              <w:rPr>
                <w:noProof/>
                <w:webHidden/>
              </w:rPr>
              <w:instrText xml:space="preserve"> PAGEREF _Toc240966059 \h </w:instrText>
            </w:r>
            <w:r>
              <w:rPr>
                <w:noProof/>
                <w:webHidden/>
              </w:rPr>
            </w:r>
            <w:r>
              <w:rPr>
                <w:noProof/>
                <w:webHidden/>
              </w:rPr>
              <w:fldChar w:fldCharType="separate"/>
            </w:r>
            <w:r>
              <w:rPr>
                <w:noProof/>
                <w:webHidden/>
              </w:rPr>
              <w:t>176</w:t>
            </w:r>
            <w:r>
              <w:rPr>
                <w:noProof/>
                <w:webHidden/>
              </w:rPr>
              <w:fldChar w:fldCharType="end"/>
            </w:r>
          </w:hyperlink>
        </w:p>
        <w:p w14:paraId="72632757" w14:textId="2FB7CE83"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60" w:history="1">
            <w:r w:rsidRPr="00C85DA9">
              <w:rPr>
                <w:rStyle w:val="Hyperlink"/>
                <w:rFonts w:ascii="Arial" w:eastAsia="Arial" w:hAnsi="Arial" w:cs="Arial"/>
                <w:noProof/>
              </w:rPr>
              <w:t>9.8 Settler pollution and the move to settler conservationism</w:t>
            </w:r>
            <w:r>
              <w:rPr>
                <w:noProof/>
                <w:webHidden/>
              </w:rPr>
              <w:tab/>
            </w:r>
            <w:r>
              <w:rPr>
                <w:noProof/>
                <w:webHidden/>
              </w:rPr>
              <w:fldChar w:fldCharType="begin"/>
            </w:r>
            <w:r>
              <w:rPr>
                <w:noProof/>
                <w:webHidden/>
              </w:rPr>
              <w:instrText xml:space="preserve"> PAGEREF _Toc240966060 \h </w:instrText>
            </w:r>
            <w:r>
              <w:rPr>
                <w:noProof/>
                <w:webHidden/>
              </w:rPr>
            </w:r>
            <w:r>
              <w:rPr>
                <w:noProof/>
                <w:webHidden/>
              </w:rPr>
              <w:fldChar w:fldCharType="separate"/>
            </w:r>
            <w:r>
              <w:rPr>
                <w:noProof/>
                <w:webHidden/>
              </w:rPr>
              <w:t>181</w:t>
            </w:r>
            <w:r>
              <w:rPr>
                <w:noProof/>
                <w:webHidden/>
              </w:rPr>
              <w:fldChar w:fldCharType="end"/>
            </w:r>
          </w:hyperlink>
        </w:p>
        <w:p w14:paraId="60E93B06" w14:textId="24F1965E"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61" w:history="1">
            <w:r w:rsidRPr="00C85DA9">
              <w:rPr>
                <w:rStyle w:val="Hyperlink"/>
                <w:rFonts w:ascii="Arial" w:eastAsia="Arial" w:hAnsi="Arial" w:cs="Arial"/>
                <w:noProof/>
              </w:rPr>
              <w:t>9.9 Settler Memory and the Justification of Land Erasure</w:t>
            </w:r>
            <w:r>
              <w:rPr>
                <w:noProof/>
                <w:webHidden/>
              </w:rPr>
              <w:tab/>
            </w:r>
            <w:r>
              <w:rPr>
                <w:noProof/>
                <w:webHidden/>
              </w:rPr>
              <w:fldChar w:fldCharType="begin"/>
            </w:r>
            <w:r>
              <w:rPr>
                <w:noProof/>
                <w:webHidden/>
              </w:rPr>
              <w:instrText xml:space="preserve"> PAGEREF _Toc240966061 \h </w:instrText>
            </w:r>
            <w:r>
              <w:rPr>
                <w:noProof/>
                <w:webHidden/>
              </w:rPr>
            </w:r>
            <w:r>
              <w:rPr>
                <w:noProof/>
                <w:webHidden/>
              </w:rPr>
              <w:fldChar w:fldCharType="separate"/>
            </w:r>
            <w:r>
              <w:rPr>
                <w:noProof/>
                <w:webHidden/>
              </w:rPr>
              <w:t>186</w:t>
            </w:r>
            <w:r>
              <w:rPr>
                <w:noProof/>
                <w:webHidden/>
              </w:rPr>
              <w:fldChar w:fldCharType="end"/>
            </w:r>
          </w:hyperlink>
        </w:p>
        <w:p w14:paraId="6E8A5049" w14:textId="37AF1971"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62" w:history="1">
            <w:r w:rsidRPr="00C85DA9">
              <w:rPr>
                <w:rStyle w:val="Hyperlink"/>
                <w:rFonts w:ascii="Arial" w:eastAsia="Arial" w:hAnsi="Arial" w:cs="Arial"/>
                <w:noProof/>
              </w:rPr>
              <w:t>9.10 Settler Colonial Transformation of Land and the Erasure of Seminole and Miccosukee Presence</w:t>
            </w:r>
            <w:r>
              <w:rPr>
                <w:noProof/>
                <w:webHidden/>
              </w:rPr>
              <w:tab/>
            </w:r>
            <w:r>
              <w:rPr>
                <w:noProof/>
                <w:webHidden/>
              </w:rPr>
              <w:fldChar w:fldCharType="begin"/>
            </w:r>
            <w:r>
              <w:rPr>
                <w:noProof/>
                <w:webHidden/>
              </w:rPr>
              <w:instrText xml:space="preserve"> PAGEREF _Toc240966062 \h </w:instrText>
            </w:r>
            <w:r>
              <w:rPr>
                <w:noProof/>
                <w:webHidden/>
              </w:rPr>
            </w:r>
            <w:r>
              <w:rPr>
                <w:noProof/>
                <w:webHidden/>
              </w:rPr>
              <w:fldChar w:fldCharType="separate"/>
            </w:r>
            <w:r>
              <w:rPr>
                <w:noProof/>
                <w:webHidden/>
              </w:rPr>
              <w:t>191</w:t>
            </w:r>
            <w:r>
              <w:rPr>
                <w:noProof/>
                <w:webHidden/>
              </w:rPr>
              <w:fldChar w:fldCharType="end"/>
            </w:r>
          </w:hyperlink>
        </w:p>
        <w:p w14:paraId="4B36EB11" w14:textId="0358BFC2"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63" w:history="1">
            <w:r w:rsidRPr="00C85DA9">
              <w:rPr>
                <w:rStyle w:val="Hyperlink"/>
                <w:rFonts w:ascii="Arial" w:eastAsia="Arial" w:hAnsi="Arial" w:cs="Arial"/>
                <w:noProof/>
              </w:rPr>
              <w:t>9.11 Conclusion</w:t>
            </w:r>
            <w:r>
              <w:rPr>
                <w:noProof/>
                <w:webHidden/>
              </w:rPr>
              <w:tab/>
            </w:r>
            <w:r>
              <w:rPr>
                <w:noProof/>
                <w:webHidden/>
              </w:rPr>
              <w:fldChar w:fldCharType="begin"/>
            </w:r>
            <w:r>
              <w:rPr>
                <w:noProof/>
                <w:webHidden/>
              </w:rPr>
              <w:instrText xml:space="preserve"> PAGEREF _Toc240966063 \h </w:instrText>
            </w:r>
            <w:r>
              <w:rPr>
                <w:noProof/>
                <w:webHidden/>
              </w:rPr>
            </w:r>
            <w:r>
              <w:rPr>
                <w:noProof/>
                <w:webHidden/>
              </w:rPr>
              <w:fldChar w:fldCharType="separate"/>
            </w:r>
            <w:r>
              <w:rPr>
                <w:noProof/>
                <w:webHidden/>
              </w:rPr>
              <w:t>196</w:t>
            </w:r>
            <w:r>
              <w:rPr>
                <w:noProof/>
                <w:webHidden/>
              </w:rPr>
              <w:fldChar w:fldCharType="end"/>
            </w:r>
          </w:hyperlink>
        </w:p>
        <w:p w14:paraId="14E4D068" w14:textId="521F17E4" w:rsidR="00F44422" w:rsidRDefault="00F44422">
          <w:pPr>
            <w:pStyle w:val="TOC1"/>
            <w:rPr>
              <w:rFonts w:asciiTheme="minorHAnsi" w:eastAsiaTheme="minorEastAsia" w:hAnsiTheme="minorHAnsi" w:cstheme="minorBidi"/>
              <w:b w:val="0"/>
              <w:bCs w:val="0"/>
              <w:kern w:val="2"/>
              <w14:ligatures w14:val="standardContextual"/>
            </w:rPr>
          </w:pPr>
          <w:hyperlink w:anchor="_Toc240966064" w:history="1">
            <w:r w:rsidRPr="00C85DA9">
              <w:rPr>
                <w:rStyle w:val="Hyperlink"/>
                <w:rFonts w:eastAsia="Arial"/>
              </w:rPr>
              <w:t>10.0 Conclusions: representations a settler colonial power structure.</w:t>
            </w:r>
            <w:r>
              <w:rPr>
                <w:webHidden/>
              </w:rPr>
              <w:tab/>
            </w:r>
            <w:r>
              <w:rPr>
                <w:webHidden/>
              </w:rPr>
              <w:fldChar w:fldCharType="begin"/>
            </w:r>
            <w:r>
              <w:rPr>
                <w:webHidden/>
              </w:rPr>
              <w:instrText xml:space="preserve"> PAGEREF _Toc240966064 \h </w:instrText>
            </w:r>
            <w:r>
              <w:rPr>
                <w:webHidden/>
              </w:rPr>
            </w:r>
            <w:r>
              <w:rPr>
                <w:webHidden/>
              </w:rPr>
              <w:fldChar w:fldCharType="separate"/>
            </w:r>
            <w:r>
              <w:rPr>
                <w:webHidden/>
              </w:rPr>
              <w:t>198</w:t>
            </w:r>
            <w:r>
              <w:rPr>
                <w:webHidden/>
              </w:rPr>
              <w:fldChar w:fldCharType="end"/>
            </w:r>
          </w:hyperlink>
        </w:p>
        <w:p w14:paraId="291BE878" w14:textId="0EC3A2F3" w:rsidR="00F44422" w:rsidRDefault="00F44422">
          <w:pPr>
            <w:pStyle w:val="TOC2"/>
            <w:tabs>
              <w:tab w:val="right" w:pos="9016"/>
            </w:tabs>
            <w:rPr>
              <w:rFonts w:asciiTheme="minorHAnsi" w:eastAsiaTheme="minorEastAsia" w:hAnsiTheme="minorHAnsi" w:cstheme="minorBidi"/>
              <w:noProof/>
              <w:kern w:val="2"/>
              <w14:ligatures w14:val="standardContextual"/>
            </w:rPr>
          </w:pPr>
          <w:hyperlink w:anchor="_Toc240966065" w:history="1">
            <w:r w:rsidRPr="00C85DA9">
              <w:rPr>
                <w:rStyle w:val="Hyperlink"/>
                <w:rFonts w:ascii="Arial" w:eastAsia="Arial" w:hAnsi="Arial" w:cs="Arial"/>
                <w:noProof/>
              </w:rPr>
              <w:t>10.1 Introduction to the research and key findings</w:t>
            </w:r>
            <w:r>
              <w:rPr>
                <w:noProof/>
                <w:webHidden/>
              </w:rPr>
              <w:tab/>
            </w:r>
            <w:r>
              <w:rPr>
                <w:noProof/>
                <w:webHidden/>
              </w:rPr>
              <w:fldChar w:fldCharType="begin"/>
            </w:r>
            <w:r>
              <w:rPr>
                <w:noProof/>
                <w:webHidden/>
              </w:rPr>
              <w:instrText xml:space="preserve"> PAGEREF _Toc240966065 \h </w:instrText>
            </w:r>
            <w:r>
              <w:rPr>
                <w:noProof/>
                <w:webHidden/>
              </w:rPr>
            </w:r>
            <w:r>
              <w:rPr>
                <w:noProof/>
                <w:webHidden/>
              </w:rPr>
              <w:fldChar w:fldCharType="separate"/>
            </w:r>
            <w:r>
              <w:rPr>
                <w:noProof/>
                <w:webHidden/>
              </w:rPr>
              <w:t>198</w:t>
            </w:r>
            <w:r>
              <w:rPr>
                <w:noProof/>
                <w:webHidden/>
              </w:rPr>
              <w:fldChar w:fldCharType="end"/>
            </w:r>
          </w:hyperlink>
        </w:p>
        <w:p w14:paraId="2EB21066" w14:textId="2B74EDEC" w:rsidR="00F44422" w:rsidRDefault="00F44422">
          <w:pPr>
            <w:pStyle w:val="TOC3"/>
            <w:tabs>
              <w:tab w:val="right" w:pos="9016"/>
            </w:tabs>
            <w:rPr>
              <w:rFonts w:asciiTheme="minorHAnsi" w:eastAsiaTheme="minorEastAsia" w:hAnsiTheme="minorHAnsi" w:cstheme="minorBidi"/>
              <w:noProof/>
              <w:kern w:val="2"/>
              <w14:ligatures w14:val="standardContextual"/>
            </w:rPr>
          </w:pPr>
          <w:hyperlink w:anchor="_Toc240966066" w:history="1">
            <w:r w:rsidRPr="00C85DA9">
              <w:rPr>
                <w:rStyle w:val="Hyperlink"/>
                <w:noProof/>
              </w:rPr>
              <w:t>10.2 Academic contributions: a fight for representations</w:t>
            </w:r>
            <w:r>
              <w:rPr>
                <w:noProof/>
                <w:webHidden/>
              </w:rPr>
              <w:tab/>
            </w:r>
            <w:r>
              <w:rPr>
                <w:noProof/>
                <w:webHidden/>
              </w:rPr>
              <w:fldChar w:fldCharType="begin"/>
            </w:r>
            <w:r>
              <w:rPr>
                <w:noProof/>
                <w:webHidden/>
              </w:rPr>
              <w:instrText xml:space="preserve"> PAGEREF _Toc240966066 \h </w:instrText>
            </w:r>
            <w:r>
              <w:rPr>
                <w:noProof/>
                <w:webHidden/>
              </w:rPr>
            </w:r>
            <w:r>
              <w:rPr>
                <w:noProof/>
                <w:webHidden/>
              </w:rPr>
              <w:fldChar w:fldCharType="separate"/>
            </w:r>
            <w:r>
              <w:rPr>
                <w:noProof/>
                <w:webHidden/>
              </w:rPr>
              <w:t>200</w:t>
            </w:r>
            <w:r>
              <w:rPr>
                <w:noProof/>
                <w:webHidden/>
              </w:rPr>
              <w:fldChar w:fldCharType="end"/>
            </w:r>
          </w:hyperlink>
        </w:p>
        <w:p w14:paraId="002BD381" w14:textId="68644267" w:rsidR="00F44422" w:rsidRDefault="00F44422">
          <w:pPr>
            <w:pStyle w:val="TOC3"/>
            <w:tabs>
              <w:tab w:val="right" w:pos="9016"/>
            </w:tabs>
            <w:rPr>
              <w:rFonts w:asciiTheme="minorHAnsi" w:eastAsiaTheme="minorEastAsia" w:hAnsiTheme="minorHAnsi" w:cstheme="minorBidi"/>
              <w:noProof/>
              <w:kern w:val="2"/>
              <w14:ligatures w14:val="standardContextual"/>
            </w:rPr>
          </w:pPr>
          <w:hyperlink w:anchor="_Toc240966067" w:history="1">
            <w:r w:rsidRPr="00C85DA9">
              <w:rPr>
                <w:rStyle w:val="Hyperlink"/>
                <w:noProof/>
              </w:rPr>
              <w:t>10.3 Empirical contributions</w:t>
            </w:r>
            <w:r>
              <w:rPr>
                <w:noProof/>
                <w:webHidden/>
              </w:rPr>
              <w:tab/>
            </w:r>
            <w:r>
              <w:rPr>
                <w:noProof/>
                <w:webHidden/>
              </w:rPr>
              <w:fldChar w:fldCharType="begin"/>
            </w:r>
            <w:r>
              <w:rPr>
                <w:noProof/>
                <w:webHidden/>
              </w:rPr>
              <w:instrText xml:space="preserve"> PAGEREF _Toc240966067 \h </w:instrText>
            </w:r>
            <w:r>
              <w:rPr>
                <w:noProof/>
                <w:webHidden/>
              </w:rPr>
            </w:r>
            <w:r>
              <w:rPr>
                <w:noProof/>
                <w:webHidden/>
              </w:rPr>
              <w:fldChar w:fldCharType="separate"/>
            </w:r>
            <w:r>
              <w:rPr>
                <w:noProof/>
                <w:webHidden/>
              </w:rPr>
              <w:t>200</w:t>
            </w:r>
            <w:r>
              <w:rPr>
                <w:noProof/>
                <w:webHidden/>
              </w:rPr>
              <w:fldChar w:fldCharType="end"/>
            </w:r>
          </w:hyperlink>
        </w:p>
        <w:p w14:paraId="2C5DA30D" w14:textId="6495FF41" w:rsidR="00F44422" w:rsidRDefault="00F44422">
          <w:pPr>
            <w:pStyle w:val="TOC3"/>
            <w:tabs>
              <w:tab w:val="right" w:pos="9016"/>
            </w:tabs>
            <w:rPr>
              <w:rFonts w:asciiTheme="minorHAnsi" w:eastAsiaTheme="minorEastAsia" w:hAnsiTheme="minorHAnsi" w:cstheme="minorBidi"/>
              <w:noProof/>
              <w:kern w:val="2"/>
              <w14:ligatures w14:val="standardContextual"/>
            </w:rPr>
          </w:pPr>
          <w:hyperlink w:anchor="_Toc240966068" w:history="1">
            <w:r w:rsidRPr="00C85DA9">
              <w:rPr>
                <w:rStyle w:val="Hyperlink"/>
                <w:noProof/>
              </w:rPr>
              <w:t>10.4 Methodological contributions</w:t>
            </w:r>
            <w:r>
              <w:rPr>
                <w:noProof/>
                <w:webHidden/>
              </w:rPr>
              <w:tab/>
            </w:r>
            <w:r>
              <w:rPr>
                <w:noProof/>
                <w:webHidden/>
              </w:rPr>
              <w:fldChar w:fldCharType="begin"/>
            </w:r>
            <w:r>
              <w:rPr>
                <w:noProof/>
                <w:webHidden/>
              </w:rPr>
              <w:instrText xml:space="preserve"> PAGEREF _Toc240966068 \h </w:instrText>
            </w:r>
            <w:r>
              <w:rPr>
                <w:noProof/>
                <w:webHidden/>
              </w:rPr>
            </w:r>
            <w:r>
              <w:rPr>
                <w:noProof/>
                <w:webHidden/>
              </w:rPr>
              <w:fldChar w:fldCharType="separate"/>
            </w:r>
            <w:r>
              <w:rPr>
                <w:noProof/>
                <w:webHidden/>
              </w:rPr>
              <w:t>201</w:t>
            </w:r>
            <w:r>
              <w:rPr>
                <w:noProof/>
                <w:webHidden/>
              </w:rPr>
              <w:fldChar w:fldCharType="end"/>
            </w:r>
          </w:hyperlink>
        </w:p>
        <w:p w14:paraId="1F45037E" w14:textId="4666130F" w:rsidR="00F44422" w:rsidRDefault="00F44422">
          <w:pPr>
            <w:pStyle w:val="TOC3"/>
            <w:tabs>
              <w:tab w:val="right" w:pos="9016"/>
            </w:tabs>
            <w:rPr>
              <w:rFonts w:asciiTheme="minorHAnsi" w:eastAsiaTheme="minorEastAsia" w:hAnsiTheme="minorHAnsi" w:cstheme="minorBidi"/>
              <w:noProof/>
              <w:kern w:val="2"/>
              <w14:ligatures w14:val="standardContextual"/>
            </w:rPr>
          </w:pPr>
          <w:hyperlink w:anchor="_Toc240966069" w:history="1">
            <w:r w:rsidRPr="00C85DA9">
              <w:rPr>
                <w:rStyle w:val="Hyperlink"/>
                <w:noProof/>
              </w:rPr>
              <w:t>10.5 Theoretical contributions</w:t>
            </w:r>
            <w:r>
              <w:rPr>
                <w:noProof/>
                <w:webHidden/>
              </w:rPr>
              <w:tab/>
            </w:r>
            <w:r>
              <w:rPr>
                <w:noProof/>
                <w:webHidden/>
              </w:rPr>
              <w:fldChar w:fldCharType="begin"/>
            </w:r>
            <w:r>
              <w:rPr>
                <w:noProof/>
                <w:webHidden/>
              </w:rPr>
              <w:instrText xml:space="preserve"> PAGEREF _Toc240966069 \h </w:instrText>
            </w:r>
            <w:r>
              <w:rPr>
                <w:noProof/>
                <w:webHidden/>
              </w:rPr>
            </w:r>
            <w:r>
              <w:rPr>
                <w:noProof/>
                <w:webHidden/>
              </w:rPr>
              <w:fldChar w:fldCharType="separate"/>
            </w:r>
            <w:r>
              <w:rPr>
                <w:noProof/>
                <w:webHidden/>
              </w:rPr>
              <w:t>202</w:t>
            </w:r>
            <w:r>
              <w:rPr>
                <w:noProof/>
                <w:webHidden/>
              </w:rPr>
              <w:fldChar w:fldCharType="end"/>
            </w:r>
          </w:hyperlink>
        </w:p>
        <w:p w14:paraId="35A3AB80" w14:textId="7ED46D43" w:rsidR="00F44422" w:rsidRDefault="00F44422">
          <w:pPr>
            <w:pStyle w:val="TOC3"/>
            <w:tabs>
              <w:tab w:val="right" w:pos="9016"/>
            </w:tabs>
            <w:rPr>
              <w:rFonts w:asciiTheme="minorHAnsi" w:eastAsiaTheme="minorEastAsia" w:hAnsiTheme="minorHAnsi" w:cstheme="minorBidi"/>
              <w:noProof/>
              <w:kern w:val="2"/>
              <w14:ligatures w14:val="standardContextual"/>
            </w:rPr>
          </w:pPr>
          <w:hyperlink w:anchor="_Toc240966070" w:history="1">
            <w:r w:rsidRPr="00C85DA9">
              <w:rPr>
                <w:rStyle w:val="Hyperlink"/>
                <w:noProof/>
              </w:rPr>
              <w:t>10.6 Potential areas for future research</w:t>
            </w:r>
            <w:r>
              <w:rPr>
                <w:noProof/>
                <w:webHidden/>
              </w:rPr>
              <w:tab/>
            </w:r>
            <w:r>
              <w:rPr>
                <w:noProof/>
                <w:webHidden/>
              </w:rPr>
              <w:fldChar w:fldCharType="begin"/>
            </w:r>
            <w:r>
              <w:rPr>
                <w:noProof/>
                <w:webHidden/>
              </w:rPr>
              <w:instrText xml:space="preserve"> PAGEREF _Toc240966070 \h </w:instrText>
            </w:r>
            <w:r>
              <w:rPr>
                <w:noProof/>
                <w:webHidden/>
              </w:rPr>
            </w:r>
            <w:r>
              <w:rPr>
                <w:noProof/>
                <w:webHidden/>
              </w:rPr>
              <w:fldChar w:fldCharType="separate"/>
            </w:r>
            <w:r>
              <w:rPr>
                <w:noProof/>
                <w:webHidden/>
              </w:rPr>
              <w:t>205</w:t>
            </w:r>
            <w:r>
              <w:rPr>
                <w:noProof/>
                <w:webHidden/>
              </w:rPr>
              <w:fldChar w:fldCharType="end"/>
            </w:r>
          </w:hyperlink>
        </w:p>
        <w:p w14:paraId="62F72637" w14:textId="1C1927D5" w:rsidR="00F44422" w:rsidRDefault="00F44422">
          <w:pPr>
            <w:pStyle w:val="TOC3"/>
            <w:tabs>
              <w:tab w:val="right" w:pos="9016"/>
            </w:tabs>
            <w:rPr>
              <w:rFonts w:asciiTheme="minorHAnsi" w:eastAsiaTheme="minorEastAsia" w:hAnsiTheme="minorHAnsi" w:cstheme="minorBidi"/>
              <w:noProof/>
              <w:kern w:val="2"/>
              <w14:ligatures w14:val="standardContextual"/>
            </w:rPr>
          </w:pPr>
          <w:hyperlink w:anchor="_Toc240966071" w:history="1">
            <w:r w:rsidRPr="00C85DA9">
              <w:rPr>
                <w:rStyle w:val="Hyperlink"/>
                <w:noProof/>
              </w:rPr>
              <w:t>10.7 Final Conclusions</w:t>
            </w:r>
            <w:r>
              <w:rPr>
                <w:noProof/>
                <w:webHidden/>
              </w:rPr>
              <w:tab/>
            </w:r>
            <w:r>
              <w:rPr>
                <w:noProof/>
                <w:webHidden/>
              </w:rPr>
              <w:fldChar w:fldCharType="begin"/>
            </w:r>
            <w:r>
              <w:rPr>
                <w:noProof/>
                <w:webHidden/>
              </w:rPr>
              <w:instrText xml:space="preserve"> PAGEREF _Toc240966071 \h </w:instrText>
            </w:r>
            <w:r>
              <w:rPr>
                <w:noProof/>
                <w:webHidden/>
              </w:rPr>
            </w:r>
            <w:r>
              <w:rPr>
                <w:noProof/>
                <w:webHidden/>
              </w:rPr>
              <w:fldChar w:fldCharType="separate"/>
            </w:r>
            <w:r>
              <w:rPr>
                <w:noProof/>
                <w:webHidden/>
              </w:rPr>
              <w:t>206</w:t>
            </w:r>
            <w:r>
              <w:rPr>
                <w:noProof/>
                <w:webHidden/>
              </w:rPr>
              <w:fldChar w:fldCharType="end"/>
            </w:r>
          </w:hyperlink>
        </w:p>
        <w:p w14:paraId="3E81E838" w14:textId="55E5B6C5" w:rsidR="00F44422" w:rsidRDefault="00F44422">
          <w:pPr>
            <w:pStyle w:val="TOC1"/>
            <w:rPr>
              <w:rFonts w:asciiTheme="minorHAnsi" w:eastAsiaTheme="minorEastAsia" w:hAnsiTheme="minorHAnsi" w:cstheme="minorBidi"/>
              <w:b w:val="0"/>
              <w:bCs w:val="0"/>
              <w:kern w:val="2"/>
              <w14:ligatures w14:val="standardContextual"/>
            </w:rPr>
          </w:pPr>
          <w:hyperlink w:anchor="_Toc240966072" w:history="1">
            <w:r w:rsidRPr="00C85DA9">
              <w:rPr>
                <w:rStyle w:val="Hyperlink"/>
                <w:rFonts w:eastAsia="Arial"/>
              </w:rPr>
              <w:t>References</w:t>
            </w:r>
            <w:r>
              <w:rPr>
                <w:webHidden/>
              </w:rPr>
              <w:tab/>
            </w:r>
            <w:r>
              <w:rPr>
                <w:webHidden/>
              </w:rPr>
              <w:fldChar w:fldCharType="begin"/>
            </w:r>
            <w:r>
              <w:rPr>
                <w:webHidden/>
              </w:rPr>
              <w:instrText xml:space="preserve"> PAGEREF _Toc240966072 \h </w:instrText>
            </w:r>
            <w:r>
              <w:rPr>
                <w:webHidden/>
              </w:rPr>
            </w:r>
            <w:r>
              <w:rPr>
                <w:webHidden/>
              </w:rPr>
              <w:fldChar w:fldCharType="separate"/>
            </w:r>
            <w:r>
              <w:rPr>
                <w:webHidden/>
              </w:rPr>
              <w:t>208</w:t>
            </w:r>
            <w:r>
              <w:rPr>
                <w:webHidden/>
              </w:rPr>
              <w:fldChar w:fldCharType="end"/>
            </w:r>
          </w:hyperlink>
        </w:p>
        <w:p w14:paraId="39011464" w14:textId="18B676D3" w:rsidR="009F0C56" w:rsidRDefault="00653842">
          <w:pPr>
            <w:pBdr>
              <w:top w:val="nil"/>
              <w:left w:val="nil"/>
              <w:bottom w:val="nil"/>
              <w:right w:val="nil"/>
              <w:between w:val="nil"/>
            </w:pBdr>
            <w:tabs>
              <w:tab w:val="right" w:pos="9016"/>
            </w:tabs>
            <w:spacing w:after="100"/>
            <w:rPr>
              <w:color w:val="000000"/>
            </w:rPr>
          </w:pPr>
          <w:r>
            <w:fldChar w:fldCharType="end"/>
          </w:r>
        </w:p>
      </w:sdtContent>
    </w:sdt>
    <w:p w14:paraId="79780C9A" w14:textId="77777777" w:rsidR="009F0C56" w:rsidRDefault="009F0C56"/>
    <w:p w14:paraId="0C6F6B75" w14:textId="77777777" w:rsidR="00CF2C48" w:rsidRDefault="00CF2C48"/>
    <w:p w14:paraId="4F35A0A7" w14:textId="77777777" w:rsidR="00CF2C48" w:rsidRDefault="00CF2C48"/>
    <w:p w14:paraId="40BEDCFE" w14:textId="77777777" w:rsidR="00CF2C48" w:rsidRDefault="00CF2C48"/>
    <w:p w14:paraId="0D886CB4" w14:textId="77777777" w:rsidR="009F0C56" w:rsidRDefault="00653842">
      <w:pPr>
        <w:pStyle w:val="Heading1"/>
        <w:numPr>
          <w:ilvl w:val="0"/>
          <w:numId w:val="3"/>
        </w:numPr>
        <w:rPr>
          <w:rFonts w:ascii="Arial" w:eastAsia="Arial" w:hAnsi="Arial" w:cs="Arial"/>
        </w:rPr>
      </w:pPr>
      <w:bookmarkStart w:id="4" w:name="_Toc240965935"/>
      <w:r>
        <w:rPr>
          <w:rFonts w:ascii="Arial" w:eastAsia="Arial" w:hAnsi="Arial" w:cs="Arial"/>
          <w:u w:val="single"/>
        </w:rPr>
        <w:lastRenderedPageBreak/>
        <w:t>Introduction</w:t>
      </w:r>
      <w:bookmarkEnd w:id="4"/>
    </w:p>
    <w:p w14:paraId="45BEF980" w14:textId="77777777" w:rsidR="009F0C56" w:rsidRDefault="00653842">
      <w:pPr>
        <w:pBdr>
          <w:top w:val="nil"/>
          <w:left w:val="nil"/>
          <w:bottom w:val="nil"/>
          <w:right w:val="nil"/>
          <w:between w:val="nil"/>
        </w:pBdr>
        <w:spacing w:line="240" w:lineRule="auto"/>
        <w:jc w:val="center"/>
        <w:rPr>
          <w:rFonts w:ascii="Arial" w:eastAsia="Arial" w:hAnsi="Arial" w:cs="Arial"/>
          <w:color w:val="000000"/>
        </w:rPr>
      </w:pPr>
      <w:r>
        <w:rPr>
          <w:rFonts w:ascii="Arial" w:eastAsia="Arial" w:hAnsi="Arial" w:cs="Arial"/>
          <w:color w:val="000000"/>
        </w:rPr>
        <w:t xml:space="preserve">([Bobby] remembered thirty years ago, “we used to go to Marco Island to hunt gophers and pick mangos”, he said. “Now it’s full of big old hotels and condominiums.” </w:t>
      </w:r>
    </w:p>
    <w:p w14:paraId="4A76819C" w14:textId="77777777" w:rsidR="009F0C56" w:rsidRDefault="00653842">
      <w:pPr>
        <w:pBdr>
          <w:top w:val="nil"/>
          <w:left w:val="nil"/>
          <w:bottom w:val="nil"/>
          <w:right w:val="nil"/>
          <w:between w:val="nil"/>
        </w:pBdr>
        <w:spacing w:line="240" w:lineRule="auto"/>
        <w:jc w:val="center"/>
        <w:rPr>
          <w:rFonts w:ascii="Arial" w:eastAsia="Arial" w:hAnsi="Arial" w:cs="Arial"/>
          <w:color w:val="000000"/>
        </w:rPr>
      </w:pPr>
      <w:r>
        <w:rPr>
          <w:rFonts w:ascii="Arial" w:eastAsia="Arial" w:hAnsi="Arial" w:cs="Arial"/>
          <w:color w:val="000000"/>
        </w:rPr>
        <w:t xml:space="preserve"> (LaDuke 2015 (Bobby) Pg. 32)</w:t>
      </w:r>
    </w:p>
    <w:p w14:paraId="3F571CE8" w14:textId="77777777" w:rsidR="009F0C56" w:rsidRDefault="00653842">
      <w:pPr>
        <w:pBdr>
          <w:top w:val="nil"/>
          <w:left w:val="nil"/>
          <w:bottom w:val="nil"/>
          <w:right w:val="nil"/>
          <w:between w:val="nil"/>
        </w:pBdr>
        <w:spacing w:line="240" w:lineRule="auto"/>
        <w:jc w:val="center"/>
        <w:rPr>
          <w:rFonts w:ascii="Arial" w:eastAsia="Arial" w:hAnsi="Arial" w:cs="Arial"/>
          <w:color w:val="000000"/>
        </w:rPr>
      </w:pPr>
      <w:r>
        <w:rPr>
          <w:rFonts w:ascii="Arial" w:eastAsia="Arial" w:hAnsi="Arial" w:cs="Arial"/>
          <w:color w:val="000000"/>
        </w:rPr>
        <w:t>“How can we be worried? We’re already sitting in the cesspool. The Seminole Indian didn’t create this problem. See, we were confined to the reservation. We were animals in cages, being looked at, ridiculed, laughed at. Stab at ‘em a little bit, throw a peanut at ‘em. Let’s experiment on him to see if he acts like a white man. Then one day, when they need to use us as a stepping stone, they say the Indians are supposed to be earth keepers. What a bunch of jack-asses. The thing I like about this race that con</w:t>
      </w:r>
      <w:r>
        <w:rPr>
          <w:rFonts w:ascii="Arial" w:eastAsia="Arial" w:hAnsi="Arial" w:cs="Arial"/>
          <w:color w:val="000000"/>
        </w:rPr>
        <w:t xml:space="preserve">demns the others is that they never accept their own failures. They just want to throw it on somebody else.” </w:t>
      </w:r>
    </w:p>
    <w:p w14:paraId="0BFCC4F4" w14:textId="77777777" w:rsidR="009F0C56" w:rsidRDefault="00653842">
      <w:pPr>
        <w:pBdr>
          <w:top w:val="nil"/>
          <w:left w:val="nil"/>
          <w:bottom w:val="nil"/>
          <w:right w:val="nil"/>
          <w:between w:val="nil"/>
        </w:pBdr>
        <w:spacing w:line="240" w:lineRule="auto"/>
        <w:jc w:val="center"/>
        <w:rPr>
          <w:rFonts w:ascii="Arial" w:eastAsia="Arial" w:hAnsi="Arial" w:cs="Arial"/>
          <w:color w:val="000000"/>
        </w:rPr>
      </w:pPr>
      <w:r>
        <w:rPr>
          <w:rFonts w:ascii="Arial" w:eastAsia="Arial" w:hAnsi="Arial" w:cs="Arial"/>
          <w:color w:val="000000"/>
        </w:rPr>
        <w:t xml:space="preserve">(LaDuke 2015, (Bobby) Pg. 32)  </w:t>
      </w:r>
    </w:p>
    <w:p w14:paraId="7B1C81DB"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The quotes above draw from Bobby Billie, a spiritual leader of the Seminole, in conversation with other Indigenous members, including Seminole and non-Seminole communities. He is speaking concerning the changing landscape, physically as well as socially, of the Everglades, the ancestral lands of the Seminole and Miccosukee peoples. </w:t>
      </w:r>
    </w:p>
    <w:p w14:paraId="0FAE97C3" w14:textId="643D93F1"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He spoke this during 1997 on the cusp of a new millennium, acknowledging the inherent colonial bias and destruction of ancestral grounds in the view of settler progress (LaDuke 1999). However, a lot has occurred in a quarter of a century, with mass improvements in technology, </w:t>
      </w:r>
      <w:r>
        <w:rPr>
          <w:rFonts w:ascii="Arial" w:eastAsia="Arial" w:hAnsi="Arial" w:cs="Arial"/>
          <w:color w:val="000000"/>
        </w:rPr>
        <w:t xml:space="preserve">access to information, the ability to travel, and social media being just a few things that have greatly changed the socio-cultural landscape of the World. With this shift, along with shifts in green movements, the cultural appreciation of much of the cultural landscape that Billie spoke on has moved and evolved. However, this progressive outlook is not solely the fixed signified forms of progress that much of </w:t>
      </w:r>
      <w:r w:rsidR="00CF2C48">
        <w:rPr>
          <w:rFonts w:ascii="Arial" w:eastAsia="Arial" w:hAnsi="Arial" w:cs="Arial"/>
          <w:color w:val="000000"/>
        </w:rPr>
        <w:t>Western</w:t>
      </w:r>
      <w:r>
        <w:rPr>
          <w:rFonts w:ascii="Arial" w:eastAsia="Arial" w:hAnsi="Arial" w:cs="Arial"/>
          <w:color w:val="000000"/>
        </w:rPr>
        <w:t xml:space="preserve"> society perceives it to be. </w:t>
      </w:r>
    </w:p>
    <w:p w14:paraId="3800C837"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The findings I present through this thesis, which are based on visual geography research methods conducted around South Florida, capture a now dead but immortalised view of the area and the relation it has to the Seminole and Miccosukee. The images are used to research and expand Billie’s statement, “when they need to use us as a stepping stone” (LaDuke 2015, Pg 35). In exploring how settler society uses Indigenous representations as a basis of coercive control around Seminole and Miccosukee figures in Sout</w:t>
      </w:r>
      <w:r>
        <w:rPr>
          <w:rFonts w:ascii="Arial" w:eastAsia="Arial" w:hAnsi="Arial" w:cs="Arial"/>
          <w:color w:val="000000"/>
        </w:rPr>
        <w:t>h Florida. Particularly in contemporary times, when borders on culture, genealogy, and land become increasingly muddled. In this, the central aim of this thesis is to critically engage with how Indigenous representations of the Seminole and Miccosukee peoples are cultivated, mediated, and manipulated within the settler colonial landscape of South Florida.</w:t>
      </w:r>
    </w:p>
    <w:p w14:paraId="110DBE8D"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This inquiry begins with the recognition that representations are never a neutral site. Rather, they are always embedded within relations of power that determine whose histories are told, whose bodies are visible, and whose knowledge is legitimised in the public sphere (Sontag 2019). Thus, instead of accepting Miami as a neutral, multicultural, or post-racial space of coexistence, this research situates the area of South Florida as a </w:t>
      </w:r>
      <w:r>
        <w:rPr>
          <w:rFonts w:ascii="Arial" w:eastAsia="Arial" w:hAnsi="Arial" w:cs="Arial"/>
          <w:color w:val="262626"/>
        </w:rPr>
        <w:t>contested site of ongoing colonial occupation</w:t>
      </w:r>
      <w:r>
        <w:rPr>
          <w:rFonts w:ascii="Arial" w:eastAsia="Arial" w:hAnsi="Arial" w:cs="Arial"/>
          <w:b/>
          <w:bCs/>
          <w:color w:val="262626"/>
        </w:rPr>
        <w:t>,</w:t>
      </w:r>
      <w:r>
        <w:rPr>
          <w:rFonts w:ascii="Arial" w:eastAsia="Arial" w:hAnsi="Arial" w:cs="Arial"/>
          <w:color w:val="262626"/>
        </w:rPr>
        <w:t xml:space="preserve"> </w:t>
      </w:r>
      <w:r>
        <w:rPr>
          <w:rFonts w:ascii="Arial" w:eastAsia="Arial" w:hAnsi="Arial" w:cs="Arial"/>
          <w:color w:val="000000"/>
        </w:rPr>
        <w:t xml:space="preserve">a spatial and </w:t>
      </w:r>
      <w:r>
        <w:rPr>
          <w:rFonts w:ascii="Arial" w:eastAsia="Arial" w:hAnsi="Arial" w:cs="Arial"/>
          <w:color w:val="000000"/>
        </w:rPr>
        <w:lastRenderedPageBreak/>
        <w:t>discursive field in which Indigenous identities are both commodified for cultural consumption and systematically erased from political and territorial reality.</w:t>
      </w:r>
    </w:p>
    <w:p w14:paraId="5753CF29" w14:textId="0E0A50F0"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In South Florida, as a location, it will be understood not merely as a backdrop to these processes, but as an active participant in the reproduction of settler colonial structures. Its built environment, commercial landscapes, tourist infrastructures, and cultural institutions constitute a complex regime of representation that shapes public understanding of Indigenous life. These regimes operate through visual symbolism, spatial naming practices, curated narratives, and commodified imagery, producing a sett</w:t>
      </w:r>
      <w:r>
        <w:rPr>
          <w:rFonts w:ascii="Arial" w:eastAsia="Arial" w:hAnsi="Arial" w:cs="Arial"/>
          <w:color w:val="000000"/>
        </w:rPr>
        <w:t xml:space="preserve">ler colonial grammar of Indigeneity that obscures histories of dispossession while normalising the continued erasure of sovereignty. This differs </w:t>
      </w:r>
      <w:r w:rsidR="00CF2C48">
        <w:rPr>
          <w:rFonts w:ascii="Arial" w:eastAsia="Arial" w:hAnsi="Arial" w:cs="Arial"/>
          <w:color w:val="000000"/>
        </w:rPr>
        <w:t xml:space="preserve">from </w:t>
      </w:r>
      <w:r>
        <w:rPr>
          <w:rFonts w:ascii="Arial" w:eastAsia="Arial" w:hAnsi="Arial" w:cs="Arial"/>
          <w:color w:val="000000"/>
        </w:rPr>
        <w:t>and builds on current literature around Indigenous representations that focus primarily on tourism as a force of good. In this, the thesis will expand current debates, working to narrate through the visual mediums that will be presented how Indigenous representations can actually harbour and perpetuate harmful stereotypes that erase and assimilate Indigenous identities into a singular monolithic caricature devoid of any ontological or epistemological meaning.</w:t>
      </w:r>
    </w:p>
    <w:p w14:paraId="453F2A9E" w14:textId="77777777" w:rsidR="009F0C56" w:rsidRDefault="009F0C56">
      <w:pPr>
        <w:pBdr>
          <w:top w:val="nil"/>
          <w:left w:val="nil"/>
          <w:bottom w:val="nil"/>
          <w:right w:val="nil"/>
          <w:between w:val="nil"/>
        </w:pBdr>
        <w:spacing w:line="240" w:lineRule="auto"/>
        <w:rPr>
          <w:rFonts w:ascii="Arial" w:eastAsia="Arial" w:hAnsi="Arial" w:cs="Arial"/>
          <w:color w:val="000000"/>
        </w:rPr>
      </w:pPr>
    </w:p>
    <w:p w14:paraId="2352B742" w14:textId="77777777" w:rsidR="009F0C56" w:rsidRDefault="00653842">
      <w:pPr>
        <w:pStyle w:val="Heading2"/>
        <w:rPr>
          <w:rFonts w:ascii="Arial" w:eastAsia="Arial" w:hAnsi="Arial" w:cs="Arial"/>
        </w:rPr>
      </w:pPr>
      <w:bookmarkStart w:id="5" w:name="_Toc240965936"/>
      <w:r>
        <w:rPr>
          <w:rFonts w:ascii="Arial" w:eastAsia="Arial" w:hAnsi="Arial" w:cs="Arial"/>
        </w:rPr>
        <w:t>1.1 Theoretical point of interest</w:t>
      </w:r>
      <w:bookmarkEnd w:id="5"/>
    </w:p>
    <w:p w14:paraId="374D19DF"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This project utilises theorisations of settler colonialism advanced by scholars such as Patrick Wolfe (2016) and Lorenzo Veracini (2010), whose work helped in conceptualising settler colonialism not as a closed historical chapter but as an ongoing structure that still actively displaces and attacks Indigenous ways of being.</w:t>
      </w:r>
    </w:p>
    <w:p w14:paraId="23E65103"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From this perspective, colonialism is not confined to a past era of invasion and displacement. Instead, it endures through contemporary epistemologies, economies, and aesthetics that reproduce the logic of elimination in subtler but no less consequential forms (Barker 2021). In the context of South Florida, this logic manifests in a dual process. Exploring how Indigenous presence is rendered visible as an object of cultural spectacle, yet simultaneously obscured in ways that deny Indigenous people’s meaning</w:t>
      </w:r>
      <w:r>
        <w:rPr>
          <w:rFonts w:ascii="Arial" w:eastAsia="Arial" w:hAnsi="Arial" w:cs="Arial"/>
          <w:color w:val="000000"/>
        </w:rPr>
        <w:t>ful self-representation and political presence.</w:t>
      </w:r>
    </w:p>
    <w:p w14:paraId="55BEA120"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Through interrogating the intertwined visual, spatial, and discursive regimes through which the Seminole and Miccosukee are represented in South Florida, this research demonstrates how settler colonialism functions as a persistent cultural and structural order that actively seeks to neutralise Indigeneity as a site of contention (Brasher 2021). This will, therefore, situate South Florida as a paradigmatic example of how an area, far from being a neutral multicultural space, functions as an active site of co</w:t>
      </w:r>
      <w:r>
        <w:rPr>
          <w:rFonts w:ascii="Arial" w:eastAsia="Arial" w:hAnsi="Arial" w:cs="Arial"/>
          <w:color w:val="000000"/>
        </w:rPr>
        <w:t>lonial reproduction, where representation becomes both a mechanism of dispossession and a terrain of resistance (Daigle 2024).</w:t>
      </w:r>
    </w:p>
    <w:p w14:paraId="0D383BF1" w14:textId="77777777" w:rsidR="009F0C56" w:rsidRDefault="009F0C56">
      <w:pPr>
        <w:pBdr>
          <w:top w:val="nil"/>
          <w:left w:val="nil"/>
          <w:bottom w:val="nil"/>
          <w:right w:val="nil"/>
          <w:between w:val="nil"/>
        </w:pBdr>
        <w:spacing w:line="240" w:lineRule="auto"/>
        <w:rPr>
          <w:rFonts w:ascii="Arial" w:eastAsia="Arial" w:hAnsi="Arial" w:cs="Arial"/>
          <w:color w:val="000000"/>
        </w:rPr>
      </w:pPr>
    </w:p>
    <w:p w14:paraId="416054EF" w14:textId="77777777" w:rsidR="009F0C56" w:rsidRDefault="00653842">
      <w:pPr>
        <w:pStyle w:val="Heading2"/>
        <w:rPr>
          <w:rFonts w:ascii="Arial" w:eastAsia="Arial" w:hAnsi="Arial" w:cs="Arial"/>
        </w:rPr>
      </w:pPr>
      <w:bookmarkStart w:id="6" w:name="_Toc240965937"/>
      <w:r>
        <w:rPr>
          <w:rFonts w:ascii="Arial" w:eastAsia="Arial" w:hAnsi="Arial" w:cs="Arial"/>
        </w:rPr>
        <w:t>1.2 Existing literature as a site of epistemological grounding</w:t>
      </w:r>
      <w:bookmarkEnd w:id="6"/>
    </w:p>
    <w:p w14:paraId="27A71A22" w14:textId="3BDC50EF"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Existing literature on Indigenous representation and urban development in Florida has often emphasised narratives of multiculturalism, heritage tourism, and “heritage inclusion” as markers of progressive civic identity (West 2008). These narratives frequently celebrate the symbolic incorporation of Indigenous heritage into public space as evidence of cultural recognition. However, such approaches rarely analyse </w:t>
      </w:r>
      <w:r>
        <w:rPr>
          <w:rFonts w:ascii="Arial" w:eastAsia="Arial" w:hAnsi="Arial" w:cs="Arial"/>
          <w:color w:val="000000"/>
        </w:rPr>
        <w:lastRenderedPageBreak/>
        <w:t xml:space="preserve">how these practices operate within and reinforce the broader structures of settler colonial power. In this, the symbolic deployment of Indigeneity in urban and rural contexts operates not as a neutral acknowledgement but as a form of cultural governance, one that reconfigures Indigenous presence into a consumable </w:t>
      </w:r>
      <w:r w:rsidR="00CF2C48">
        <w:rPr>
          <w:rFonts w:ascii="Arial" w:eastAsia="Arial" w:hAnsi="Arial" w:cs="Arial"/>
          <w:color w:val="000000"/>
        </w:rPr>
        <w:t>aesthetic</w:t>
      </w:r>
      <w:r>
        <w:rPr>
          <w:rFonts w:ascii="Arial" w:eastAsia="Arial" w:hAnsi="Arial" w:cs="Arial"/>
          <w:color w:val="000000"/>
        </w:rPr>
        <w:t xml:space="preserve">, while preventing substantive political engagement (Goeman, 2013; Smith, 2012). </w:t>
      </w:r>
    </w:p>
    <w:p w14:paraId="50A264DD" w14:textId="5856F480"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This is expanded through the works of </w:t>
      </w:r>
      <w:r>
        <w:rPr>
          <w:rFonts w:ascii="Arial" w:eastAsia="Arial" w:hAnsi="Arial" w:cs="Arial"/>
          <w:color w:val="000000"/>
        </w:rPr>
        <w:t xml:space="preserve">critical scholarship by authors such as Smith (2012), Goeman (2012), and Aldred (2000), and many more who have influenced the field </w:t>
      </w:r>
      <w:r w:rsidR="00CF2C48">
        <w:rPr>
          <w:rFonts w:ascii="Arial" w:eastAsia="Arial" w:hAnsi="Arial" w:cs="Arial"/>
          <w:color w:val="000000"/>
        </w:rPr>
        <w:t>on</w:t>
      </w:r>
      <w:r>
        <w:rPr>
          <w:rFonts w:ascii="Arial" w:eastAsia="Arial" w:hAnsi="Arial" w:cs="Arial"/>
          <w:color w:val="000000"/>
        </w:rPr>
        <w:t xml:space="preserve"> the epistemological violence embedded in such acts of representation, showing how commodification in colonial contexts produces both material and symbolic dispossession. These works emphasise that representation is not a passive reflection of reality, but an active process of shaping the terms by which Indigenous life is understood, historicised, and assimilated into settler imaginaries (Barker 2009). However, despite these important insights, a significant gap remains in the literature concerning the spec</w:t>
      </w:r>
      <w:r>
        <w:rPr>
          <w:rFonts w:ascii="Arial" w:eastAsia="Arial" w:hAnsi="Arial" w:cs="Arial"/>
          <w:color w:val="000000"/>
        </w:rPr>
        <w:t>ific representational economies that augment perceptions of the Seminole and Miccosukee peoples in Miami, a gap that this thesis seeks to address.</w:t>
      </w:r>
    </w:p>
    <w:p w14:paraId="01045C50"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Through building on a framework that integrates critical decolonial ethnography with visual geography and textual analysis, this thesis traces how a diverse set of visual and textual narratives, from tourist branding and curated public art to museum displays, urban signage, and the strategic design of public spaces, operate as a technology of colonial power. These representational practices work collectively to expand settler futurity as an embedded colonial logic that is woven into the very fabric of the u</w:t>
      </w:r>
      <w:r>
        <w:rPr>
          <w:rFonts w:ascii="Arial" w:eastAsia="Arial" w:hAnsi="Arial" w:cs="Arial"/>
          <w:color w:val="000000"/>
        </w:rPr>
        <w:t>rban environment (Hugill 2017). In doing so, settler society obscures Indigenous sovereignty, erases ongoing struggles for self-determination, and transforms complex lived histories into static, marketable images of “heritage.” This project thus highlights the critical discussion on urban Indigenous representation by making visible the ways that settler colonialism endures not only through structures of land and governance but also through the symbolic economies of the city.</w:t>
      </w:r>
    </w:p>
    <w:p w14:paraId="1F561D5D"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Through foregrounding this gap, the project makes an important contribution to broader debates within decolonial geography, visual culture, and Indigenous studies (Hugill 2017). It begins to challenge prevailing colonial frameworks that treat urban space as neutral or inherently inclusive. Instead, it reframes Miami as a colonial archive that materially and symbolically produced a site in which settler power is continually reproduced and legitimised through the visual and discursive framing of Indigeneity. </w:t>
      </w:r>
      <w:r>
        <w:rPr>
          <w:rFonts w:ascii="Arial" w:eastAsia="Arial" w:hAnsi="Arial" w:cs="Arial"/>
          <w:color w:val="000000"/>
        </w:rPr>
        <w:t>In this sense, this project will identify and expand through the analysis chapters how Miami is not merely a contemporary city but a living site of historical inscription, where colonial relations are embedded in streetscapes, monuments, public signage, tourist infrastructures, and cultural productions.</w:t>
      </w:r>
    </w:p>
    <w:p w14:paraId="45B14A62" w14:textId="77777777" w:rsidR="009F0C56" w:rsidRDefault="00653842">
      <w:pPr>
        <w:pStyle w:val="Heading2"/>
        <w:rPr>
          <w:rFonts w:ascii="Arial" w:eastAsia="Arial" w:hAnsi="Arial" w:cs="Arial"/>
          <w:sz w:val="24"/>
          <w:szCs w:val="24"/>
        </w:rPr>
      </w:pPr>
      <w:bookmarkStart w:id="7" w:name="_Toc240965938"/>
      <w:r>
        <w:rPr>
          <w:rFonts w:ascii="Arial" w:eastAsia="Arial" w:hAnsi="Arial" w:cs="Arial"/>
        </w:rPr>
        <w:t>1.3 Research questions</w:t>
      </w:r>
      <w:bookmarkEnd w:id="7"/>
    </w:p>
    <w:p w14:paraId="3D7F6F86" w14:textId="483B829A"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This research also provides a critique and expansion of tourism scholarship; in this, it investigates how colonial society manipulates Indigenous representations to forward settler interests in land, control and power over their populations. Through this lens, several questions arise that this project seeks to explore. These questions begin the critical engagement with settler colonial orders</w:t>
      </w:r>
      <w:r>
        <w:rPr>
          <w:rFonts w:ascii="Arial" w:eastAsia="Arial" w:hAnsi="Arial" w:cs="Arial"/>
          <w:color w:val="000000"/>
        </w:rPr>
        <w:t xml:space="preserve"> and are framed through a decolonial questioning and follow as such: </w:t>
      </w:r>
    </w:p>
    <w:p w14:paraId="5CE648A3" w14:textId="77777777" w:rsidR="009F0C56" w:rsidRDefault="00653842">
      <w:pPr>
        <w:numPr>
          <w:ilvl w:val="0"/>
          <w:numId w:val="9"/>
        </w:numPr>
        <w:pBdr>
          <w:top w:val="nil"/>
          <w:left w:val="nil"/>
          <w:bottom w:val="nil"/>
          <w:right w:val="nil"/>
          <w:between w:val="nil"/>
        </w:pBdr>
        <w:spacing w:line="240" w:lineRule="auto"/>
        <w:rPr>
          <w:i/>
          <w:iCs/>
          <w:color w:val="000000"/>
        </w:rPr>
      </w:pPr>
      <w:r>
        <w:rPr>
          <w:rFonts w:ascii="Arial" w:eastAsia="Arial" w:hAnsi="Arial" w:cs="Arial"/>
          <w:i/>
          <w:iCs/>
          <w:color w:val="000000"/>
        </w:rPr>
        <w:lastRenderedPageBreak/>
        <w:t xml:space="preserve">How are Indian identities and histories constructed, mediated, and circulated within the settler colonial landscape of South Florida? </w:t>
      </w:r>
    </w:p>
    <w:p w14:paraId="097D70B5" w14:textId="77777777" w:rsidR="009F0C56" w:rsidRDefault="00653842">
      <w:pPr>
        <w:numPr>
          <w:ilvl w:val="0"/>
          <w:numId w:val="9"/>
        </w:numPr>
        <w:pBdr>
          <w:top w:val="nil"/>
          <w:left w:val="nil"/>
          <w:bottom w:val="nil"/>
          <w:right w:val="nil"/>
          <w:between w:val="nil"/>
        </w:pBdr>
        <w:spacing w:line="240" w:lineRule="auto"/>
        <w:rPr>
          <w:i/>
          <w:iCs/>
          <w:color w:val="000000"/>
        </w:rPr>
      </w:pPr>
      <w:r>
        <w:rPr>
          <w:rFonts w:ascii="Arial" w:eastAsia="Arial" w:hAnsi="Arial" w:cs="Arial"/>
          <w:i/>
          <w:iCs/>
          <w:color w:val="000000"/>
        </w:rPr>
        <w:t xml:space="preserve">Who controls Indian narratives, and how are they used as a form of power? </w:t>
      </w:r>
    </w:p>
    <w:p w14:paraId="2C597AEA" w14:textId="77777777" w:rsidR="009F0C56" w:rsidRDefault="00653842">
      <w:pPr>
        <w:numPr>
          <w:ilvl w:val="0"/>
          <w:numId w:val="9"/>
        </w:numPr>
        <w:pBdr>
          <w:top w:val="nil"/>
          <w:left w:val="nil"/>
          <w:bottom w:val="nil"/>
          <w:right w:val="nil"/>
          <w:between w:val="nil"/>
        </w:pBdr>
        <w:spacing w:line="240" w:lineRule="auto"/>
        <w:rPr>
          <w:i/>
          <w:iCs/>
          <w:color w:val="000000"/>
        </w:rPr>
      </w:pPr>
      <w:r>
        <w:rPr>
          <w:rFonts w:ascii="Arial" w:eastAsia="Arial" w:hAnsi="Arial" w:cs="Arial"/>
          <w:i/>
          <w:iCs/>
          <w:color w:val="000000"/>
        </w:rPr>
        <w:t>How do settler colonial Indian representations assimilate and erase Indigenous contemporary being?</w:t>
      </w:r>
    </w:p>
    <w:p w14:paraId="7FCD2E75" w14:textId="4335446D"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In this, these questions begin to move beyond abstract critiques and begin to interrogate the specific mechanisms of the visual, textual, </w:t>
      </w:r>
      <w:r w:rsidR="00CF2C48">
        <w:rPr>
          <w:rFonts w:ascii="Arial" w:eastAsia="Arial" w:hAnsi="Arial" w:cs="Arial"/>
          <w:color w:val="000000"/>
        </w:rPr>
        <w:t xml:space="preserve">and </w:t>
      </w:r>
      <w:r>
        <w:rPr>
          <w:rFonts w:ascii="Arial" w:eastAsia="Arial" w:hAnsi="Arial" w:cs="Arial"/>
          <w:color w:val="000000"/>
        </w:rPr>
        <w:t>spatial colonial order through which colonial authority persists in the control of Indigenous representations in contemporary times in South Florida.</w:t>
      </w:r>
    </w:p>
    <w:p w14:paraId="7D7C3B55" w14:textId="77777777" w:rsidR="009F0C56" w:rsidRDefault="009F0C56">
      <w:pPr>
        <w:pBdr>
          <w:top w:val="nil"/>
          <w:left w:val="nil"/>
          <w:bottom w:val="nil"/>
          <w:right w:val="nil"/>
          <w:between w:val="nil"/>
        </w:pBdr>
        <w:spacing w:line="240" w:lineRule="auto"/>
        <w:rPr>
          <w:rFonts w:ascii="Arial" w:eastAsia="Arial" w:hAnsi="Arial" w:cs="Arial"/>
          <w:color w:val="000000"/>
        </w:rPr>
      </w:pPr>
    </w:p>
    <w:p w14:paraId="21FD1D66" w14:textId="77777777" w:rsidR="009F0C56" w:rsidRDefault="00653842">
      <w:pPr>
        <w:pStyle w:val="Heading2"/>
        <w:rPr>
          <w:rFonts w:ascii="Arial" w:eastAsia="Arial" w:hAnsi="Arial" w:cs="Arial"/>
        </w:rPr>
      </w:pPr>
      <w:bookmarkStart w:id="8" w:name="_Toc240965939"/>
      <w:r>
        <w:rPr>
          <w:rFonts w:ascii="Arial" w:eastAsia="Arial" w:hAnsi="Arial" w:cs="Arial"/>
        </w:rPr>
        <w:t>1.4 Importance of the research location</w:t>
      </w:r>
      <w:bookmarkEnd w:id="8"/>
    </w:p>
    <w:p w14:paraId="065D8CBA"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As a location, South Florida is an important under-researched site of decolonial studies, where the historical entanglements between the Seminole, the Miccosukee, and successive settler powers of the Spanish, British, and later American, form a deeply layered web of displacement, dispossession, resistance, and adaptation that underpins Miami’s colonial foundations (Bossy, Frank 2021). </w:t>
      </w:r>
    </w:p>
    <w:p w14:paraId="4DEC77AA"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These histories are not relics of the past but living conditions embedded in the spatial politics of the city. However, they are often filtered through a settler gaze that romanticises Indigenous peoples as timeless, static, or apolitical, erasing the ongoing struggles of these communities for self-determination and territorial sovereignty. Meaning such representational structures operate not as cultural narrative, but as political tools that sanitise colonial histories while producing an image of Indigenei</w:t>
      </w:r>
      <w:r>
        <w:rPr>
          <w:rFonts w:ascii="Arial" w:eastAsia="Arial" w:hAnsi="Arial" w:cs="Arial"/>
          <w:color w:val="000000"/>
        </w:rPr>
        <w:t>ty that is viewed as consumable, depoliticised, and detached from the realities of Indigenous life (Bossy, Frank 2021). This research, therefore, works to re-centre the discussion around Indigeneity in South Florida for the Seminole and Miccosukee sovereignty by making visible how their identities, histories, and claims to land are structurally reimagined, commodified, and marketed within settler spaces.</w:t>
      </w:r>
    </w:p>
    <w:p w14:paraId="03B7822A" w14:textId="77777777" w:rsidR="009F0C56" w:rsidRDefault="009F0C56">
      <w:pPr>
        <w:pBdr>
          <w:top w:val="nil"/>
          <w:left w:val="nil"/>
          <w:bottom w:val="nil"/>
          <w:right w:val="nil"/>
          <w:between w:val="nil"/>
        </w:pBdr>
        <w:spacing w:line="240" w:lineRule="auto"/>
        <w:rPr>
          <w:rFonts w:ascii="Arial" w:eastAsia="Arial" w:hAnsi="Arial" w:cs="Arial"/>
          <w:color w:val="000000"/>
        </w:rPr>
      </w:pPr>
    </w:p>
    <w:p w14:paraId="32092AB9" w14:textId="77777777" w:rsidR="009F0C56" w:rsidRDefault="00653842">
      <w:pPr>
        <w:pStyle w:val="Heading2"/>
        <w:rPr>
          <w:rFonts w:ascii="Arial" w:eastAsia="Arial" w:hAnsi="Arial" w:cs="Arial"/>
        </w:rPr>
      </w:pPr>
      <w:bookmarkStart w:id="9" w:name="_Toc240965940"/>
      <w:r>
        <w:rPr>
          <w:rFonts w:ascii="Arial" w:eastAsia="Arial" w:hAnsi="Arial" w:cs="Arial"/>
        </w:rPr>
        <w:t>1.5 Research as a site of decolonial action</w:t>
      </w:r>
      <w:bookmarkEnd w:id="9"/>
    </w:p>
    <w:p w14:paraId="24B8CE28"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Before this project can be undertaken, several steps must be acknowledged in the formation of this project. While the location has been discussed, the importance of the research has been emphasised. To authentically and transparently begin any movement in approach, this project will briefly articulate the research design.</w:t>
      </w:r>
    </w:p>
    <w:p w14:paraId="60C98AED" w14:textId="7B3E416E"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In this, the project is grounded in a decolonial theoretical framework that refuses the superficial separation of theory and method, recognising that epistemology and methodology are inherently intertwined within pedagogy (Swain et al</w:t>
      </w:r>
      <w:r w:rsidR="00CF2C48">
        <w:rPr>
          <w:rFonts w:ascii="Arial" w:eastAsia="Arial" w:hAnsi="Arial" w:cs="Arial"/>
          <w:color w:val="000000"/>
        </w:rPr>
        <w:t>.</w:t>
      </w:r>
      <w:r>
        <w:rPr>
          <w:rFonts w:ascii="Arial" w:eastAsia="Arial" w:hAnsi="Arial" w:cs="Arial"/>
          <w:color w:val="000000"/>
        </w:rPr>
        <w:t xml:space="preserve"> 2020). Through this drawing from Indigenous epistemologies and critical decolonial scholarship, this approach rejects dominant frameworks that treat knowledge as a neutral or universal site of reflection (Barker &amp; Pickerill, 2024). Instead, this thesis emphasises the understanding that </w:t>
      </w:r>
      <w:r>
        <w:rPr>
          <w:rFonts w:ascii="Arial" w:eastAsia="Arial" w:hAnsi="Arial" w:cs="Arial"/>
          <w:i/>
          <w:iCs/>
          <w:color w:val="000000"/>
        </w:rPr>
        <w:t>how we know</w:t>
      </w:r>
      <w:r>
        <w:rPr>
          <w:rFonts w:ascii="Arial" w:eastAsia="Arial" w:hAnsi="Arial" w:cs="Arial"/>
          <w:color w:val="000000"/>
        </w:rPr>
        <w:t xml:space="preserve"> and </w:t>
      </w:r>
      <w:r>
        <w:rPr>
          <w:rFonts w:ascii="Arial" w:eastAsia="Arial" w:hAnsi="Arial" w:cs="Arial"/>
          <w:i/>
          <w:iCs/>
          <w:color w:val="000000"/>
        </w:rPr>
        <w:t>how we research</w:t>
      </w:r>
      <w:r>
        <w:rPr>
          <w:rFonts w:ascii="Arial" w:eastAsia="Arial" w:hAnsi="Arial" w:cs="Arial"/>
          <w:color w:val="000000"/>
        </w:rPr>
        <w:t xml:space="preserve"> are inseparable questions, and are deeply entangled with power, history, and positionality.</w:t>
      </w:r>
    </w:p>
    <w:p w14:paraId="2EE3A15B"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In this, thinkers such as Linda Tuhiwai Smith (2012), Audra Simpson (2014), Leanne Betasamosake Simpson (2017), and Walter Mignolo (2018) collectively inform this </w:t>
      </w:r>
      <w:r>
        <w:rPr>
          <w:rFonts w:ascii="Arial" w:eastAsia="Arial" w:hAnsi="Arial" w:cs="Arial"/>
          <w:color w:val="000000"/>
        </w:rPr>
        <w:lastRenderedPageBreak/>
        <w:t>study’s commitment to epistemic justice, with a commitment to exposing and unsettling the colonial systems that determine what counts as knowledge and who is authorised to produce it. As Barker Pickerill notes, we must move beyond the ways “in which decolonizing work has become performative, all too often collapsed into “diversity” efforts, emplacing the Black and Indigenous aesthetic without actually changing structures to accommodate or support Black and Indigenous scholars within our institutions” (Barke</w:t>
      </w:r>
      <w:r>
        <w:rPr>
          <w:rFonts w:ascii="Arial" w:eastAsia="Arial" w:hAnsi="Arial" w:cs="Arial"/>
          <w:color w:val="000000"/>
        </w:rPr>
        <w:t>r Pickerill 2024. Pg. 579). Through this removal of performativity, this theoretical grounding situates the project within broader conversations about the ethics of research, the politics of representation, and the responsibilities of scholars working in and on settler colonial contexts (Barker Pickerill 2024).</w:t>
      </w:r>
    </w:p>
    <w:p w14:paraId="6DB1F22D" w14:textId="77777777" w:rsidR="009F0C56" w:rsidRDefault="009F0C56">
      <w:pPr>
        <w:pBdr>
          <w:top w:val="nil"/>
          <w:left w:val="nil"/>
          <w:bottom w:val="nil"/>
          <w:right w:val="nil"/>
          <w:between w:val="nil"/>
        </w:pBdr>
        <w:spacing w:line="240" w:lineRule="auto"/>
        <w:rPr>
          <w:rFonts w:ascii="Arial" w:eastAsia="Arial" w:hAnsi="Arial" w:cs="Arial"/>
          <w:color w:val="000000"/>
        </w:rPr>
      </w:pPr>
    </w:p>
    <w:p w14:paraId="5EA4AB8C" w14:textId="77777777" w:rsidR="009F0C56" w:rsidRDefault="00653842">
      <w:pPr>
        <w:pStyle w:val="Heading2"/>
        <w:rPr>
          <w:rFonts w:ascii="Arial" w:eastAsia="Arial" w:hAnsi="Arial" w:cs="Arial"/>
          <w:sz w:val="24"/>
          <w:szCs w:val="24"/>
        </w:rPr>
      </w:pPr>
      <w:bookmarkStart w:id="10" w:name="_Toc240965941"/>
      <w:r>
        <w:rPr>
          <w:rFonts w:ascii="Arial" w:eastAsia="Arial" w:hAnsi="Arial" w:cs="Arial"/>
        </w:rPr>
        <w:t>1.6 Maintaining a decolonial perspective methodologically</w:t>
      </w:r>
      <w:bookmarkEnd w:id="10"/>
    </w:p>
    <w:p w14:paraId="6E55F5CB" w14:textId="32379AE9"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In this methodology, this thesis utilises a critical decolonial ethnography, visual geographies, and textual analysis as interlocking, mutually reinforcing tools rather than discrete, sequential steps (Barbara 1996). Through this, the methodological integration of these tools and a decolonial outlook </w:t>
      </w:r>
      <w:r w:rsidR="00CF2C48">
        <w:rPr>
          <w:rFonts w:ascii="Arial" w:eastAsia="Arial" w:hAnsi="Arial" w:cs="Arial"/>
          <w:color w:val="000000"/>
        </w:rPr>
        <w:t>reflects</w:t>
      </w:r>
      <w:r>
        <w:rPr>
          <w:rFonts w:ascii="Arial" w:eastAsia="Arial" w:hAnsi="Arial" w:cs="Arial"/>
          <w:color w:val="000000"/>
        </w:rPr>
        <w:t xml:space="preserve"> the conviction that no single method can fully capture the complexity of settler colonialism’s operations of power and representation. Critical decolonial ethnography allows the project to trace how settler spaces, tourist districts, urban developments, heritage sites, monuments, and commercial landscapes mediate Indigeneity as a spectacle (Held 2019). It situates the researcher as an embedded observer of the processes through which urban environments are curated and consumed. </w:t>
      </w:r>
    </w:p>
    <w:p w14:paraId="72C36813"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Visual geography offers a means of reading the urban landscape as a colonial</w:t>
      </w:r>
      <w:r>
        <w:rPr>
          <w:rFonts w:ascii="Arial" w:eastAsia="Arial" w:hAnsi="Arial" w:cs="Arial"/>
          <w:b/>
          <w:bCs/>
          <w:color w:val="000000"/>
        </w:rPr>
        <w:t xml:space="preserve"> </w:t>
      </w:r>
      <w:r>
        <w:rPr>
          <w:rFonts w:ascii="Arial" w:eastAsia="Arial" w:hAnsi="Arial" w:cs="Arial"/>
          <w:color w:val="000000"/>
        </w:rPr>
        <w:t>text, where streetscapes, signage, imagery, monuments, and architectural forms encode hierarchies of belonging and exclusion. Textual analysis, in turn, interrogates the languages, narratives, and imaginaries through which Indigeneity is produced and circulated in tourism marketing, policy discourse, media, and public history. Together, these methods reveal how representation functions as a spatial and epistemic instrument of power, shaping both the material conditions of Indigenous existence and the discur</w:t>
      </w:r>
      <w:r>
        <w:rPr>
          <w:rFonts w:ascii="Arial" w:eastAsia="Arial" w:hAnsi="Arial" w:cs="Arial"/>
          <w:color w:val="000000"/>
        </w:rPr>
        <w:t>sive terrains in which Indigenous futures are envisioned (Daigle, 2024; Goeman, 2013).</w:t>
      </w:r>
    </w:p>
    <w:p w14:paraId="4D7CA081" w14:textId="740B0365"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As a non-Indigenous researcher, I am aware that my work is embedded within the very power structures I critique. This project does not claim to speak on behalf of the Seminole or Miccosukee peoples, nor to provide an authoritative account of their history or identity. Instead, it examines the settler systems that shape how knowledge about these communities is created, shared, and consumed. This positionality requires continuous reflexivity, acknowledging that even decolonial-framed research can reinforce co</w:t>
      </w:r>
      <w:r>
        <w:rPr>
          <w:rFonts w:ascii="Arial" w:eastAsia="Arial" w:hAnsi="Arial" w:cs="Arial"/>
          <w:color w:val="000000"/>
        </w:rPr>
        <w:t xml:space="preserve">lonial hierarchies if not critically examined. Echoing Smith’s (2012) view that research is never neutral, I see methodology as a practice of accountability, with the focused questioning </w:t>
      </w:r>
      <w:r w:rsidR="00CF2C48">
        <w:rPr>
          <w:rFonts w:ascii="Arial" w:eastAsia="Arial" w:hAnsi="Arial" w:cs="Arial"/>
          <w:color w:val="000000"/>
        </w:rPr>
        <w:t xml:space="preserve">of </w:t>
      </w:r>
      <w:r>
        <w:rPr>
          <w:rFonts w:ascii="Arial" w:eastAsia="Arial" w:hAnsi="Arial" w:cs="Arial"/>
          <w:color w:val="000000"/>
        </w:rPr>
        <w:t>not only the research subjects but also the researcher’s perspective, the disciplinary frameworks employed, and the broader epistemic orders supporting settler colonial knowledge (Barker Pickerill 2024).</w:t>
      </w:r>
    </w:p>
    <w:p w14:paraId="41265B97"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This decolonial methodological orientation thereby positions the research not as a detached act of observation, but as an active intervention, one that aims to disrupt </w:t>
      </w:r>
      <w:r>
        <w:rPr>
          <w:rFonts w:ascii="Arial" w:eastAsia="Arial" w:hAnsi="Arial" w:cs="Arial"/>
          <w:color w:val="000000"/>
        </w:rPr>
        <w:lastRenderedPageBreak/>
        <w:t>the colonial logics embedded in representation, urban space, and the production of knowledge, while contributing to ongoing conversations about the ethics, politics, and possibilities of decolonial scholarship.</w:t>
      </w:r>
    </w:p>
    <w:p w14:paraId="77948AD1" w14:textId="3E9467D5"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In this, my decision to focus specifically on public, representational, and tourist spaces, rather than entering into private, ceremonial, or community-specific Indigenous contexts, is a deliberate methodological and ethical choice that will be expanded on during the methodology section (Conrad 2022). With a focus on reflection and </w:t>
      </w:r>
      <w:r w:rsidR="00CF2C48">
        <w:rPr>
          <w:rFonts w:ascii="Arial" w:eastAsia="Arial" w:hAnsi="Arial" w:cs="Arial"/>
          <w:color w:val="000000"/>
        </w:rPr>
        <w:t xml:space="preserve">a </w:t>
      </w:r>
      <w:r>
        <w:rPr>
          <w:rFonts w:ascii="Arial" w:eastAsia="Arial" w:hAnsi="Arial" w:cs="Arial"/>
          <w:color w:val="000000"/>
        </w:rPr>
        <w:t>commitment to research ethics that resists epistemic extraction and avoids reproducing patterns of appropriation. In doing so, creating an approach that aligns with decolonial principles that call for careful negotiation of the researcher’s positionality, particularly when working in relation to Indigenous peoples (Smith, 2012; Tuck &amp; Yang, 2012). Thus, by situating the field of enquiry in publicly accessible spaces, such as signage, monuments, commercial environments, museums, and urban design, the project</w:t>
      </w:r>
      <w:r>
        <w:rPr>
          <w:rFonts w:ascii="Arial" w:eastAsia="Arial" w:hAnsi="Arial" w:cs="Arial"/>
          <w:color w:val="000000"/>
        </w:rPr>
        <w:t xml:space="preserve"> engages with how settler colonialism works through representation in everyday life, rather than claiming access to Indigenous knowledge that belongs within specific cultural and community contexts.</w:t>
      </w:r>
    </w:p>
    <w:p w14:paraId="189E6166" w14:textId="28ECA1F1"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This reflexive positioning shapes not only the choice of field sites but also the interpretative stance of the research. Analysis is treated as always partial, situated, and dialogic, informed by an understanding that meaning emerges through relations of power rather than from a universal or neutral standpoint. This awareness demands methodological humility, recognising the limits of a settler researcher’s capacity to fully apprehend Indigenous experiences, histories, or sovereignties. Following Tuck and Ya</w:t>
      </w:r>
      <w:r>
        <w:rPr>
          <w:rFonts w:ascii="Arial" w:eastAsia="Arial" w:hAnsi="Arial" w:cs="Arial"/>
          <w:color w:val="000000"/>
        </w:rPr>
        <w:t>ng’s (2012) call to “put decolonisation to work,” this project maintains a deliberate focus on interrogating the settler systems in which representations of Indigeneity are produced, rather than claiming authority to speak on behalf of Indigenous peoples themselves. In following this decolonial discourse, a key element is that of language and how it develops. The following section will explore this with a key focus on the word Indian and how</w:t>
      </w:r>
      <w:r w:rsidR="00CF2C48">
        <w:rPr>
          <w:rFonts w:ascii="Arial" w:eastAsia="Arial" w:hAnsi="Arial" w:cs="Arial"/>
          <w:color w:val="000000"/>
        </w:rPr>
        <w:t>,</w:t>
      </w:r>
      <w:r>
        <w:rPr>
          <w:rFonts w:ascii="Arial" w:eastAsia="Arial" w:hAnsi="Arial" w:cs="Arial"/>
          <w:color w:val="000000"/>
        </w:rPr>
        <w:t xml:space="preserve"> semiotically</w:t>
      </w:r>
      <w:r w:rsidR="00CF2C48">
        <w:rPr>
          <w:rFonts w:ascii="Arial" w:eastAsia="Arial" w:hAnsi="Arial" w:cs="Arial"/>
          <w:color w:val="000000"/>
        </w:rPr>
        <w:t>,</w:t>
      </w:r>
      <w:r>
        <w:rPr>
          <w:rFonts w:ascii="Arial" w:eastAsia="Arial" w:hAnsi="Arial" w:cs="Arial"/>
          <w:color w:val="000000"/>
        </w:rPr>
        <w:t xml:space="preserve"> it needs a clear analysis to further this work through the empirical chapters, when the images are analysed.</w:t>
      </w:r>
    </w:p>
    <w:p w14:paraId="0F0B4812" w14:textId="77777777" w:rsidR="009F0C56" w:rsidRDefault="009F0C56">
      <w:pPr>
        <w:pBdr>
          <w:top w:val="nil"/>
          <w:left w:val="nil"/>
          <w:bottom w:val="nil"/>
          <w:right w:val="nil"/>
          <w:between w:val="nil"/>
        </w:pBdr>
        <w:spacing w:line="240" w:lineRule="auto"/>
        <w:rPr>
          <w:rFonts w:ascii="Arial" w:eastAsia="Arial" w:hAnsi="Arial" w:cs="Arial"/>
          <w:color w:val="000000"/>
        </w:rPr>
      </w:pPr>
    </w:p>
    <w:p w14:paraId="3ED88EFD" w14:textId="77777777" w:rsidR="009F0C56" w:rsidRDefault="00653842">
      <w:pPr>
        <w:pStyle w:val="Heading2"/>
        <w:rPr>
          <w:rFonts w:ascii="Arial" w:eastAsia="Arial" w:hAnsi="Arial" w:cs="Arial"/>
        </w:rPr>
      </w:pPr>
      <w:bookmarkStart w:id="11" w:name="_Toc240965942"/>
      <w:r>
        <w:rPr>
          <w:rFonts w:ascii="Arial" w:eastAsia="Arial" w:hAnsi="Arial" w:cs="Arial"/>
        </w:rPr>
        <w:t>1.7 The term “Indian” as a Settler Colonial Construct</w:t>
      </w:r>
      <w:bookmarkEnd w:id="11"/>
    </w:p>
    <w:p w14:paraId="14F25F72" w14:textId="77777777" w:rsidR="009F0C56" w:rsidRDefault="00653842">
      <w:pPr>
        <w:spacing w:before="280" w:after="280" w:line="240" w:lineRule="auto"/>
        <w:rPr>
          <w:rFonts w:ascii="Arial" w:eastAsia="Arial" w:hAnsi="Arial" w:cs="Arial"/>
        </w:rPr>
      </w:pPr>
      <w:r>
        <w:rPr>
          <w:rFonts w:ascii="Arial" w:eastAsia="Arial" w:hAnsi="Arial" w:cs="Arial"/>
        </w:rPr>
        <w:t xml:space="preserve">The term Indian has been a colloquial signifier for Indigenous communities in North America since Christopher Columbus referred to the inhabitants of San Salvador in the Bahamas as Indios. Despite this geographic inaccuracy, the term became a fixed signifier in colonial discourse, evolving into a linguistic tool of classification that grouped the diverse Indigenous nations of the Americas under a single, externally imposed identity (National Archives 2025). </w:t>
      </w:r>
    </w:p>
    <w:p w14:paraId="31446298" w14:textId="42387BD3" w:rsidR="009F0C56" w:rsidRDefault="00653842">
      <w:pPr>
        <w:spacing w:before="280" w:after="280" w:line="240" w:lineRule="auto"/>
        <w:rPr>
          <w:rFonts w:ascii="Arial" w:eastAsia="Arial" w:hAnsi="Arial" w:cs="Arial"/>
        </w:rPr>
      </w:pPr>
      <w:r>
        <w:rPr>
          <w:rFonts w:ascii="Arial" w:eastAsia="Arial" w:hAnsi="Arial" w:cs="Arial"/>
        </w:rPr>
        <w:t xml:space="preserve">This colonial categorisation became deeply embedded within settler society, appearing in legislative literature, media portrayals, and Indigenous communities’ strategic adoptions of the term. Over the centuries, Indian was not merely a descriptor but a mechanism through which settler colonial society constructed and controlled representations of Indigenous peoples, creating a settler bricolage of realities through which the settler populace </w:t>
      </w:r>
      <w:r w:rsidR="00CF2C48">
        <w:rPr>
          <w:rFonts w:ascii="Arial" w:eastAsia="Arial" w:hAnsi="Arial" w:cs="Arial"/>
        </w:rPr>
        <w:t>viewed</w:t>
      </w:r>
      <w:r>
        <w:rPr>
          <w:rFonts w:ascii="Arial" w:eastAsia="Arial" w:hAnsi="Arial" w:cs="Arial"/>
        </w:rPr>
        <w:t xml:space="preserve"> Indigenous people</w:t>
      </w:r>
      <w:r w:rsidR="00CF2C48">
        <w:rPr>
          <w:rFonts w:ascii="Arial" w:eastAsia="Arial" w:hAnsi="Arial" w:cs="Arial"/>
        </w:rPr>
        <w:t>.</w:t>
      </w:r>
      <w:r>
        <w:rPr>
          <w:rFonts w:ascii="Arial" w:eastAsia="Arial" w:hAnsi="Arial" w:cs="Arial"/>
        </w:rPr>
        <w:t xml:space="preserve"> However, in time, an etymological shift occurred, with the rise of the term “Native American”, </w:t>
      </w:r>
      <w:r>
        <w:rPr>
          <w:rFonts w:ascii="Arial" w:eastAsia="Arial" w:hAnsi="Arial" w:cs="Arial"/>
        </w:rPr>
        <w:lastRenderedPageBreak/>
        <w:t>whereby, in the 1960s, amidst broader liberal shifts in the U.S., the term Native American gained prominence as a more ethical alternative to Indian (Fleming et al</w:t>
      </w:r>
      <w:r w:rsidR="00CF2C48">
        <w:rPr>
          <w:rFonts w:ascii="Arial" w:eastAsia="Arial" w:hAnsi="Arial" w:cs="Arial"/>
        </w:rPr>
        <w:t>.</w:t>
      </w:r>
      <w:r>
        <w:rPr>
          <w:rFonts w:ascii="Arial" w:eastAsia="Arial" w:hAnsi="Arial" w:cs="Arial"/>
        </w:rPr>
        <w:t xml:space="preserve"> 2006). </w:t>
      </w:r>
    </w:p>
    <w:p w14:paraId="27873451" w14:textId="77777777" w:rsidR="009F0C56" w:rsidRDefault="00653842">
      <w:pPr>
        <w:spacing w:before="280" w:after="280" w:line="240" w:lineRule="auto"/>
        <w:rPr>
          <w:rFonts w:ascii="Arial" w:eastAsia="Arial" w:hAnsi="Arial" w:cs="Arial"/>
        </w:rPr>
      </w:pPr>
      <w:r>
        <w:rPr>
          <w:rFonts w:ascii="Arial" w:eastAsia="Arial" w:hAnsi="Arial" w:cs="Arial"/>
        </w:rPr>
        <w:t>This transition, which will be explored in greater depth through Aldred’s analysis in later chapters, reflected settler society’s attempts to redefine Indigenous identity in ways that appeared more progressive, yet remained dictated by settler epistemologies.</w:t>
      </w:r>
      <w:r>
        <w:rPr>
          <w:rFonts w:ascii="Arial" w:eastAsia="Arial" w:hAnsi="Arial" w:cs="Arial"/>
          <w:sz w:val="27"/>
          <w:szCs w:val="27"/>
        </w:rPr>
        <w:t xml:space="preserve"> </w:t>
      </w:r>
      <w:r>
        <w:rPr>
          <w:rFonts w:ascii="Arial" w:eastAsia="Arial" w:hAnsi="Arial" w:cs="Arial"/>
        </w:rPr>
        <w:t>Hence</w:t>
      </w:r>
      <w:r>
        <w:rPr>
          <w:rFonts w:ascii="Arial" w:eastAsia="Arial" w:hAnsi="Arial" w:cs="Arial"/>
          <w:sz w:val="27"/>
          <w:szCs w:val="27"/>
        </w:rPr>
        <w:t xml:space="preserve">, </w:t>
      </w:r>
      <w:r>
        <w:rPr>
          <w:rFonts w:ascii="Arial" w:eastAsia="Arial" w:hAnsi="Arial" w:cs="Arial"/>
        </w:rPr>
        <w:t>while the term Native American gradually became the dominant term in public discourse, the term Indian did not disappear; it continues to exist within legal frameworks, cultural memory, and popular representations. Crucially, it remained a powerful colonial tool in shaping settler-produced representations of Indigeneity (Ring 2025). This became a distinguishing fact in Indigenous representation from settler society, as, despite its decline in mainstream discourse, Indians remained epistemologically necessar</w:t>
      </w:r>
      <w:r>
        <w:rPr>
          <w:rFonts w:ascii="Arial" w:eastAsia="Arial" w:hAnsi="Arial" w:cs="Arial"/>
        </w:rPr>
        <w:t xml:space="preserve">y when engaging with settler colonial constructions of Indigeneity. </w:t>
      </w:r>
    </w:p>
    <w:p w14:paraId="08EECBC4" w14:textId="77777777" w:rsidR="009F0C56" w:rsidRDefault="00653842">
      <w:pPr>
        <w:spacing w:before="280" w:after="280" w:line="240" w:lineRule="auto"/>
        <w:rPr>
          <w:rFonts w:ascii="Times New Roman" w:eastAsia="Times New Roman" w:hAnsi="Times New Roman" w:cs="Times New Roman"/>
        </w:rPr>
      </w:pPr>
      <w:r>
        <w:rPr>
          <w:rFonts w:ascii="Arial" w:eastAsia="Arial" w:hAnsi="Arial" w:cs="Arial"/>
        </w:rPr>
        <w:t xml:space="preserve">Here, this thesis will therefore adopt and critically apply the term Indian along with its variations when referring specifically to settler-imposed representations of Indigenous peoples, rather than self-representations by Indigenous communities.  Through this, the concept of settler dictated Indigeneity will be used to mark representations of Indigeneity created, imposed, or appropriated by settlers rather than those developed and maintained by Indigenous communities themselves. These </w:t>
      </w:r>
      <w:r>
        <w:rPr>
          <w:rFonts w:ascii="Arial" w:eastAsia="Arial" w:hAnsi="Arial" w:cs="Arial"/>
          <w:i/>
          <w:iCs/>
        </w:rPr>
        <w:t>Indian</w:t>
      </w:r>
      <w:r>
        <w:rPr>
          <w:rFonts w:ascii="Arial" w:eastAsia="Arial" w:hAnsi="Arial" w:cs="Arial"/>
        </w:rPr>
        <w:t xml:space="preserve"> representations will be analysed as part of the settler bricolage of realities, a process in which traditional Indigenous signifiers are manipulated and adapted into settler-controlled images that serve colonial objectives, further distorting Indigenous Epistemologies (Graves Spencer 2022).</w:t>
      </w:r>
      <w:r>
        <w:rPr>
          <w:rFonts w:ascii="Times New Roman" w:eastAsia="Times New Roman" w:hAnsi="Times New Roman" w:cs="Times New Roman"/>
        </w:rPr>
        <w:t xml:space="preserve"> </w:t>
      </w:r>
    </w:p>
    <w:p w14:paraId="4C0BC47E" w14:textId="5C236623" w:rsidR="009F0C56" w:rsidRDefault="00653842">
      <w:pPr>
        <w:spacing w:before="280" w:after="280" w:line="240" w:lineRule="auto"/>
        <w:rPr>
          <w:rFonts w:ascii="Arial" w:eastAsia="Arial" w:hAnsi="Arial" w:cs="Arial"/>
        </w:rPr>
      </w:pPr>
      <w:r>
        <w:rPr>
          <w:rFonts w:ascii="Arial" w:eastAsia="Arial" w:hAnsi="Arial" w:cs="Arial"/>
        </w:rPr>
        <w:t>Through critically distinguishing Indigenous self-representations and settler Indian representations, this thesis will demonstrate how settler society epistemologically distorts Indigeneity in ways that shape settler public perceptions and engagements with Indigenous peoples, which in turn reinforce settler narratives that obscure Indigenous sovereignty and agency. This</w:t>
      </w:r>
      <w:r w:rsidR="00CF2C48">
        <w:rPr>
          <w:rFonts w:ascii="Arial" w:eastAsia="Arial" w:hAnsi="Arial" w:cs="Arial"/>
        </w:rPr>
        <w:t>,</w:t>
      </w:r>
      <w:r>
        <w:rPr>
          <w:rFonts w:ascii="Arial" w:eastAsia="Arial" w:hAnsi="Arial" w:cs="Arial"/>
        </w:rPr>
        <w:t xml:space="preserve"> in turn</w:t>
      </w:r>
      <w:r w:rsidR="00CF2C48">
        <w:rPr>
          <w:rFonts w:ascii="Arial" w:eastAsia="Arial" w:hAnsi="Arial" w:cs="Arial"/>
        </w:rPr>
        <w:t>,</w:t>
      </w:r>
      <w:r>
        <w:rPr>
          <w:rFonts w:ascii="Arial" w:eastAsia="Arial" w:hAnsi="Arial" w:cs="Arial"/>
        </w:rPr>
        <w:t xml:space="preserve"> strengthens the colonial matrix of representations </w:t>
      </w:r>
      <w:r w:rsidR="00CF2C48">
        <w:rPr>
          <w:rFonts w:ascii="Arial" w:eastAsia="Arial" w:hAnsi="Arial" w:cs="Arial"/>
        </w:rPr>
        <w:t xml:space="preserve">within </w:t>
      </w:r>
      <w:r>
        <w:rPr>
          <w:rFonts w:ascii="Arial" w:eastAsia="Arial" w:hAnsi="Arial" w:cs="Arial"/>
        </w:rPr>
        <w:t xml:space="preserve">which Settler Indian representations function within the colonial matrix of power. Hence, knowledge, culture, and identity within these Indian representations are framed through settler epistemologies, where the continued use and adaptation of these representations sustain settler hegemony over how Indigeneity is perceived and engaged within the U.S. Thereby critically examining and identifying the settler imposed </w:t>
      </w:r>
      <w:r>
        <w:rPr>
          <w:rFonts w:ascii="Arial" w:eastAsia="Arial" w:hAnsi="Arial" w:cs="Arial"/>
          <w:i/>
          <w:iCs/>
        </w:rPr>
        <w:t>Indian</w:t>
      </w:r>
      <w:r>
        <w:rPr>
          <w:rFonts w:ascii="Arial" w:eastAsia="Arial" w:hAnsi="Arial" w:cs="Arial"/>
        </w:rPr>
        <w:t xml:space="preserve"> representation, this thesis will highlight how Indigenous identity has been manipulated, distorted, and redefined within settler frameworks (Ring 2025). </w:t>
      </w:r>
    </w:p>
    <w:p w14:paraId="7A7DE8A4" w14:textId="77777777" w:rsidR="009F0C56" w:rsidRDefault="00653842">
      <w:pPr>
        <w:spacing w:before="280" w:after="280" w:line="240" w:lineRule="auto"/>
        <w:rPr>
          <w:rFonts w:ascii="Arial" w:eastAsia="Arial" w:hAnsi="Arial" w:cs="Arial"/>
        </w:rPr>
      </w:pPr>
      <w:r>
        <w:rPr>
          <w:rFonts w:ascii="Arial" w:eastAsia="Arial" w:hAnsi="Arial" w:cs="Arial"/>
        </w:rPr>
        <w:t>This distinction between settler created Indigeneity (Indian) and Indigenous self-representation is key to uncovering how settler colonialism reinforces its dominance through cultural and epistemological control. In doing so, this thesis will expose how these representations contribute to the erasure, commodification, and assimilation of Indigenous identities, perpetuating the settler colonial project through the chapters on commodification, homogenisation, historization and territorialization.</w:t>
      </w:r>
    </w:p>
    <w:p w14:paraId="4B52D7BC" w14:textId="77777777" w:rsidR="009F0C56" w:rsidRDefault="00653842">
      <w:pPr>
        <w:pStyle w:val="Heading2"/>
        <w:rPr>
          <w:rFonts w:ascii="Arial" w:eastAsia="Arial" w:hAnsi="Arial" w:cs="Arial"/>
        </w:rPr>
      </w:pPr>
      <w:bookmarkStart w:id="12" w:name="_Toc240965943"/>
      <w:r>
        <w:rPr>
          <w:rFonts w:ascii="Arial" w:eastAsia="Arial" w:hAnsi="Arial" w:cs="Arial"/>
        </w:rPr>
        <w:lastRenderedPageBreak/>
        <w:t>1.8 Analysis arguments</w:t>
      </w:r>
      <w:bookmarkEnd w:id="12"/>
      <w:r>
        <w:rPr>
          <w:rFonts w:ascii="Arial" w:eastAsia="Arial" w:hAnsi="Arial" w:cs="Arial"/>
        </w:rPr>
        <w:t xml:space="preserve"> </w:t>
      </w:r>
    </w:p>
    <w:p w14:paraId="442B2063"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Through a qualitative, reflexive, and decolonial methodology, this thesis examined how South Florida’s settler colonial landscape actively produces, circulates, and legitimises particular representations of Indigeneity. It argues that such representations are far from benign or neutral; rather, they are active mechanisms of governance and spatial control that sustain settler sovereignty while obscuring the ongoing realities of colonial dispossession and erasure. Representation in this sense functions as a f</w:t>
      </w:r>
      <w:r>
        <w:rPr>
          <w:rFonts w:ascii="Arial" w:eastAsia="Arial" w:hAnsi="Arial" w:cs="Arial"/>
          <w:color w:val="000000"/>
        </w:rPr>
        <w:t>orm of colonial labour, producing narratives that reinforce the moral and spatial legitimacy of settler futures.</w:t>
      </w:r>
    </w:p>
    <w:p w14:paraId="45864EAE"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The thesis is structured around four interconnected thematic chapters that together articulate a sustained analysis of these processes:</w:t>
      </w:r>
    </w:p>
    <w:p w14:paraId="4C854572" w14:textId="77777777" w:rsidR="009F0C56" w:rsidRDefault="00653842">
      <w:pPr>
        <w:numPr>
          <w:ilvl w:val="0"/>
          <w:numId w:val="8"/>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b/>
          <w:bCs/>
          <w:color w:val="000000"/>
        </w:rPr>
        <w:t>Homogenisation</w:t>
      </w:r>
      <w:r>
        <w:rPr>
          <w:rFonts w:ascii="Arial" w:eastAsia="Arial" w:hAnsi="Arial" w:cs="Arial"/>
          <w:color w:val="000000"/>
        </w:rPr>
        <w:t xml:space="preserve"> — This chapter examines how diverse Indigenous identities, histories, and sovereignties are collapsed into a singular, depoliticised image of “the Native.” It interrogates the reduction of Indigenous difference to consumable, static stereotypes, and the erasure of political complexity in favour of a sanitised, symbolic representation of Indigeneity.</w:t>
      </w:r>
    </w:p>
    <w:p w14:paraId="2FC61742" w14:textId="7BF6458F" w:rsidR="009F0C56" w:rsidRDefault="00653842">
      <w:pPr>
        <w:numPr>
          <w:ilvl w:val="0"/>
          <w:numId w:val="8"/>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b/>
          <w:bCs/>
          <w:color w:val="000000"/>
        </w:rPr>
        <w:t>Commodification</w:t>
      </w:r>
      <w:r>
        <w:rPr>
          <w:rFonts w:ascii="Arial" w:eastAsia="Arial" w:hAnsi="Arial" w:cs="Arial"/>
          <w:color w:val="000000"/>
        </w:rPr>
        <w:t xml:space="preserve"> — This chapter explores how Indigenous culture is </w:t>
      </w:r>
      <w:r w:rsidR="00CF2C48">
        <w:rPr>
          <w:rFonts w:ascii="Arial" w:eastAsia="Arial" w:hAnsi="Arial" w:cs="Arial"/>
          <w:color w:val="000000"/>
        </w:rPr>
        <w:t>aestheticised</w:t>
      </w:r>
      <w:r>
        <w:rPr>
          <w:rFonts w:ascii="Arial" w:eastAsia="Arial" w:hAnsi="Arial" w:cs="Arial"/>
          <w:color w:val="000000"/>
        </w:rPr>
        <w:t>, packaged, and sold within tourism economies and consumer spaces. It considers how heritage is transformed into a marketable asset, and how these commodified forms of representation function as both economic strategies and instruments of settler ideology.</w:t>
      </w:r>
    </w:p>
    <w:p w14:paraId="5D770795" w14:textId="77777777" w:rsidR="009F0C56" w:rsidRDefault="00653842">
      <w:pPr>
        <w:numPr>
          <w:ilvl w:val="0"/>
          <w:numId w:val="8"/>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b/>
          <w:bCs/>
          <w:color w:val="000000"/>
        </w:rPr>
        <w:t>Historization</w:t>
      </w:r>
      <w:r>
        <w:rPr>
          <w:rFonts w:ascii="Arial" w:eastAsia="Arial" w:hAnsi="Arial" w:cs="Arial"/>
          <w:color w:val="000000"/>
        </w:rPr>
        <w:t xml:space="preserve"> — This chapter investigates how settler narratives of progress, nostalgia, and authenticity construct Indigenous peoples as belonging to the past. It analyses temporal regimes that frame Indigenous presence as historical rather than contemporary, and how this temporal framing reinforces colonial logics of dispossession and futurity.</w:t>
      </w:r>
    </w:p>
    <w:p w14:paraId="3A6AB958" w14:textId="77777777" w:rsidR="009F0C56" w:rsidRDefault="00653842">
      <w:pPr>
        <w:numPr>
          <w:ilvl w:val="0"/>
          <w:numId w:val="8"/>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b/>
          <w:bCs/>
          <w:color w:val="000000"/>
        </w:rPr>
        <w:t>Territorialization</w:t>
      </w:r>
      <w:r>
        <w:rPr>
          <w:rFonts w:ascii="Arial" w:eastAsia="Arial" w:hAnsi="Arial" w:cs="Arial"/>
          <w:color w:val="000000"/>
        </w:rPr>
        <w:t xml:space="preserve"> — This chapter attends to the spatial politics of representation, examining how urban planning, monumentality, and the architecture of public space materialise settler control. It situates the cityscape as a contested site where the politics of memory, belonging, and erasure intersect, shaping Indigenous presence in the settler colonial imagination.</w:t>
      </w:r>
    </w:p>
    <w:p w14:paraId="2B55331F"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Taken together, these chapters will illuminate how visual, spatial, and discursive practices in South Florida operate as colonial matrices of power that function to sustain settler authority by controlling the narratives through which Indigenous life is represented and imagined.</w:t>
      </w:r>
    </w:p>
    <w:p w14:paraId="7E96F10B"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These arguments will be further articulated through weaving together theory, method, and reflexive positionality. Allowing this project to demonstrate that settler colonialism operates not only through the material dispossession of land but through the continuous visual, textual, and spatial reproduction of Indigenous difference. In doing so, it contributes to broader debates in decolonial geography, visual culture, and Indigenous studies. </w:t>
      </w:r>
    </w:p>
    <w:p w14:paraId="7FAA2974" w14:textId="77777777" w:rsidR="009F0C56" w:rsidRDefault="00653842">
      <w:pPr>
        <w:pStyle w:val="Heading2"/>
        <w:rPr>
          <w:rFonts w:ascii="Arial" w:eastAsia="Arial" w:hAnsi="Arial" w:cs="Arial"/>
        </w:rPr>
      </w:pPr>
      <w:bookmarkStart w:id="13" w:name="_Toc240965944"/>
      <w:r>
        <w:rPr>
          <w:rFonts w:ascii="Arial" w:eastAsia="Arial" w:hAnsi="Arial" w:cs="Arial"/>
        </w:rPr>
        <w:lastRenderedPageBreak/>
        <w:t>1.9 Chapter outlines</w:t>
      </w:r>
      <w:bookmarkEnd w:id="13"/>
    </w:p>
    <w:p w14:paraId="3E054E16"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In Chapter 2, I will explore the detailed history of the Seminole and Miccosukee, incorporating various perspectives and narratives to contextualise the research location and its historical development up to the present. </w:t>
      </w:r>
    </w:p>
    <w:p w14:paraId="6C918113"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Following that, Chapter 3 will review key literature that has significantly influenced this field and contributed to its evolution. This will include discussions on Indigenous representations in studies of Indigenous tourism, sustainability, economics, and literature. </w:t>
      </w:r>
    </w:p>
    <w:p w14:paraId="2511A300"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Chapter 4 will describe the methodology and research design, explaining the reasons behind each methodological choice, including the selection of location, subjects, and how the images were captured. </w:t>
      </w:r>
    </w:p>
    <w:p w14:paraId="30A6FC76"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Chapter 5 will synthesise these elements into a linear decolonial approach, utilising key theoretical concepts and illustrating how different perspectives work together to build a stronger theoretical framework. </w:t>
      </w:r>
    </w:p>
    <w:p w14:paraId="112FFCF5"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Chapter 6 will be the first analysis, examining how homogenisation impacts the research questions. It will explore how homogenisation, as the thesis's starting point, challenges settler colonial powers and include an analysis of images taken during fieldwork. </w:t>
      </w:r>
    </w:p>
    <w:p w14:paraId="7907FE6B"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Chapter 7, the second empirical chapter, will expand on this by analysing how the commodification of Indigeneity functions as a settler colonial power, focusing on the commodification of Indigenous symbols and knowledge as acts of settler violence that diminish Seminole and Miccosukee agency in South Florida's visual landscape. </w:t>
      </w:r>
    </w:p>
    <w:p w14:paraId="42B850A6"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Chapter 8 will investigate how settler colonial manipulation of time distorts Indigenous representations, building on themes from previous chapters but highlighting how discourses of settler assimilation threaten Indigenous sovereignty. </w:t>
      </w:r>
    </w:p>
    <w:p w14:paraId="33FABADC"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The final empirical chapter will address land, synthesising insights from earlier chapters to demonstrate how spatial manipulation of Indigenous representations leads to real consequences like climate change, land loss, and the erasure of histories and futures. </w:t>
      </w:r>
    </w:p>
    <w:p w14:paraId="34DF597F"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The thesis will conclude with reflections on the research findings and suggestions for future questions and directions. </w:t>
      </w:r>
    </w:p>
    <w:p w14:paraId="7779333A" w14:textId="7D74C333" w:rsidR="009F0C56" w:rsidRDefault="00653842">
      <w:pPr>
        <w:rPr>
          <w:rFonts w:ascii="Arial" w:eastAsia="Arial" w:hAnsi="Arial" w:cs="Arial"/>
        </w:rPr>
      </w:pPr>
      <w:r>
        <w:rPr>
          <w:rFonts w:ascii="Arial" w:eastAsia="Arial" w:hAnsi="Arial" w:cs="Arial"/>
        </w:rPr>
        <w:t>Overall</w:t>
      </w:r>
      <w:r w:rsidR="00CF2C48">
        <w:rPr>
          <w:rFonts w:ascii="Arial" w:eastAsia="Arial" w:hAnsi="Arial" w:cs="Arial"/>
        </w:rPr>
        <w:t>, the</w:t>
      </w:r>
      <w:r>
        <w:rPr>
          <w:rFonts w:ascii="Arial" w:eastAsia="Arial" w:hAnsi="Arial" w:cs="Arial"/>
        </w:rPr>
        <w:t xml:space="preserve"> thesis argues that Settler colonial power in South Florida is not only reproduced through the material occupation of Indigenous lands, but also through the construction, circulation, and normalisation of settler Indian representations</w:t>
      </w:r>
      <w:r w:rsidR="00CF2C48">
        <w:rPr>
          <w:rFonts w:ascii="Arial" w:eastAsia="Arial" w:hAnsi="Arial" w:cs="Arial"/>
        </w:rPr>
        <w:t>,</w:t>
      </w:r>
      <w:r>
        <w:rPr>
          <w:rFonts w:ascii="Arial" w:eastAsia="Arial" w:hAnsi="Arial" w:cs="Arial"/>
        </w:rPr>
        <w:t xml:space="preserve"> which makes Indigeneity legible through the settler lens. To explore this premise</w:t>
      </w:r>
      <w:r w:rsidR="00CF2C48">
        <w:rPr>
          <w:rFonts w:ascii="Arial" w:eastAsia="Arial" w:hAnsi="Arial" w:cs="Arial"/>
        </w:rPr>
        <w:t>,</w:t>
      </w:r>
      <w:r>
        <w:rPr>
          <w:rFonts w:ascii="Arial" w:eastAsia="Arial" w:hAnsi="Arial" w:cs="Arial"/>
        </w:rPr>
        <w:t xml:space="preserve"> four empirical chapters will be developed to analyse this argument</w:t>
      </w:r>
      <w:r w:rsidR="00CF2C48">
        <w:rPr>
          <w:rFonts w:ascii="Arial" w:eastAsia="Arial" w:hAnsi="Arial" w:cs="Arial"/>
        </w:rPr>
        <w:t>;</w:t>
      </w:r>
      <w:r>
        <w:rPr>
          <w:rFonts w:ascii="Arial" w:eastAsia="Arial" w:hAnsi="Arial" w:cs="Arial"/>
        </w:rPr>
        <w:t xml:space="preserve"> these chapters are homogenisation, commodification, historization, and territorialization. </w:t>
      </w:r>
    </w:p>
    <w:p w14:paraId="7FAF2CF4" w14:textId="3F54CA21" w:rsidR="009F0C56" w:rsidRDefault="00653842">
      <w:pPr>
        <w:rPr>
          <w:rFonts w:ascii="Arial" w:eastAsia="Arial" w:hAnsi="Arial" w:cs="Arial"/>
        </w:rPr>
      </w:pPr>
      <w:r>
        <w:rPr>
          <w:rFonts w:ascii="Arial" w:eastAsia="Arial" w:hAnsi="Arial" w:cs="Arial"/>
        </w:rPr>
        <w:t>The first chapter will be that of homogenisation</w:t>
      </w:r>
      <w:r w:rsidR="00CF2C48">
        <w:rPr>
          <w:rFonts w:ascii="Arial" w:eastAsia="Arial" w:hAnsi="Arial" w:cs="Arial"/>
        </w:rPr>
        <w:t>;</w:t>
      </w:r>
      <w:r>
        <w:rPr>
          <w:rFonts w:ascii="Arial" w:eastAsia="Arial" w:hAnsi="Arial" w:cs="Arial"/>
        </w:rPr>
        <w:t xml:space="preserve"> the main premise of this section is analysing how settler representations collapse distinct Indigenous histories like the Seminole and Miccosukee histories, ontologies, </w:t>
      </w:r>
      <w:r w:rsidR="00CF2C48">
        <w:rPr>
          <w:rFonts w:ascii="Arial" w:eastAsia="Arial" w:hAnsi="Arial" w:cs="Arial"/>
        </w:rPr>
        <w:t xml:space="preserve">and </w:t>
      </w:r>
      <w:r>
        <w:rPr>
          <w:rFonts w:ascii="Arial" w:eastAsia="Arial" w:hAnsi="Arial" w:cs="Arial"/>
        </w:rPr>
        <w:t xml:space="preserve">epistemologies, into a singular settler “Indian” figure. Here, homogenisation </w:t>
      </w:r>
      <w:r w:rsidR="00CF2C48">
        <w:rPr>
          <w:rFonts w:ascii="Arial" w:eastAsia="Arial" w:hAnsi="Arial" w:cs="Arial"/>
        </w:rPr>
        <w:t xml:space="preserve">is </w:t>
      </w:r>
      <w:r>
        <w:rPr>
          <w:rFonts w:ascii="Arial" w:eastAsia="Arial" w:hAnsi="Arial" w:cs="Arial"/>
        </w:rPr>
        <w:t xml:space="preserve">the grouping of a collective body; it is a mechanism of settler colonial power that makes Indigenous difference legible only </w:t>
      </w:r>
      <w:r>
        <w:rPr>
          <w:rFonts w:ascii="Arial" w:eastAsia="Arial" w:hAnsi="Arial" w:cs="Arial"/>
        </w:rPr>
        <w:lastRenderedPageBreak/>
        <w:t xml:space="preserve">through settler selected signs and signifiers. In this, this chapter addresses Research Question 1 by </w:t>
      </w:r>
      <w:r>
        <w:rPr>
          <w:rFonts w:ascii="Arial" w:eastAsia="Arial" w:hAnsi="Arial" w:cs="Arial"/>
        </w:rPr>
        <w:t>highlighting and exploring how Indigenous representations are constructed and circulated, while also contributing to Research Question 3 through demonstrating how settler representational erasure affects contemporary specificity and sovereignty.</w:t>
      </w:r>
    </w:p>
    <w:p w14:paraId="7E5C9AA0" w14:textId="77777777" w:rsidR="009F0C56" w:rsidRDefault="00653842">
      <w:pPr>
        <w:rPr>
          <w:rFonts w:ascii="Arial" w:eastAsia="Arial" w:hAnsi="Arial" w:cs="Arial"/>
        </w:rPr>
      </w:pPr>
      <w:r>
        <w:rPr>
          <w:rFonts w:ascii="Arial" w:eastAsia="Arial" w:hAnsi="Arial" w:cs="Arial"/>
        </w:rPr>
        <w:t>Following this, the work will explore commodification, which will be an examination of how Indigenous difference has been simplified into legible settler figures which are detached from their cultural, spatial, and epistemological contexts and converted into a marketable object will be explored. This will be done through analysing tourist spaces and consumer commodities, which demonstrate how commodification does not merely place culture within a market. It actively operates to reconstitute Indigenous cultu</w:t>
      </w:r>
      <w:r>
        <w:rPr>
          <w:rFonts w:ascii="Arial" w:eastAsia="Arial" w:hAnsi="Arial" w:cs="Arial"/>
        </w:rPr>
        <w:t>re and representations according to settler demand. This builds on the answer to Research Question 1 as well as Research Question 2, by positioning tourism and consumer markets as sites through which control over Indigenous narratives is exercised.</w:t>
      </w:r>
    </w:p>
    <w:p w14:paraId="41A4F46B" w14:textId="5060C150" w:rsidR="009F0C56" w:rsidRDefault="00653842">
      <w:pPr>
        <w:rPr>
          <w:rFonts w:ascii="Arial" w:eastAsia="Arial" w:hAnsi="Arial" w:cs="Arial"/>
        </w:rPr>
      </w:pPr>
      <w:r>
        <w:rPr>
          <w:rFonts w:ascii="Arial" w:eastAsia="Arial" w:hAnsi="Arial" w:cs="Arial"/>
        </w:rPr>
        <w:t xml:space="preserve">The penultimate chapter will be the historization chapter, which will explore settler colonial representational controls of Indigenous presence </w:t>
      </w:r>
      <w:r>
        <w:rPr>
          <w:rFonts w:ascii="Arial" w:eastAsia="Arial" w:hAnsi="Arial" w:cs="Arial"/>
        </w:rPr>
        <w:t>through the engagement of settler control of temporal signs and signifiers. This will be explored through scholars like Veracini in dissecting how settler society presents Indigenous peoples as belonging to a vanished, traditional, or nostalgic past. Here, settler society will be acknowledged in how it operates in curating Indigeneity symbolically while denying its contemporary political and epistemological authority. Here, Research Questions 2 and 3 are most related to this work as the chapter displays how</w:t>
      </w:r>
      <w:r>
        <w:rPr>
          <w:rFonts w:ascii="Arial" w:eastAsia="Arial" w:hAnsi="Arial" w:cs="Arial"/>
        </w:rPr>
        <w:t xml:space="preserve"> settler temporal framing functions in the assimilation and erasure of Indigenous contemporary being.</w:t>
      </w:r>
    </w:p>
    <w:p w14:paraId="7041964B" w14:textId="16075F6F" w:rsidR="009F0C56" w:rsidRDefault="00653842">
      <w:pPr>
        <w:rPr>
          <w:rFonts w:ascii="Arial" w:eastAsia="Arial" w:hAnsi="Arial" w:cs="Arial"/>
        </w:rPr>
      </w:pPr>
      <w:r>
        <w:rPr>
          <w:rFonts w:ascii="Arial" w:eastAsia="Arial" w:hAnsi="Arial" w:cs="Arial"/>
        </w:rPr>
        <w:t xml:space="preserve">The final chapter will be around territorialization as a representational </w:t>
      </w:r>
      <w:r w:rsidR="00CF2C48">
        <w:rPr>
          <w:rFonts w:ascii="Arial" w:eastAsia="Arial" w:hAnsi="Arial" w:cs="Arial"/>
        </w:rPr>
        <w:t>process</w:t>
      </w:r>
      <w:r>
        <w:rPr>
          <w:rFonts w:ascii="Arial" w:eastAsia="Arial" w:hAnsi="Arial" w:cs="Arial"/>
        </w:rPr>
        <w:t xml:space="preserve"> identified in the previous chapters</w:t>
      </w:r>
      <w:r w:rsidR="00CF2C48">
        <w:rPr>
          <w:rFonts w:ascii="Arial" w:eastAsia="Arial" w:hAnsi="Arial" w:cs="Arial"/>
        </w:rPr>
        <w:t>;</w:t>
      </w:r>
      <w:r>
        <w:rPr>
          <w:rFonts w:ascii="Arial" w:eastAsia="Arial" w:hAnsi="Arial" w:cs="Arial"/>
        </w:rPr>
        <w:t xml:space="preserve"> here land becomes materially consequential through the organisation and transformation of Indigenous representations. To explore this</w:t>
      </w:r>
      <w:r w:rsidR="00CF2C48">
        <w:rPr>
          <w:rFonts w:ascii="Arial" w:eastAsia="Arial" w:hAnsi="Arial" w:cs="Arial"/>
        </w:rPr>
        <w:t>,</w:t>
      </w:r>
      <w:r>
        <w:rPr>
          <w:rFonts w:ascii="Arial" w:eastAsia="Arial" w:hAnsi="Arial" w:cs="Arial"/>
        </w:rPr>
        <w:t xml:space="preserve"> urban planning, conservation, heritage, and tourism will be </w:t>
      </w:r>
      <w:r w:rsidR="00CF2C48">
        <w:rPr>
          <w:rFonts w:ascii="Arial" w:eastAsia="Arial" w:hAnsi="Arial" w:cs="Arial"/>
        </w:rPr>
        <w:t>examined</w:t>
      </w:r>
      <w:r>
        <w:rPr>
          <w:rFonts w:ascii="Arial" w:eastAsia="Arial" w:hAnsi="Arial" w:cs="Arial"/>
        </w:rPr>
        <w:t xml:space="preserve"> in how Indigenous relationships to land and Indigenous sites are converted into heritage objects or spatially marginalised. Territorialization therefore brings all four research questions together by showing how representational power becomes materialised through space.</w:t>
      </w:r>
    </w:p>
    <w:p w14:paraId="1F2FAAE4" w14:textId="1E138C1E" w:rsidR="009F0C56" w:rsidRDefault="00653842">
      <w:pPr>
        <w:rPr>
          <w:rFonts w:ascii="Arial" w:eastAsia="Arial" w:hAnsi="Arial" w:cs="Arial"/>
        </w:rPr>
      </w:pPr>
      <w:r>
        <w:rPr>
          <w:rFonts w:ascii="Arial" w:eastAsia="Arial" w:hAnsi="Arial" w:cs="Arial"/>
        </w:rPr>
        <w:t>Understood together, the four empirical arguments operate to construct a discourse that challenges settler norms of Indigeneity</w:t>
      </w:r>
      <w:r w:rsidR="00CF2C48">
        <w:rPr>
          <w:rFonts w:ascii="Arial" w:eastAsia="Arial" w:hAnsi="Arial" w:cs="Arial"/>
        </w:rPr>
        <w:t>;</w:t>
      </w:r>
      <w:r>
        <w:rPr>
          <w:rFonts w:ascii="Arial" w:eastAsia="Arial" w:hAnsi="Arial" w:cs="Arial"/>
        </w:rPr>
        <w:t xml:space="preserve"> this works as</w:t>
      </w:r>
      <w:r w:rsidR="00CF2C48">
        <w:rPr>
          <w:rFonts w:ascii="Arial" w:eastAsia="Arial" w:hAnsi="Arial" w:cs="Arial"/>
        </w:rPr>
        <w:t xml:space="preserve"> follows</w:t>
      </w:r>
      <w:r>
        <w:rPr>
          <w:rFonts w:ascii="Arial" w:eastAsia="Arial" w:hAnsi="Arial" w:cs="Arial"/>
        </w:rPr>
        <w:t>: homogenisation makes Indigenous difference simplified and legible; commodification makes that difference consumable; historization places it safely in the past; and territorialization materialises the resulting settler imaginary in space. Through this relationship, the empirical chapters therefore answer the research questions not as separate problems but as interconnected dimensions of a single representational structure.</w:t>
      </w:r>
    </w:p>
    <w:p w14:paraId="02BBB92F" w14:textId="77777777" w:rsidR="009F0C56" w:rsidRDefault="009F0C56">
      <w:pPr>
        <w:pBdr>
          <w:top w:val="nil"/>
          <w:left w:val="nil"/>
          <w:bottom w:val="nil"/>
          <w:right w:val="nil"/>
          <w:between w:val="nil"/>
        </w:pBdr>
        <w:spacing w:line="240" w:lineRule="auto"/>
        <w:rPr>
          <w:rFonts w:ascii="Arial" w:eastAsia="Arial" w:hAnsi="Arial" w:cs="Arial"/>
          <w:color w:val="000000"/>
        </w:rPr>
      </w:pPr>
    </w:p>
    <w:p w14:paraId="76BBF712" w14:textId="77777777" w:rsidR="009F0C56" w:rsidRDefault="00653842">
      <w:pPr>
        <w:pStyle w:val="Heading1"/>
        <w:rPr>
          <w:rFonts w:ascii="Arial" w:eastAsia="Arial" w:hAnsi="Arial" w:cs="Arial"/>
          <w:u w:val="single"/>
        </w:rPr>
      </w:pPr>
      <w:bookmarkStart w:id="14" w:name="_Toc240965945"/>
      <w:r>
        <w:rPr>
          <w:rFonts w:ascii="Arial" w:eastAsia="Arial" w:hAnsi="Arial" w:cs="Arial"/>
          <w:u w:val="single"/>
        </w:rPr>
        <w:lastRenderedPageBreak/>
        <w:t>2.0 Seminole and Miccosukee Histories: Creation, Resistance, and the Struggle Against Settler Screens</w:t>
      </w:r>
      <w:bookmarkEnd w:id="14"/>
    </w:p>
    <w:p w14:paraId="240253D2" w14:textId="77777777" w:rsidR="009F0C56" w:rsidRDefault="00653842">
      <w:pPr>
        <w:pStyle w:val="Heading2"/>
        <w:rPr>
          <w:rFonts w:ascii="Arial" w:eastAsia="Arial" w:hAnsi="Arial" w:cs="Arial"/>
        </w:rPr>
      </w:pPr>
      <w:bookmarkStart w:id="15" w:name="_Toc240965946"/>
      <w:r>
        <w:rPr>
          <w:rFonts w:ascii="Arial" w:eastAsia="Arial" w:hAnsi="Arial" w:cs="Arial"/>
        </w:rPr>
        <w:t>Introduction</w:t>
      </w:r>
      <w:bookmarkEnd w:id="15"/>
    </w:p>
    <w:p w14:paraId="08566773" w14:textId="6D96A22F" w:rsidR="009F0C56" w:rsidRDefault="00653842">
      <w:pPr>
        <w:spacing w:before="280" w:after="280" w:line="240" w:lineRule="auto"/>
        <w:rPr>
          <w:rFonts w:ascii="Arial" w:eastAsia="Arial" w:hAnsi="Arial" w:cs="Arial"/>
        </w:rPr>
      </w:pPr>
      <w:r>
        <w:rPr>
          <w:rFonts w:ascii="Arial" w:eastAsia="Arial" w:hAnsi="Arial" w:cs="Arial"/>
        </w:rPr>
        <w:t>The histories of the Seminole and Miccosukee peoples have long been told through the lens of others</w:t>
      </w:r>
      <w:r w:rsidR="00CF2C48">
        <w:rPr>
          <w:rFonts w:ascii="Arial" w:eastAsia="Arial" w:hAnsi="Arial" w:cs="Arial"/>
        </w:rPr>
        <w:t>,</w:t>
      </w:r>
      <w:r>
        <w:rPr>
          <w:rFonts w:ascii="Arial" w:eastAsia="Arial" w:hAnsi="Arial" w:cs="Arial"/>
        </w:rPr>
        <w:t xml:space="preserve"> filtered, reframed, and often distorted by settler colonial narratives. These stories are rarely neutral; </w:t>
      </w:r>
      <w:r>
        <w:rPr>
          <w:rFonts w:ascii="Arial" w:eastAsia="Arial" w:hAnsi="Arial" w:cs="Arial"/>
          <w:color w:val="000000"/>
        </w:rPr>
        <w:t xml:space="preserve">the histories of the Seminole and Miccosukee peoples are often told not by them, but about them, filtered through settler colonial narratives that reduce, distort, or romanticise them into commodified, homogenised, and </w:t>
      </w:r>
      <w:r w:rsidR="00CF2C48">
        <w:rPr>
          <w:rFonts w:ascii="Arial" w:eastAsia="Arial" w:hAnsi="Arial" w:cs="Arial"/>
          <w:color w:val="000000"/>
        </w:rPr>
        <w:t>historicised</w:t>
      </w:r>
      <w:r>
        <w:rPr>
          <w:rFonts w:ascii="Arial" w:eastAsia="Arial" w:hAnsi="Arial" w:cs="Arial"/>
          <w:color w:val="000000"/>
        </w:rPr>
        <w:t xml:space="preserve"> figures who do not reflect modern US society. Here, these dominant versions of history are not neutral; rather, they reflect power structures around the settler colonial project that seeks to erase Indigenous sovereignty while rebranding it in terms digestible to non-Indigenous audiences (Bossy, Frank 2021). </w:t>
      </w:r>
      <w:r>
        <w:rPr>
          <w:rFonts w:ascii="Arial" w:eastAsia="Arial" w:hAnsi="Arial" w:cs="Arial"/>
        </w:rPr>
        <w:t xml:space="preserve">In this, the historical telling of the Seminole and Miccosukee functions within a larger settler project that works to erase Indigenous sovereignty and assimilate Indigenous identities into the settler state-sanctioned homogeneous identity. </w:t>
      </w:r>
    </w:p>
    <w:p w14:paraId="75CB572E" w14:textId="77777777" w:rsidR="009F0C56" w:rsidRDefault="00653842">
      <w:pPr>
        <w:spacing w:before="280" w:after="280" w:line="240" w:lineRule="auto"/>
        <w:rPr>
          <w:rFonts w:ascii="Arial" w:eastAsia="Arial" w:hAnsi="Arial" w:cs="Arial"/>
        </w:rPr>
      </w:pPr>
      <w:r>
        <w:rPr>
          <w:rFonts w:ascii="Arial" w:eastAsia="Arial" w:hAnsi="Arial" w:cs="Arial"/>
        </w:rPr>
        <w:t>Ultimately, to eliminate Indigenous presence physically, politically, or symbolically</w:t>
      </w:r>
      <w:r>
        <w:rPr>
          <w:rFonts w:ascii="Arial" w:eastAsia="Arial" w:hAnsi="Arial" w:cs="Arial"/>
          <w:color w:val="008000"/>
        </w:rPr>
        <w:t xml:space="preserve"> </w:t>
      </w:r>
      <w:r>
        <w:rPr>
          <w:rFonts w:ascii="Arial" w:eastAsia="Arial" w:hAnsi="Arial" w:cs="Arial"/>
          <w:color w:val="000000"/>
        </w:rPr>
        <w:t xml:space="preserve">within the settler spatial visual landscape (Wolfe 2016). However, in </w:t>
      </w:r>
      <w:r>
        <w:rPr>
          <w:rFonts w:ascii="Arial" w:eastAsia="Arial" w:hAnsi="Arial" w:cs="Arial"/>
        </w:rPr>
        <w:t>response to this historical and contemporary attack, both communities have actively challenged these representations. Asserting a history and pedagogy from their oral traditions, lived experiences, and self-defined political futures. In this, their resistance is not only historical but epistemological, a refusal to let others tell their story for them that distorts them as peripheral in the creation of Florida today (Miccosukee 2025, Seminole 2025). Thus, to have grounded research in critiquing settler dist</w:t>
      </w:r>
      <w:r>
        <w:rPr>
          <w:rFonts w:ascii="Arial" w:eastAsia="Arial" w:hAnsi="Arial" w:cs="Arial"/>
        </w:rPr>
        <w:t xml:space="preserve">ortions of Seminole and Miccosukee representations in contemporary society, a history of the Seminole needs to be asserted that explores the biases and contestations in their history, as this will help later in the analysis. </w:t>
      </w:r>
    </w:p>
    <w:p w14:paraId="14DC6697" w14:textId="77777777" w:rsidR="009F0C56" w:rsidRDefault="00653842">
      <w:pPr>
        <w:pStyle w:val="Heading2"/>
        <w:rPr>
          <w:rFonts w:ascii="Arial" w:eastAsia="Arial" w:hAnsi="Arial" w:cs="Arial"/>
        </w:rPr>
      </w:pPr>
      <w:bookmarkStart w:id="16" w:name="_Toc240965947"/>
      <w:r>
        <w:rPr>
          <w:rFonts w:ascii="Arial" w:eastAsia="Arial" w:hAnsi="Arial" w:cs="Arial"/>
        </w:rPr>
        <w:t>2.1 Creation as Political Geography</w:t>
      </w:r>
      <w:bookmarkEnd w:id="16"/>
    </w:p>
    <w:p w14:paraId="66587177" w14:textId="06C382AF" w:rsidR="009F0C56" w:rsidRDefault="00653842">
      <w:pPr>
        <w:spacing w:before="280" w:after="280" w:line="240" w:lineRule="auto"/>
        <w:rPr>
          <w:rFonts w:ascii="Arial" w:eastAsia="Arial" w:hAnsi="Arial" w:cs="Arial"/>
        </w:rPr>
      </w:pPr>
      <w:r>
        <w:rPr>
          <w:rFonts w:ascii="Arial" w:eastAsia="Arial" w:hAnsi="Arial" w:cs="Arial"/>
        </w:rPr>
        <w:t>A foundational point of decolonial return in creating a history of the Seminole and Miccosukee is beginning their history with the creation story as told by Betty Mae Jumper, the first woman elected Tribal Chief of the Seminole Tribe of Florida and a revered storyteller</w:t>
      </w:r>
      <w:r w:rsidR="00CF2C48">
        <w:rPr>
          <w:rFonts w:ascii="Arial" w:eastAsia="Arial" w:hAnsi="Arial" w:cs="Arial"/>
        </w:rPr>
        <w:t>.</w:t>
      </w:r>
      <w:r>
        <w:rPr>
          <w:rFonts w:ascii="Arial" w:eastAsia="Arial" w:hAnsi="Arial" w:cs="Arial"/>
          <w:vertAlign w:val="superscript"/>
        </w:rPr>
        <w:footnoteReference w:id="1"/>
      </w:r>
      <w:r>
        <w:rPr>
          <w:rFonts w:ascii="Arial" w:eastAsia="Arial" w:hAnsi="Arial" w:cs="Arial"/>
          <w:color w:val="008000"/>
        </w:rPr>
        <w:t xml:space="preserve">. </w:t>
      </w:r>
      <w:r>
        <w:rPr>
          <w:rFonts w:ascii="Arial" w:eastAsia="Arial" w:hAnsi="Arial" w:cs="Arial"/>
          <w:color w:val="000000"/>
        </w:rPr>
        <w:t>According to Jumper, the Creator placed the first people in the swamps of Florida, teaching them not to conquer the land but to live in balance with it. The swamps, often framed by settlers as inhospitable and backward, were instead seen as protection, kin, and home. This story is not just cultural</w:t>
      </w:r>
      <w:r w:rsidR="00CF2C48">
        <w:rPr>
          <w:rFonts w:ascii="Arial" w:eastAsia="Arial" w:hAnsi="Arial" w:cs="Arial"/>
          <w:color w:val="000000"/>
        </w:rPr>
        <w:t>;</w:t>
      </w:r>
      <w:r>
        <w:rPr>
          <w:rFonts w:ascii="Arial" w:eastAsia="Arial" w:hAnsi="Arial" w:cs="Arial"/>
          <w:color w:val="000000"/>
        </w:rPr>
        <w:t xml:space="preserve"> it is political. It directly contradicts settler colonial ideologies that treat land as a commodity and wilderness as something to be tamed. Jumper’s narrative reveals the Everglades not as an obstacle to “civili</w:t>
      </w:r>
      <w:r>
        <w:rPr>
          <w:rFonts w:ascii="Arial" w:eastAsia="Arial" w:hAnsi="Arial" w:cs="Arial"/>
        </w:rPr>
        <w:t>sation,” but as the conditions of its refusal.</w:t>
      </w:r>
    </w:p>
    <w:p w14:paraId="6A05CE6D" w14:textId="77777777" w:rsidR="009F0C56" w:rsidRDefault="00653842">
      <w:pPr>
        <w:pStyle w:val="Heading2"/>
        <w:rPr>
          <w:rFonts w:ascii="Arial" w:eastAsia="Arial" w:hAnsi="Arial" w:cs="Arial"/>
        </w:rPr>
      </w:pPr>
      <w:bookmarkStart w:id="17" w:name="_Toc240965948"/>
      <w:r>
        <w:rPr>
          <w:rFonts w:ascii="Arial" w:eastAsia="Arial" w:hAnsi="Arial" w:cs="Arial"/>
        </w:rPr>
        <w:lastRenderedPageBreak/>
        <w:t>2.2 Settler Colonialism’s Logics: Erasure, Assimilation, Elimination</w:t>
      </w:r>
      <w:bookmarkEnd w:id="17"/>
    </w:p>
    <w:p w14:paraId="7BCD1086"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Settler colonialism differs from classic colonialism in that it is not simply about exploitation; it is about replacement. As theorised by Wolfe and extended by scholars like Veracini (2014), settler colonialism operates through three primary logics: Erasure, making Indigenous people disappear from the narrative, whether through denial of their presence, misrepresentation, or rewriting history. Assimilation, absorbing Indigenous identity into the settler body politic, is conditional on the abandonment of la</w:t>
      </w:r>
      <w:r>
        <w:rPr>
          <w:rFonts w:ascii="Arial" w:eastAsia="Arial" w:hAnsi="Arial" w:cs="Arial"/>
          <w:color w:val="000000"/>
        </w:rPr>
        <w:t>nguage, culture, land ties, and governance. Elimination, physically or bureaucratically removing Indigenous people from their land through war, relocation, termination policy, or legal fiction. Each of these strategies has shaped the lives of the Seminole and Miccosukee nations for centuries. These tactics are not historical relics; they are active, ongoing processes.</w:t>
      </w:r>
    </w:p>
    <w:p w14:paraId="04FFD839" w14:textId="77777777" w:rsidR="009F0C56" w:rsidRDefault="00653842">
      <w:pPr>
        <w:pStyle w:val="Heading2"/>
        <w:rPr>
          <w:rFonts w:ascii="Arial" w:eastAsia="Arial" w:hAnsi="Arial" w:cs="Arial"/>
        </w:rPr>
      </w:pPr>
      <w:bookmarkStart w:id="18" w:name="_Toc240965949"/>
      <w:r>
        <w:rPr>
          <w:rFonts w:ascii="Arial" w:eastAsia="Arial" w:hAnsi="Arial" w:cs="Arial"/>
        </w:rPr>
        <w:t>2.3 Bias in the Archive and the Function of Screen Memory</w:t>
      </w:r>
      <w:bookmarkEnd w:id="18"/>
    </w:p>
    <w:p w14:paraId="6616B9C7" w14:textId="7F8EFDC4" w:rsidR="009F0C56" w:rsidRDefault="00653842">
      <w:pPr>
        <w:spacing w:before="280" w:after="280" w:line="240" w:lineRule="auto"/>
        <w:rPr>
          <w:rFonts w:ascii="Arial" w:eastAsia="Arial" w:hAnsi="Arial" w:cs="Arial"/>
        </w:rPr>
      </w:pPr>
      <w:r>
        <w:rPr>
          <w:rFonts w:ascii="Arial" w:eastAsia="Arial" w:hAnsi="Arial" w:cs="Arial"/>
        </w:rPr>
        <w:t>As noted</w:t>
      </w:r>
      <w:r w:rsidR="00CF2C48">
        <w:rPr>
          <w:rFonts w:ascii="Arial" w:eastAsia="Arial" w:hAnsi="Arial" w:cs="Arial"/>
        </w:rPr>
        <w:t>,</w:t>
      </w:r>
      <w:r>
        <w:rPr>
          <w:rFonts w:ascii="Arial" w:eastAsia="Arial" w:hAnsi="Arial" w:cs="Arial"/>
        </w:rPr>
        <w:t xml:space="preserve"> most historical accounts of the Seminole and Miccosukee, especially early histories</w:t>
      </w:r>
      <w:r w:rsidR="00CF2C48">
        <w:rPr>
          <w:rFonts w:ascii="Arial" w:eastAsia="Arial" w:hAnsi="Arial" w:cs="Arial"/>
        </w:rPr>
        <w:t>,</w:t>
      </w:r>
      <w:r>
        <w:rPr>
          <w:rFonts w:ascii="Arial" w:eastAsia="Arial" w:hAnsi="Arial" w:cs="Arial"/>
        </w:rPr>
        <w:t xml:space="preserve"> were written by settler outsiders, military officers, government officials, anthropologists, or settlers. These accounts often painted them as either “noble savages” destined to vanish or as “hostile threats” to be subdued (Boyd, Harris, 1951). The effect is the same: dehumanisation and control. Scholars such as West (2008) and many within the Seminole community have worked to challenge this archive, using oral histories and tribal documentation to reconstruct Indigenous perspectives that settler records d</w:t>
      </w:r>
      <w:r>
        <w:rPr>
          <w:rFonts w:ascii="Arial" w:eastAsia="Arial" w:hAnsi="Arial" w:cs="Arial"/>
        </w:rPr>
        <w:t xml:space="preserve">eliberately excluded (West, 2008; Seminole, 2023). This resistance engages directly with what Veracini calls </w:t>
      </w:r>
      <w:r>
        <w:rPr>
          <w:rFonts w:ascii="Arial" w:eastAsia="Arial" w:hAnsi="Arial" w:cs="Arial"/>
          <w:color w:val="000000"/>
        </w:rPr>
        <w:t>“screen memory</w:t>
      </w:r>
      <w:r>
        <w:rPr>
          <w:rFonts w:ascii="Arial" w:eastAsia="Arial" w:hAnsi="Arial" w:cs="Arial"/>
          <w:b/>
          <w:bCs/>
          <w:color w:val="000000"/>
        </w:rPr>
        <w:t>”</w:t>
      </w:r>
      <w:r>
        <w:rPr>
          <w:rFonts w:ascii="Arial" w:eastAsia="Arial" w:hAnsi="Arial" w:cs="Arial"/>
          <w:color w:val="000000"/>
        </w:rPr>
        <w:t xml:space="preserve">, </w:t>
      </w:r>
      <w:r>
        <w:rPr>
          <w:rFonts w:ascii="Arial" w:eastAsia="Arial" w:hAnsi="Arial" w:cs="Arial"/>
        </w:rPr>
        <w:t>the selective forgetting and remembering that allows settler societies to romanticise Indigenous resistance of the past while ignoring Indigenous political realities in the present (Veracini 2010).</w:t>
      </w:r>
    </w:p>
    <w:p w14:paraId="10E1F48B" w14:textId="77777777" w:rsidR="009F0C56" w:rsidRDefault="00653842">
      <w:pPr>
        <w:pStyle w:val="Heading2"/>
        <w:rPr>
          <w:rFonts w:ascii="Arial" w:eastAsia="Arial" w:hAnsi="Arial" w:cs="Arial"/>
        </w:rPr>
      </w:pPr>
      <w:bookmarkStart w:id="19" w:name="_Toc240965950"/>
      <w:r>
        <w:rPr>
          <w:rFonts w:ascii="Arial" w:eastAsia="Arial" w:hAnsi="Arial" w:cs="Arial"/>
        </w:rPr>
        <w:t>2.4 Ethnogenesis and Early Resistance</w:t>
      </w:r>
      <w:bookmarkEnd w:id="19"/>
    </w:p>
    <w:p w14:paraId="476F2587" w14:textId="77777777" w:rsidR="009F0C56" w:rsidRDefault="00653842">
      <w:pPr>
        <w:spacing w:before="280" w:after="280" w:line="240" w:lineRule="auto"/>
        <w:rPr>
          <w:rFonts w:ascii="Arial" w:eastAsia="Arial" w:hAnsi="Arial" w:cs="Arial"/>
        </w:rPr>
      </w:pPr>
      <w:r>
        <w:rPr>
          <w:rFonts w:ascii="Arial" w:eastAsia="Arial" w:hAnsi="Arial" w:cs="Arial"/>
        </w:rPr>
        <w:t>The Seminole emerged as a distinct people in the 18th century through a process of ethnogenesis, shaped by colonial pressures. Muscogee (Creek) groups fleeing violence and displacement moved into Florida and merged with local Indigenous populations, including the Tequesta, Calusa, and Apalachee. In adapting to the swamps and coastal terrain, they forged new political and cultural forms distinct from other Southeastern nations (McReynolds, 1957; Seminole, 2023). One of the most significant aspects of Seminol</w:t>
      </w:r>
      <w:r>
        <w:rPr>
          <w:rFonts w:ascii="Arial" w:eastAsia="Arial" w:hAnsi="Arial" w:cs="Arial"/>
        </w:rPr>
        <w:t xml:space="preserve">e history is their relationship with escaped African slaves. As early as the 17th century, Florida became a refuge for enslaved Africans fleeing British and American plantations. </w:t>
      </w:r>
    </w:p>
    <w:p w14:paraId="0DFF8C41" w14:textId="26263826" w:rsidR="009F0C56" w:rsidRDefault="00653842">
      <w:pPr>
        <w:spacing w:before="280" w:after="280" w:line="240" w:lineRule="auto"/>
        <w:rPr>
          <w:rFonts w:ascii="Arial" w:eastAsia="Arial" w:hAnsi="Arial" w:cs="Arial"/>
        </w:rPr>
      </w:pPr>
      <w:r>
        <w:rPr>
          <w:rFonts w:ascii="Arial" w:eastAsia="Arial" w:hAnsi="Arial" w:cs="Arial"/>
        </w:rPr>
        <w:t>Many of these individuals found sanctuary among the Seminole, forming what became known as the Black Seminoles. These communities lived alongside the Seminole, adopting elements of their language and culture while also maintaining distinct African traditions (Kokomoor 2009). However, the relationship between the Seminole and Black Seminoles remains a subject of debate. In this</w:t>
      </w:r>
      <w:r w:rsidR="00CF2C48">
        <w:rPr>
          <w:rFonts w:ascii="Arial" w:eastAsia="Arial" w:hAnsi="Arial" w:cs="Arial"/>
        </w:rPr>
        <w:t xml:space="preserve"> regard</w:t>
      </w:r>
      <w:r>
        <w:rPr>
          <w:rFonts w:ascii="Arial" w:eastAsia="Arial" w:hAnsi="Arial" w:cs="Arial"/>
        </w:rPr>
        <w:t xml:space="preserve">, some historical accounts have suggested that the Seminole practised a form of servitude, </w:t>
      </w:r>
      <w:r>
        <w:rPr>
          <w:rFonts w:ascii="Arial" w:eastAsia="Arial" w:hAnsi="Arial" w:cs="Arial"/>
        </w:rPr>
        <w:lastRenderedPageBreak/>
        <w:t>where Black Seminoles lived under their protection but paid tribute in labour or goods. However, this arrangement differed significantly from chattel slavery as practised by European colonists. Instead of treating Black Seminoles as property, the Seminoles generally regarded them as allies and community members. This distinction is crucial, as it challenges Western narratives that have attempted to conflate Seminole-A</w:t>
      </w:r>
      <w:r>
        <w:rPr>
          <w:rFonts w:ascii="Arial" w:eastAsia="Arial" w:hAnsi="Arial" w:cs="Arial"/>
        </w:rPr>
        <w:t xml:space="preserve">frican relations with European-style slavery (Braund, 1991). </w:t>
      </w:r>
    </w:p>
    <w:p w14:paraId="1FB455C8" w14:textId="77777777" w:rsidR="009F0C56" w:rsidRDefault="00653842">
      <w:pPr>
        <w:spacing w:before="280" w:after="280" w:line="240" w:lineRule="auto"/>
        <w:rPr>
          <w:rFonts w:ascii="Arial" w:eastAsia="Arial" w:hAnsi="Arial" w:cs="Arial"/>
        </w:rPr>
      </w:pPr>
      <w:r>
        <w:rPr>
          <w:rFonts w:ascii="Arial" w:eastAsia="Arial" w:hAnsi="Arial" w:cs="Arial"/>
        </w:rPr>
        <w:t>This alliance, however, was intolerable to the U.S. settler state. The existence of an Indigenous community that offered sanctuary to fugitive slaves directly threatened the racial and territorial order the U.S. was trying to impose, and with this, the U.S. government sought to exploit these racial dynamics to weaken Seminole resistance. By the early 19th century, American officials began targeting Black Seminoles, attempting to re-enslave them or separate them from their Indigenous allies. This strategy pl</w:t>
      </w:r>
      <w:r>
        <w:rPr>
          <w:rFonts w:ascii="Arial" w:eastAsia="Arial" w:hAnsi="Arial" w:cs="Arial"/>
        </w:rPr>
        <w:t>ayed a key role in the conflicts that followed, particularly in the Seminole Wars (Kokomoor 2009).</w:t>
      </w:r>
    </w:p>
    <w:p w14:paraId="644BAE06" w14:textId="77777777" w:rsidR="009F0C56" w:rsidRDefault="00653842">
      <w:pPr>
        <w:pStyle w:val="Heading2"/>
        <w:rPr>
          <w:rFonts w:ascii="Arial" w:eastAsia="Arial" w:hAnsi="Arial" w:cs="Arial"/>
        </w:rPr>
      </w:pPr>
      <w:bookmarkStart w:id="20" w:name="_Toc240965951"/>
      <w:r>
        <w:rPr>
          <w:rFonts w:ascii="Arial" w:eastAsia="Arial" w:hAnsi="Arial" w:cs="Arial"/>
        </w:rPr>
        <w:t>2.5 The Seminole Wars: Refusing Elimination</w:t>
      </w:r>
      <w:bookmarkEnd w:id="20"/>
    </w:p>
    <w:p w14:paraId="46600A40" w14:textId="77777777" w:rsidR="009F0C56" w:rsidRDefault="00653842">
      <w:pPr>
        <w:spacing w:before="280" w:after="280" w:line="240" w:lineRule="auto"/>
        <w:rPr>
          <w:rFonts w:ascii="Arial" w:eastAsia="Arial" w:hAnsi="Arial" w:cs="Arial"/>
        </w:rPr>
      </w:pPr>
      <w:r>
        <w:rPr>
          <w:rFonts w:ascii="Arial" w:eastAsia="Arial" w:hAnsi="Arial" w:cs="Arial"/>
        </w:rPr>
        <w:t>The U.S. responded to Seminole sovereignty with war. The First Seminole War (1817–1818), led by Andrew Jackson, targeted not only the Seminole but also their Black allies. Villages were destroyed, and the U.S. invaded Spanish Florida under the guise of “security,” initiating what became a century-long campaign to eradicate Indigenous presence in the region (Oertel 2023).</w:t>
      </w:r>
    </w:p>
    <w:p w14:paraId="6D760C91" w14:textId="6652AABA" w:rsidR="009F0C56" w:rsidRDefault="00653842">
      <w:pPr>
        <w:spacing w:before="280" w:after="280" w:line="240" w:lineRule="auto"/>
        <w:rPr>
          <w:rFonts w:ascii="Arial" w:eastAsia="Arial" w:hAnsi="Arial" w:cs="Arial"/>
        </w:rPr>
      </w:pPr>
      <w:r>
        <w:rPr>
          <w:rFonts w:ascii="Arial" w:eastAsia="Arial" w:hAnsi="Arial" w:cs="Arial"/>
        </w:rPr>
        <w:t xml:space="preserve">The Second Seminole War (1835–1842), the most prolonged and expensive Indian war in U.S. history, was triggered by the </w:t>
      </w:r>
      <w:r w:rsidR="00CF2C48">
        <w:rPr>
          <w:rFonts w:ascii="Arial" w:eastAsia="Arial" w:hAnsi="Arial" w:cs="Arial"/>
        </w:rPr>
        <w:t>Seminoles’</w:t>
      </w:r>
      <w:r>
        <w:rPr>
          <w:rFonts w:ascii="Arial" w:eastAsia="Arial" w:hAnsi="Arial" w:cs="Arial"/>
        </w:rPr>
        <w:t xml:space="preserve"> refusal to accept removal under the Indian Removal Act. Using guerrilla tactics and the terrain to their advantage, leaders such as Osceola, Abiaka, Coacoochee, and Micanopy waged a brutal war of resistance. Though many were eventually captured or killed, a small group evaded removal by retreating into the Everglades (Seminole 2025).</w:t>
      </w:r>
    </w:p>
    <w:p w14:paraId="64CD1647" w14:textId="77777777" w:rsidR="009F0C56" w:rsidRDefault="00653842">
      <w:pPr>
        <w:spacing w:before="280" w:after="280" w:line="240" w:lineRule="auto"/>
        <w:rPr>
          <w:rFonts w:ascii="Arial" w:eastAsia="Arial" w:hAnsi="Arial" w:cs="Arial"/>
        </w:rPr>
      </w:pPr>
      <w:r>
        <w:rPr>
          <w:rFonts w:ascii="Arial" w:eastAsia="Arial" w:hAnsi="Arial" w:cs="Arial"/>
        </w:rPr>
        <w:t xml:space="preserve">The Third Seminole War (1855–1858) was the U.S.'s final attempt to complete the project of removal. Fewer than 400 Seminoles remained. Still, their survival and refusal to be relocated challenged the settler assumption of Indigenous inevitability. Their resistance was not symbolic; </w:t>
      </w:r>
      <w:r>
        <w:rPr>
          <w:rFonts w:ascii="Arial" w:eastAsia="Arial" w:hAnsi="Arial" w:cs="Arial"/>
          <w:color w:val="000000"/>
        </w:rPr>
        <w:t xml:space="preserve">it was the refusal of elimination itself </w:t>
      </w:r>
      <w:r>
        <w:rPr>
          <w:rFonts w:ascii="Arial" w:eastAsia="Arial" w:hAnsi="Arial" w:cs="Arial"/>
        </w:rPr>
        <w:t>(Porter 1951).</w:t>
      </w:r>
    </w:p>
    <w:p w14:paraId="2ADC8885" w14:textId="77777777" w:rsidR="009F0C56" w:rsidRDefault="00653842">
      <w:pPr>
        <w:pStyle w:val="Heading2"/>
        <w:rPr>
          <w:rFonts w:ascii="Arial" w:eastAsia="Arial" w:hAnsi="Arial" w:cs="Arial"/>
        </w:rPr>
      </w:pPr>
      <w:bookmarkStart w:id="21" w:name="_Toc240965952"/>
      <w:r>
        <w:rPr>
          <w:rFonts w:ascii="Arial" w:eastAsia="Arial" w:hAnsi="Arial" w:cs="Arial"/>
        </w:rPr>
        <w:t>2.6 The Buckskin Declaration: Reclaiming Sovereignty</w:t>
      </w:r>
      <w:bookmarkEnd w:id="21"/>
    </w:p>
    <w:p w14:paraId="696E3147"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 xml:space="preserve">A century later, the settler state tried a different tactic: termination. In 1954, the U.S. moved to strip federal recognition from tribes it considered economically “successful” or politically compliant. In response, Miccosukee leaders delivered the Buckskin Declaration, handwritten on deerskin, to President Eisenhower. It was a powerful rejection of assimilation, asserting the Miccosukee’s right to their land, language, and governance. This act paralleled the Seminole Tribe of Florida’s strategy. Through </w:t>
      </w:r>
      <w:r>
        <w:rPr>
          <w:rFonts w:ascii="Arial" w:eastAsia="Arial" w:hAnsi="Arial" w:cs="Arial"/>
          <w:color w:val="000000"/>
        </w:rPr>
        <w:t>adopting a constitutional structure modelled after U.S. systems, not as capitulation, but as survival, they secured federal recognition in 1957 (Cattelino, 2008). These acts were not about embracing settler governance but using it tactically to block the logic of elimination.</w:t>
      </w:r>
    </w:p>
    <w:p w14:paraId="43655E43" w14:textId="77777777" w:rsidR="009F0C56" w:rsidRDefault="00653842">
      <w:pPr>
        <w:pStyle w:val="Heading2"/>
        <w:rPr>
          <w:rFonts w:ascii="Arial" w:eastAsia="Arial" w:hAnsi="Arial" w:cs="Arial"/>
        </w:rPr>
      </w:pPr>
      <w:bookmarkStart w:id="22" w:name="_Toc240965953"/>
      <w:r>
        <w:rPr>
          <w:rFonts w:ascii="Arial" w:eastAsia="Arial" w:hAnsi="Arial" w:cs="Arial"/>
        </w:rPr>
        <w:lastRenderedPageBreak/>
        <w:t>2.7 Tourism, Gaming, and the “Successful Indian” Trap</w:t>
      </w:r>
      <w:bookmarkEnd w:id="22"/>
    </w:p>
    <w:p w14:paraId="22DE18A4" w14:textId="77777777" w:rsidR="009F0C56" w:rsidRDefault="00653842">
      <w:pPr>
        <w:pBdr>
          <w:top w:val="nil"/>
          <w:left w:val="nil"/>
          <w:bottom w:val="nil"/>
          <w:right w:val="nil"/>
          <w:between w:val="nil"/>
        </w:pBdr>
        <w:spacing w:before="240" w:after="240" w:line="240" w:lineRule="auto"/>
        <w:rPr>
          <w:rFonts w:ascii="Arial" w:eastAsia="Arial" w:hAnsi="Arial" w:cs="Arial"/>
          <w:color w:val="000000"/>
        </w:rPr>
      </w:pPr>
      <w:r>
        <w:rPr>
          <w:rFonts w:ascii="Arial" w:eastAsia="Arial" w:hAnsi="Arial" w:cs="Arial"/>
          <w:color w:val="000000"/>
        </w:rPr>
        <w:t>Following the wars, the Seminole faced ongoing marginalisation as Florida experienced rapid industrialisation and urbanisation. Wetlands were drained, railroads and highways were constructed, and settler populations grew, further eroding Seminole land. In response to these challenges, the U.S. government established the Brighton Reservation in 1938, but mistrust between the Seminole and federal authorities delayed relocation efforts. Eventually, Creek missionaries encouraged movement onto the reservation, w</w:t>
      </w:r>
      <w:r>
        <w:rPr>
          <w:rFonts w:ascii="Arial" w:eastAsia="Arial" w:hAnsi="Arial" w:cs="Arial"/>
          <w:color w:val="000000"/>
        </w:rPr>
        <w:t xml:space="preserve">here federal programs introduced cattle farming and tourism-based industries (BIA, 1955). </w:t>
      </w:r>
    </w:p>
    <w:p w14:paraId="3D641F6C" w14:textId="77777777" w:rsidR="009F0C56" w:rsidRDefault="00653842">
      <w:pPr>
        <w:pBdr>
          <w:top w:val="nil"/>
          <w:left w:val="nil"/>
          <w:bottom w:val="nil"/>
          <w:right w:val="nil"/>
          <w:between w:val="nil"/>
        </w:pBdr>
        <w:spacing w:before="240" w:after="240" w:line="240" w:lineRule="auto"/>
        <w:rPr>
          <w:rFonts w:ascii="Arial" w:eastAsia="Arial" w:hAnsi="Arial" w:cs="Arial"/>
          <w:color w:val="000000"/>
        </w:rPr>
      </w:pPr>
      <w:r>
        <w:rPr>
          <w:rFonts w:ascii="Arial" w:eastAsia="Arial" w:hAnsi="Arial" w:cs="Arial"/>
          <w:color w:val="000000"/>
        </w:rPr>
        <w:t>As Florida’s economy shifted towards tourism, the Seminole and Miccosukee turned to self-representation to generate income while asserting control over their depictions. Tourists were attracted to Seminole villages, where they bought crafts and watched alligator wrestling performances. These representations, though often commodified, permitted the Seminole to reclaim visibility and agency within the limited frameworks set by the settler state. By the 1970s, the Seminole Tribe of Florida opened the first tri</w:t>
      </w:r>
      <w:r>
        <w:rPr>
          <w:rFonts w:ascii="Arial" w:eastAsia="Arial" w:hAnsi="Arial" w:cs="Arial"/>
          <w:color w:val="000000"/>
        </w:rPr>
        <w:t>bal bingo hall, eventually evolving into a global gaming empire. Their 2006 purchase of the Hard Rock International franchise represented a significant moment of economic autonomy. Revenues exceeded $20 billion by 2005 (Cattelino, 2008).</w:t>
      </w:r>
    </w:p>
    <w:p w14:paraId="451655E4" w14:textId="4A708997" w:rsidR="009F0C56" w:rsidRDefault="00653842">
      <w:pPr>
        <w:pBdr>
          <w:top w:val="nil"/>
          <w:left w:val="nil"/>
          <w:bottom w:val="nil"/>
          <w:right w:val="nil"/>
          <w:between w:val="nil"/>
        </w:pBdr>
        <w:spacing w:before="240" w:after="240" w:line="240" w:lineRule="auto"/>
        <w:rPr>
          <w:rFonts w:ascii="Arial" w:eastAsia="Arial" w:hAnsi="Arial" w:cs="Arial"/>
          <w:color w:val="000000"/>
        </w:rPr>
      </w:pPr>
      <w:r>
        <w:rPr>
          <w:rFonts w:ascii="Arial" w:eastAsia="Arial" w:hAnsi="Arial" w:cs="Arial"/>
          <w:color w:val="000000"/>
        </w:rPr>
        <w:t>However, success brought backlash. Settler resentment portrayed Seminole wealth as unwarranted, reviving old stereotypes of the “lazy Indian,” now repackaged as the “greedy Indian” (Cattelino</w:t>
      </w:r>
      <w:r w:rsidR="00CF2C48">
        <w:rPr>
          <w:rFonts w:ascii="Arial" w:eastAsia="Arial" w:hAnsi="Arial" w:cs="Arial"/>
          <w:color w:val="000000"/>
        </w:rPr>
        <w:t>,</w:t>
      </w:r>
      <w:r>
        <w:rPr>
          <w:rFonts w:ascii="Arial" w:eastAsia="Arial" w:hAnsi="Arial" w:cs="Arial"/>
          <w:color w:val="000000"/>
        </w:rPr>
        <w:t xml:space="preserve"> 2008). This created the contradiction of being praised when impoverished but criticised when affluent, reflecting Bruyneel's idea of the "no-win position" of Indigenous peoples within settler society (Bruyneel, 2012). Along with Veracini’s screen memory, where Indigenous presence is only accepted and engaged with when it matches the criteria of the settler state. As can be seen with the gaming ventures of the Seminole and Miccosukee, which are often perceived as proof that these communities have “made it,”</w:t>
      </w:r>
      <w:r>
        <w:rPr>
          <w:rFonts w:ascii="Arial" w:eastAsia="Arial" w:hAnsi="Arial" w:cs="Arial"/>
          <w:color w:val="000000"/>
        </w:rPr>
        <w:t xml:space="preserve"> creating a palatable success story for settler consumption (Aldred 1993). </w:t>
      </w:r>
    </w:p>
    <w:p w14:paraId="04E9D5A3" w14:textId="58FA9C1C" w:rsidR="009F0C56" w:rsidRDefault="00653842">
      <w:pPr>
        <w:pBdr>
          <w:top w:val="nil"/>
          <w:left w:val="nil"/>
          <w:bottom w:val="nil"/>
          <w:right w:val="nil"/>
          <w:between w:val="nil"/>
        </w:pBdr>
        <w:spacing w:before="240" w:after="240" w:line="240" w:lineRule="auto"/>
        <w:rPr>
          <w:rFonts w:ascii="Arial" w:eastAsia="Arial" w:hAnsi="Arial" w:cs="Arial"/>
          <w:color w:val="000000"/>
        </w:rPr>
      </w:pPr>
      <w:r>
        <w:rPr>
          <w:rFonts w:ascii="Arial" w:eastAsia="Arial" w:hAnsi="Arial" w:cs="Arial"/>
          <w:color w:val="000000"/>
        </w:rPr>
        <w:t xml:space="preserve">However, this narrative obscures the structural conditions that necessitated such economic manoeuvres in the first place. It commodifies culture while sanitising the colonial violence that persists today in the shape of land disputes, jurisdictional challenges, and cultural appropriation. In this context, their success has not been without controversy. Many Florida citizens resent the </w:t>
      </w:r>
      <w:r w:rsidR="00CF2C48">
        <w:rPr>
          <w:rFonts w:ascii="Arial" w:eastAsia="Arial" w:hAnsi="Arial" w:cs="Arial"/>
          <w:color w:val="000000"/>
        </w:rPr>
        <w:t>Seminoles’</w:t>
      </w:r>
      <w:r>
        <w:rPr>
          <w:rFonts w:ascii="Arial" w:eastAsia="Arial" w:hAnsi="Arial" w:cs="Arial"/>
          <w:color w:val="000000"/>
        </w:rPr>
        <w:t xml:space="preserve"> economic power, perpetuating stereotypes of Indigenous wealth being unwarranted and stolen due to tax issues (Cattelino 2008). Further aligning with Bruyneel’s idea of the non-win position, where Indigenous people face criticism regardless of whether they remain impoverished or attain economic success (Bruyneel, 2021). </w:t>
      </w:r>
    </w:p>
    <w:p w14:paraId="19B57E79" w14:textId="77777777" w:rsidR="009F0C56" w:rsidRDefault="00653842">
      <w:pPr>
        <w:pBdr>
          <w:top w:val="nil"/>
          <w:left w:val="nil"/>
          <w:bottom w:val="nil"/>
          <w:right w:val="nil"/>
          <w:between w:val="nil"/>
        </w:pBdr>
        <w:spacing w:before="240" w:after="240" w:line="240" w:lineRule="auto"/>
        <w:rPr>
          <w:rFonts w:ascii="Arial" w:eastAsia="Arial" w:hAnsi="Arial" w:cs="Arial"/>
          <w:color w:val="000000"/>
          <w:sz w:val="20"/>
          <w:szCs w:val="20"/>
        </w:rPr>
      </w:pPr>
      <w:r>
        <w:rPr>
          <w:rFonts w:ascii="Arial" w:eastAsia="Arial" w:hAnsi="Arial" w:cs="Arial"/>
        </w:rPr>
        <w:t>Despite this, the Seminole continue to assert their sovereignty, investing in cultural revitalisation efforts such as language programs and the Ah-Tah-Thi</w:t>
      </w:r>
      <w:r>
        <w:rPr>
          <w:rFonts w:ascii="Arial" w:eastAsia="Arial" w:hAnsi="Arial" w:cs="Arial"/>
          <w:color w:val="008000"/>
        </w:rPr>
        <w:t>-</w:t>
      </w:r>
      <w:r>
        <w:rPr>
          <w:rFonts w:ascii="Arial" w:eastAsia="Arial" w:hAnsi="Arial" w:cs="Arial"/>
          <w:color w:val="000000"/>
        </w:rPr>
        <w:t xml:space="preserve">Ki Museum, while the Miccosukee create conservation camps and promote environmental days. Both nations push back against the homogenising discourse of the single Indian that is constructed through the likes of Veracini’s screen memory, where these settler relations view the Seminole as celebrated symbols of history and cultures as long as they remain marketable, non-threatening, and depoliticised (Sengar 2023). Thus, </w:t>
      </w:r>
      <w:r>
        <w:rPr>
          <w:rFonts w:ascii="Arial" w:eastAsia="Arial" w:hAnsi="Arial" w:cs="Arial"/>
          <w:color w:val="000000"/>
        </w:rPr>
        <w:lastRenderedPageBreak/>
        <w:t>their success in gaming becomes a screen memory that allows the public to overlook the wars</w:t>
      </w:r>
      <w:r>
        <w:rPr>
          <w:rFonts w:ascii="Arial" w:eastAsia="Arial" w:hAnsi="Arial" w:cs="Arial"/>
          <w:color w:val="000000"/>
        </w:rPr>
        <w:t>, the land theft, and the ongoing jurisdictional battles, rather than presenting the Seminole and Miccosukee in a palatable, easily negotiable form of acceptable Indigeneity (Veracini 2010).</w:t>
      </w:r>
    </w:p>
    <w:p w14:paraId="62C19A88" w14:textId="77777777" w:rsidR="009F0C56" w:rsidRDefault="00653842">
      <w:pPr>
        <w:pStyle w:val="Heading2"/>
        <w:rPr>
          <w:rFonts w:ascii="Arial" w:eastAsia="Arial" w:hAnsi="Arial" w:cs="Arial"/>
        </w:rPr>
      </w:pPr>
      <w:bookmarkStart w:id="23" w:name="_Toc240965954"/>
      <w:r>
        <w:rPr>
          <w:rFonts w:ascii="Arial" w:eastAsia="Arial" w:hAnsi="Arial" w:cs="Arial"/>
        </w:rPr>
        <w:t>2.8 Conclusion: Beyond the Settler Screen</w:t>
      </w:r>
      <w:bookmarkEnd w:id="23"/>
    </w:p>
    <w:p w14:paraId="3852448C" w14:textId="03216951" w:rsidR="009F0C56" w:rsidRDefault="00653842">
      <w:pPr>
        <w:spacing w:before="280" w:after="280" w:line="240" w:lineRule="auto"/>
        <w:rPr>
          <w:rFonts w:ascii="Arial" w:eastAsia="Arial" w:hAnsi="Arial" w:cs="Arial"/>
        </w:rPr>
      </w:pPr>
      <w:r>
        <w:rPr>
          <w:rFonts w:ascii="Arial" w:eastAsia="Arial" w:hAnsi="Arial" w:cs="Arial"/>
        </w:rPr>
        <w:t xml:space="preserve">Therefore, the Seminole and Miccosukee story is not one of passive survival; it is one of deliberate resistance, strategy, and fight for sovereignty recognition in an ever-heterogeneous World. </w:t>
      </w:r>
      <w:r w:rsidR="00CF2C48">
        <w:rPr>
          <w:rFonts w:ascii="Arial" w:eastAsia="Arial" w:hAnsi="Arial" w:cs="Arial"/>
        </w:rPr>
        <w:t>From</w:t>
      </w:r>
      <w:r>
        <w:rPr>
          <w:rFonts w:ascii="Arial" w:eastAsia="Arial" w:hAnsi="Arial" w:cs="Arial"/>
        </w:rPr>
        <w:t xml:space="preserve"> the creation story told by Betty Mae Jumper to the Buckskin Declaration, swamp warfare, casinos, and much more, these communities have asserted their right to exist on their own terms</w:t>
      </w:r>
      <w:r w:rsidR="00CF2C48">
        <w:rPr>
          <w:rFonts w:ascii="Arial" w:eastAsia="Arial" w:hAnsi="Arial" w:cs="Arial"/>
        </w:rPr>
        <w:t>,</w:t>
      </w:r>
      <w:r>
        <w:rPr>
          <w:rFonts w:ascii="Arial" w:eastAsia="Arial" w:hAnsi="Arial" w:cs="Arial"/>
        </w:rPr>
        <w:t xml:space="preserve"> not as relics, not as tourist attractions, but as nations. As stated in the Buckskin </w:t>
      </w:r>
      <w:r w:rsidR="00CF2C48">
        <w:rPr>
          <w:rFonts w:ascii="Arial" w:eastAsia="Arial" w:hAnsi="Arial" w:cs="Arial"/>
        </w:rPr>
        <w:t>Declaration</w:t>
      </w:r>
      <w:r>
        <w:rPr>
          <w:rFonts w:ascii="Arial" w:eastAsia="Arial" w:hAnsi="Arial" w:cs="Arial"/>
        </w:rPr>
        <w:t>:</w:t>
      </w:r>
    </w:p>
    <w:p w14:paraId="471C9357" w14:textId="77777777" w:rsidR="009F0C56" w:rsidRDefault="00653842">
      <w:pPr>
        <w:spacing w:before="280" w:after="280" w:line="240" w:lineRule="auto"/>
        <w:ind w:left="709"/>
        <w:rPr>
          <w:rFonts w:ascii="Arial" w:eastAsia="Arial" w:hAnsi="Arial" w:cs="Arial"/>
        </w:rPr>
      </w:pPr>
      <w:r>
        <w:rPr>
          <w:rFonts w:ascii="Arial" w:eastAsia="Arial" w:hAnsi="Arial" w:cs="Arial"/>
          <w:color w:val="000000"/>
          <w:highlight w:val="lightGray"/>
        </w:rPr>
        <w:t>We have, and have had for centuries, our own culture, our own customs, our own government, our own language, and our own way of life which is different from the government, the culture, the customs, the language, and the way of life of the White Man. We do not say that we are superior or inferior to the White Man and we do not say that the White Man is superior or inferior to us.</w:t>
      </w:r>
      <w:r>
        <w:rPr>
          <w:rFonts w:ascii="Arial" w:eastAsia="Arial" w:hAnsi="Arial" w:cs="Arial"/>
          <w:color w:val="000000"/>
          <w:highlight w:val="black"/>
        </w:rPr>
        <w:t xml:space="preserve"> </w:t>
      </w:r>
      <w:r>
        <w:rPr>
          <w:rFonts w:ascii="Arial" w:eastAsia="Arial" w:hAnsi="Arial" w:cs="Arial"/>
        </w:rPr>
        <w:t xml:space="preserve">(Buckskin Declaration – Miccosukee 2025) </w:t>
      </w:r>
    </w:p>
    <w:p w14:paraId="2E4D3A56" w14:textId="0C6E291E" w:rsidR="009F0C56" w:rsidRDefault="00653842">
      <w:pPr>
        <w:spacing w:before="280" w:after="280" w:line="240" w:lineRule="auto"/>
        <w:rPr>
          <w:rFonts w:ascii="Arial" w:eastAsia="Arial" w:hAnsi="Arial" w:cs="Arial"/>
          <w:color w:val="000000"/>
        </w:rPr>
      </w:pPr>
      <w:r>
        <w:rPr>
          <w:rFonts w:ascii="Arial" w:eastAsia="Arial" w:hAnsi="Arial" w:cs="Arial"/>
          <w:color w:val="000000"/>
        </w:rPr>
        <w:t xml:space="preserve">As the Buckskin </w:t>
      </w:r>
      <w:r w:rsidR="00CF2C48">
        <w:rPr>
          <w:rFonts w:ascii="Arial" w:eastAsia="Arial" w:hAnsi="Arial" w:cs="Arial"/>
          <w:color w:val="000000"/>
        </w:rPr>
        <w:t>Declaration</w:t>
      </w:r>
      <w:r>
        <w:rPr>
          <w:rFonts w:ascii="Arial" w:eastAsia="Arial" w:hAnsi="Arial" w:cs="Arial"/>
          <w:color w:val="000000"/>
        </w:rPr>
        <w:t xml:space="preserve"> emphasises, the Seminole and Miccosukee are distinct from the settler state; they have their histories, cultures, and futures that are unique and vital in today's society. This, along with the presented historiography, reveals that the Seminole and Miccosukee have been fighting for centuries in various arenas, as settler society has often misrepresented them on their land. This is just as true today, with hyper-urbanised areas like Miami constantly expanding and the US settler society becoming increasingly</w:t>
      </w:r>
      <w:r>
        <w:rPr>
          <w:rFonts w:ascii="Arial" w:eastAsia="Arial" w:hAnsi="Arial" w:cs="Arial"/>
          <w:color w:val="000000"/>
        </w:rPr>
        <w:t xml:space="preserve"> globalised and multicultural. </w:t>
      </w:r>
    </w:p>
    <w:p w14:paraId="63C3C4E4"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 xml:space="preserve">As a result, Indigenous identities can easily get lost in the broader US discourse, making this field of study crucial and demanding further research. Through focusing on Indigenous knowledge and representation, this research can push back against the settler state's attempts to create a monolithic Indian identity that undermines the self-representation of the Seminole and Miccosukee as sovereign nations with their own cultures and beliefs.  </w:t>
      </w:r>
    </w:p>
    <w:p w14:paraId="68653BE3" w14:textId="77777777" w:rsidR="009F0C56" w:rsidRDefault="009F0C56"/>
    <w:p w14:paraId="0EB7643C" w14:textId="77777777" w:rsidR="009F0C56" w:rsidRDefault="009F0C56"/>
    <w:p w14:paraId="2C8D1370" w14:textId="77777777" w:rsidR="009F0C56" w:rsidRDefault="009F0C56"/>
    <w:p w14:paraId="3B2F67A9" w14:textId="77777777" w:rsidR="009F0C56" w:rsidRDefault="009F0C56"/>
    <w:p w14:paraId="24A88C2C" w14:textId="77777777" w:rsidR="009F0C56" w:rsidRDefault="009F0C56"/>
    <w:p w14:paraId="71163C4A" w14:textId="77777777" w:rsidR="009F0C56" w:rsidRDefault="00653842">
      <w:pPr>
        <w:pStyle w:val="Heading1"/>
        <w:rPr>
          <w:rFonts w:ascii="Arial" w:eastAsia="Arial" w:hAnsi="Arial" w:cs="Arial"/>
          <w:u w:val="single"/>
        </w:rPr>
      </w:pPr>
      <w:bookmarkStart w:id="24" w:name="_Toc240965955"/>
      <w:r>
        <w:rPr>
          <w:rFonts w:ascii="Arial" w:eastAsia="Arial" w:hAnsi="Arial" w:cs="Arial"/>
          <w:u w:val="single"/>
        </w:rPr>
        <w:lastRenderedPageBreak/>
        <w:t>3.0 Methodology</w:t>
      </w:r>
      <w:bookmarkEnd w:id="24"/>
    </w:p>
    <w:p w14:paraId="7D13C795" w14:textId="77777777" w:rsidR="009F0C56" w:rsidRDefault="00653842">
      <w:pPr>
        <w:spacing w:before="280" w:after="280" w:line="240" w:lineRule="auto"/>
        <w:rPr>
          <w:rFonts w:ascii="Arial" w:eastAsia="Arial" w:hAnsi="Arial" w:cs="Arial"/>
        </w:rPr>
      </w:pPr>
      <w:r>
        <w:rPr>
          <w:rFonts w:ascii="Arial" w:eastAsia="Arial" w:hAnsi="Arial" w:cs="Arial"/>
        </w:rPr>
        <w:t>This thesis employs a critical decolonial approach that combines critical ethnography, visual geographies, and textual deconstruction to examine the visual, discursive, and material representations of the Seminole and Miccosukee peoples in settler South Florida (Bruce 2002). The methods used are carefully chosen not only for their analytical relevance but also for their ethical considerations, which prioritise the decentring of Western epistemologies, the exposure of settler colonial infrastructures, and th</w:t>
      </w:r>
      <w:r>
        <w:rPr>
          <w:rFonts w:ascii="Arial" w:eastAsia="Arial" w:hAnsi="Arial" w:cs="Arial"/>
        </w:rPr>
        <w:t xml:space="preserve">e foregrounding of Indigenous knowledges and presences, even when these are marginalised or rendered invisible (Smith 2012). </w:t>
      </w:r>
    </w:p>
    <w:p w14:paraId="7ADCA420" w14:textId="77777777" w:rsidR="009F0C56" w:rsidRDefault="00653842">
      <w:pPr>
        <w:spacing w:before="280" w:after="280" w:line="240" w:lineRule="auto"/>
        <w:rPr>
          <w:rFonts w:ascii="Arial" w:eastAsia="Arial" w:hAnsi="Arial" w:cs="Arial"/>
        </w:rPr>
      </w:pPr>
      <w:r>
        <w:rPr>
          <w:rFonts w:ascii="Arial" w:eastAsia="Arial" w:hAnsi="Arial" w:cs="Arial"/>
        </w:rPr>
        <w:t>At the heart of this methodology is a decolonial commitment to epistemic justice, which involves more than just incorporating Indigenous perspectives into an existing academic framework; it requires rethinking the very structures through which knowledge is produced, validated, and circulated. As Tuck and Yang (2012) argue, decolonisation is not a metaphor; it demands a sustained critique of how research itself participates in the colonial project. Each method used in the work aims to resist and expose the m</w:t>
      </w:r>
      <w:r>
        <w:rPr>
          <w:rFonts w:ascii="Arial" w:eastAsia="Arial" w:hAnsi="Arial" w:cs="Arial"/>
        </w:rPr>
        <w:t xml:space="preserve">echanisms by which settler colonialism shapes public knowledge about Indigeneity and to offer a reflexive, ethically aware counter-narrative (Daigle 2024). </w:t>
      </w:r>
    </w:p>
    <w:p w14:paraId="7D914958"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To achieve this, a clear linear argument is necessary, which is methodologically approached in this chapter by structuring the data collection and analysis in a way that moves from context to practice to analysis. The chapter begins by examining the fieldwork location, outlining the reasoning behind selecting South Florida, specifically Miami and nearby reservations, as well as the benefits and limitations of this site for interrogating settler colonial representations of Seminole and Miccosukee identity. I</w:t>
      </w:r>
      <w:r>
        <w:rPr>
          <w:rFonts w:ascii="Arial" w:eastAsia="Arial" w:hAnsi="Arial" w:cs="Arial"/>
          <w:color w:val="000000"/>
        </w:rPr>
        <w:t>t then discusses the qualitative approaches used for data collection, including visual documentation, observation, and critical engagement with public-facing sites such as tourist shops, museums, and reservation-run enterprises. Attention is given to why these approaches are particularly suited to the project’s focus on representations. The chapter then critically reflects on the strengths and limitations of these qualitative methods, situating them within broader debates on decolonial methodology and visua</w:t>
      </w:r>
      <w:r>
        <w:rPr>
          <w:rFonts w:ascii="Arial" w:eastAsia="Arial" w:hAnsi="Arial" w:cs="Arial"/>
          <w:color w:val="000000"/>
        </w:rPr>
        <w:t xml:space="preserve">l ethnography (Held 2019). Rather than presenting them as neutral tools, the discussion highlights their ethical and epistemological implications, acknowledging how choices around site, timing, and engagement shape what kinds of knowledge are produced (Smith 2012). </w:t>
      </w:r>
    </w:p>
    <w:p w14:paraId="49B7C08F"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Finally, the chapter explores research design, detailing how data were collected, organised, and analysed across the urban and reservation-based sites of South Florida. This section makes transparent the interpretive processes at work, showing how images, observations, and textual materials were read through the theoretical frameworks established in the previous chapter. In this way, the methodology chapter not only explains the practical “how” of the research but also foregrounds the critical “why”: furthe</w:t>
      </w:r>
      <w:r>
        <w:rPr>
          <w:rFonts w:ascii="Arial" w:eastAsia="Arial" w:hAnsi="Arial" w:cs="Arial"/>
          <w:color w:val="000000"/>
        </w:rPr>
        <w:t>r analysing how the project’s decolonial commitments shaped methodological decisions and why these approaches are necessary to trace how settler colonialism continues to structure the representation and commodification of Seminole and Miccosukee peoples in contemporary South Florida (Held 2019).</w:t>
      </w:r>
    </w:p>
    <w:p w14:paraId="29631713" w14:textId="77777777" w:rsidR="009F0C56" w:rsidRDefault="009F0C56">
      <w:pPr>
        <w:spacing w:before="280" w:after="280" w:line="240" w:lineRule="auto"/>
        <w:rPr>
          <w:rFonts w:ascii="Arial" w:eastAsia="Arial" w:hAnsi="Arial" w:cs="Arial"/>
        </w:rPr>
      </w:pPr>
    </w:p>
    <w:p w14:paraId="597907AC" w14:textId="77777777" w:rsidR="009F0C56" w:rsidRDefault="00653842">
      <w:pPr>
        <w:pStyle w:val="Heading2"/>
        <w:rPr>
          <w:rFonts w:ascii="Arial" w:eastAsia="Arial" w:hAnsi="Arial" w:cs="Arial"/>
          <w:sz w:val="36"/>
          <w:szCs w:val="36"/>
        </w:rPr>
      </w:pPr>
      <w:bookmarkStart w:id="25" w:name="_Toc240965956"/>
      <w:r>
        <w:rPr>
          <w:rFonts w:ascii="Arial" w:eastAsia="Arial" w:hAnsi="Arial" w:cs="Arial"/>
          <w:sz w:val="36"/>
          <w:szCs w:val="36"/>
        </w:rPr>
        <w:t>3.1 Fieldwork Sites and Methodological Positioning</w:t>
      </w:r>
      <w:bookmarkEnd w:id="25"/>
    </w:p>
    <w:p w14:paraId="13282E2C" w14:textId="77777777" w:rsidR="009F0C56" w:rsidRDefault="00653842">
      <w:pPr>
        <w:spacing w:before="280" w:after="280" w:line="240" w:lineRule="auto"/>
        <w:rPr>
          <w:rFonts w:ascii="Arial" w:eastAsia="Arial" w:hAnsi="Arial" w:cs="Arial"/>
        </w:rPr>
      </w:pPr>
      <w:r>
        <w:rPr>
          <w:rFonts w:ascii="Arial" w:eastAsia="Arial" w:hAnsi="Arial" w:cs="Arial"/>
        </w:rPr>
        <w:t>The empirical research for this thesis was conducted in South Florida, with a particular focus on Miami and selected Seminole and Miccosukee reservation areas. The reasoning for choosing South Florida as the fieldwork location was due to the concentration of</w:t>
      </w:r>
      <w:r>
        <w:rPr>
          <w:rFonts w:ascii="Arial" w:eastAsia="Arial" w:hAnsi="Arial" w:cs="Arial"/>
          <w:color w:val="008000"/>
        </w:rPr>
        <w:t xml:space="preserve"> </w:t>
      </w:r>
      <w:r>
        <w:rPr>
          <w:rFonts w:ascii="Arial" w:eastAsia="Arial" w:hAnsi="Arial" w:cs="Arial"/>
          <w:color w:val="000000"/>
        </w:rPr>
        <w:t xml:space="preserve">highly commercialised and densely populated districts such as Wynwood, Coral Gables, and Little Havana. These locations were chosen because they epitomise the hyper-capitalised landscape for which Miami has become globally </w:t>
      </w:r>
      <w:r>
        <w:rPr>
          <w:rFonts w:ascii="Arial" w:eastAsia="Arial" w:hAnsi="Arial" w:cs="Arial"/>
        </w:rPr>
        <w:t xml:space="preserve">and commercially signified, and because they offer a rich material for examining how Indigeneity is visually marketed in urban, touristic settings (Cattelino 2012). </w:t>
      </w:r>
    </w:p>
    <w:p w14:paraId="07801BEA" w14:textId="77777777" w:rsidR="009F0C56" w:rsidRDefault="00653842">
      <w:pPr>
        <w:spacing w:before="280" w:after="280" w:line="240" w:lineRule="auto"/>
        <w:rPr>
          <w:rFonts w:ascii="Arial" w:eastAsia="Arial" w:hAnsi="Arial" w:cs="Arial"/>
        </w:rPr>
      </w:pPr>
      <w:r>
        <w:rPr>
          <w:rFonts w:ascii="Arial" w:eastAsia="Arial" w:hAnsi="Arial" w:cs="Arial"/>
        </w:rPr>
        <w:t>This became clear with shops like clothing boutiques, cigar retailers, and bookstores, which I documented through photography. Through paying close attention to how Indigenous symbols and imagery were used in consumer culture across these sites. Conducting this research during the summer holiday season gave me a unique perspective on how representations of Indigeneity are amplified and packaged for the influx of tourists (West 2008</w:t>
      </w:r>
      <w:r>
        <w:rPr>
          <w:rFonts w:ascii="Arial" w:eastAsia="Arial" w:hAnsi="Arial" w:cs="Arial"/>
          <w:color w:val="008000"/>
        </w:rPr>
        <w:t xml:space="preserve">). </w:t>
      </w:r>
      <w:r>
        <w:rPr>
          <w:rFonts w:ascii="Arial" w:eastAsia="Arial" w:hAnsi="Arial" w:cs="Arial"/>
          <w:color w:val="000000"/>
        </w:rPr>
        <w:t xml:space="preserve">Along with urban field sites, I also researched Seminole and Miccosukee lands, primarily the Big Cypress, Brighton, and Hollywood reservations of the Seminole Tribe, as well as the Miccosukee reservation near Alligator Alley (Cattelino 2012). </w:t>
      </w:r>
    </w:p>
    <w:p w14:paraId="58BB8FE3" w14:textId="13E60948" w:rsidR="009F0C56" w:rsidRDefault="00653842">
      <w:pPr>
        <w:spacing w:before="280" w:after="280" w:line="240" w:lineRule="auto"/>
        <w:rPr>
          <w:rFonts w:ascii="Arial" w:eastAsia="Arial" w:hAnsi="Arial" w:cs="Arial"/>
        </w:rPr>
      </w:pPr>
      <w:r>
        <w:rPr>
          <w:rFonts w:ascii="Arial" w:eastAsia="Arial" w:hAnsi="Arial" w:cs="Arial"/>
        </w:rPr>
        <w:t>In this, I chose to focus on reservation-based businesses and tourist-facing ventures instead of private or domestic spaces because I wanted to take a deliberate methodological approach. Entering the home lives of Seminole and Miccosukee people without offering meaningful economic, social, or political reciprocity would have risked repeating extractive research practices (Smith 2012). Therefore, I concentrated on tourist locations, which allowed me to observe representational practices without disrupting ev</w:t>
      </w:r>
      <w:r>
        <w:rPr>
          <w:rFonts w:ascii="Arial" w:eastAsia="Arial" w:hAnsi="Arial" w:cs="Arial"/>
        </w:rPr>
        <w:t xml:space="preserve">eryday Indigenous life. Practical considerations also influenced the research design. </w:t>
      </w:r>
      <w:r w:rsidR="00CF2C48">
        <w:rPr>
          <w:rFonts w:ascii="Arial" w:eastAsia="Arial" w:hAnsi="Arial" w:cs="Arial"/>
        </w:rPr>
        <w:t>Travelling</w:t>
      </w:r>
      <w:r>
        <w:rPr>
          <w:rFonts w:ascii="Arial" w:eastAsia="Arial" w:hAnsi="Arial" w:cs="Arial"/>
        </w:rPr>
        <w:t xml:space="preserve"> across South Florida by car gave the mobility and flexibility needed to reach dispersed urban and reservation sites. This was essential, given the region’s climate, which is prone to heavy seasonal rains. </w:t>
      </w:r>
    </w:p>
    <w:p w14:paraId="2E8BD3EE" w14:textId="77777777" w:rsidR="009F0C56" w:rsidRDefault="00653842">
      <w:pPr>
        <w:spacing w:before="280" w:after="280" w:line="240" w:lineRule="auto"/>
        <w:rPr>
          <w:rFonts w:ascii="Arial" w:eastAsia="Arial" w:hAnsi="Arial" w:cs="Arial"/>
        </w:rPr>
      </w:pPr>
      <w:r>
        <w:rPr>
          <w:rFonts w:ascii="Arial" w:eastAsia="Arial" w:hAnsi="Arial" w:cs="Arial"/>
        </w:rPr>
        <w:t xml:space="preserve">These rains often limited outdoor observation, forcing me to adapt and prioritise indoor commercial and representational spaces during bad weather. Thus, mobility became a methodological necessity for navigating the material realities of conducting fieldwork in a subtropical tourist hub. The timing of the fieldwork in July, a peak tourist season, was another key factor in shaping the design. Although the relatively short research window of three weeks limited my ability to engage deeply, it also provided a </w:t>
      </w:r>
      <w:r>
        <w:rPr>
          <w:rFonts w:ascii="Arial" w:eastAsia="Arial" w:hAnsi="Arial" w:cs="Arial"/>
        </w:rPr>
        <w:t xml:space="preserve">unique research perspective (Held 2019). </w:t>
      </w:r>
    </w:p>
    <w:p w14:paraId="454E0A7B" w14:textId="77777777" w:rsidR="009F0C56" w:rsidRDefault="00653842">
      <w:pPr>
        <w:spacing w:before="280" w:after="280" w:line="240" w:lineRule="auto"/>
        <w:rPr>
          <w:rFonts w:ascii="Arial" w:eastAsia="Arial" w:hAnsi="Arial" w:cs="Arial"/>
        </w:rPr>
      </w:pPr>
      <w:r>
        <w:rPr>
          <w:rFonts w:ascii="Arial" w:eastAsia="Arial" w:hAnsi="Arial" w:cs="Arial"/>
        </w:rPr>
        <w:t>During peak season, urban districts like Wynwood and reservation-based enterprises like the Miccosukee and Seminole tourist centres were at their most active, amplifying the circulation and visibility of representations of Indigeneity. Moreover, many Indigenous-run businesses and cultural sites close or significantly reduce operations outside of tourist months, meaning that July provided a rare opportunity to encounter these sites in their fully commercialised form. Therefore, the density of tourist traffic</w:t>
      </w:r>
      <w:r>
        <w:rPr>
          <w:rFonts w:ascii="Arial" w:eastAsia="Arial" w:hAnsi="Arial" w:cs="Arial"/>
        </w:rPr>
        <w:t xml:space="preserve"> also increased my ability to analyse how non-Indigenous visitors </w:t>
      </w:r>
      <w:r>
        <w:rPr>
          <w:rFonts w:ascii="Arial" w:eastAsia="Arial" w:hAnsi="Arial" w:cs="Arial"/>
        </w:rPr>
        <w:lastRenderedPageBreak/>
        <w:t xml:space="preserve">consume and interpret Indigenous imagery and commodities, producing a richer set of interactions to observe and document. </w:t>
      </w:r>
    </w:p>
    <w:p w14:paraId="5DF4F34A" w14:textId="77777777" w:rsidR="009F0C56" w:rsidRDefault="00653842">
      <w:pPr>
        <w:spacing w:before="280" w:after="280" w:line="240" w:lineRule="auto"/>
        <w:rPr>
          <w:rFonts w:ascii="Arial" w:eastAsia="Arial" w:hAnsi="Arial" w:cs="Arial"/>
        </w:rPr>
      </w:pPr>
      <w:r>
        <w:rPr>
          <w:rFonts w:ascii="Arial" w:eastAsia="Arial" w:hAnsi="Arial" w:cs="Arial"/>
        </w:rPr>
        <w:t>Another important layer of complexity emerged from Miami’s linguistic diversity. The city is not only a global tourist destination but also a multilingual hub where English, Spanish, Haitian Creole, and Portuguese circulate alongside other languages (Ring 2025). Within this context, settler representations of Indigeneity often function as a kind of visual lingua franca, deploying recognisable tropes like dreamcatchers, feathered headdresses, and sepia-toned imagery that communicate across linguistic boundar</w:t>
      </w:r>
      <w:r>
        <w:rPr>
          <w:rFonts w:ascii="Arial" w:eastAsia="Arial" w:hAnsi="Arial" w:cs="Arial"/>
        </w:rPr>
        <w:t xml:space="preserve">ies. Although my limited Spanish-language skills occasionally posed challenges in directly accessing the perspectives of shopkeepers and local customers, this multilingual environment also created an analytical opportunity. </w:t>
      </w:r>
    </w:p>
    <w:p w14:paraId="19263939" w14:textId="77777777" w:rsidR="009F0C56" w:rsidRDefault="00653842">
      <w:pPr>
        <w:spacing w:before="280" w:after="280" w:line="240" w:lineRule="auto"/>
        <w:rPr>
          <w:rFonts w:ascii="Arial" w:eastAsia="Arial" w:hAnsi="Arial" w:cs="Arial"/>
          <w:color w:val="000000"/>
        </w:rPr>
      </w:pPr>
      <w:r>
        <w:rPr>
          <w:rFonts w:ascii="Arial" w:eastAsia="Arial" w:hAnsi="Arial" w:cs="Arial"/>
        </w:rPr>
        <w:t>Observing how tourists and locals navigated Indigenous representations across language barriers illuminated how commodified Indigeneity is strategically designed to be legible, consumable, and marketable to diverse audiences (Barthes 2009). In this, the language barrier itself became part of the fieldwork, revealing how Indigeneity is flattened into a set of translatable symbols that bypass linguistic specificity to appeal to a globalised consumer market (Mignolo 2018</w:t>
      </w:r>
      <w:r>
        <w:rPr>
          <w:rFonts w:ascii="Arial" w:eastAsia="Arial" w:hAnsi="Arial" w:cs="Arial"/>
          <w:color w:val="008000"/>
        </w:rPr>
        <w:t xml:space="preserve">). </w:t>
      </w:r>
      <w:r>
        <w:rPr>
          <w:rFonts w:ascii="Arial" w:eastAsia="Arial" w:hAnsi="Arial" w:cs="Arial"/>
          <w:color w:val="000000"/>
        </w:rPr>
        <w:t xml:space="preserve">At the same time, these constraints highlight the ethical limits of this project. A decolonial methodological orientation requires acknowledging that deeper ethnographic engagement with Seminole and Miccosukee communities was not feasible within the scope of this research. </w:t>
      </w:r>
    </w:p>
    <w:p w14:paraId="6A6E034A"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To have entered Indigenous domestic or ceremonial spaces as a short-term researcher without offering long-term benefit would have risked reproducing extractive dynamics of academic inquiry. Instead, the focus remained on tourist economies, public-facing businesses, and settler-controlled sites of representation, where engagement could occur without intruding into sovereign community life. In this sense, the methodological limits of the fieldwork, its brevity, its reliance on visual documentation, and its co</w:t>
      </w:r>
      <w:r>
        <w:rPr>
          <w:rFonts w:ascii="Arial" w:eastAsia="Arial" w:hAnsi="Arial" w:cs="Arial"/>
          <w:color w:val="000000"/>
        </w:rPr>
        <w:t xml:space="preserve">ncentration on tourist economies are not shortcomings to be excused but deliberate boundaries that keep the analysis aligned with its central focus: examining settler colonial practices of representation, commodification, and erasure (Held 2019). </w:t>
      </w:r>
    </w:p>
    <w:p w14:paraId="198127F2" w14:textId="77777777" w:rsidR="009F0C56" w:rsidRDefault="00653842">
      <w:pPr>
        <w:spacing w:before="280" w:after="280" w:line="240" w:lineRule="auto"/>
        <w:rPr>
          <w:rFonts w:ascii="Arial" w:eastAsia="Arial" w:hAnsi="Arial" w:cs="Arial"/>
        </w:rPr>
      </w:pPr>
      <w:r>
        <w:rPr>
          <w:rFonts w:ascii="Arial" w:eastAsia="Arial" w:hAnsi="Arial" w:cs="Arial"/>
        </w:rPr>
        <w:t>Finally, this methodological approach was guided by a commitment to decolonial practice. Rather than seeking deep immersion that risked imposing researcher presence or bias, the project prioritised a more critical engagement with visual and material evidence collected through photography. This approach minimised intrusion while foregrounding the settler colonial structures that frame Seminole and Miccosukee representations in South Florida.</w:t>
      </w:r>
    </w:p>
    <w:p w14:paraId="0AE61E46" w14:textId="77777777" w:rsidR="009F0C56" w:rsidRDefault="009F0C56">
      <w:pPr>
        <w:spacing w:before="280" w:after="280" w:line="240" w:lineRule="auto"/>
        <w:rPr>
          <w:rFonts w:ascii="Arial" w:eastAsia="Arial" w:hAnsi="Arial" w:cs="Arial"/>
        </w:rPr>
      </w:pPr>
    </w:p>
    <w:p w14:paraId="39240F1D" w14:textId="77777777" w:rsidR="009F0C56" w:rsidRDefault="00653842">
      <w:pPr>
        <w:pStyle w:val="Heading2"/>
        <w:rPr>
          <w:rFonts w:ascii="Arial" w:eastAsia="Arial" w:hAnsi="Arial" w:cs="Arial"/>
          <w:sz w:val="36"/>
          <w:szCs w:val="36"/>
        </w:rPr>
      </w:pPr>
      <w:bookmarkStart w:id="26" w:name="_Toc240965957"/>
      <w:r>
        <w:rPr>
          <w:rFonts w:ascii="Arial" w:eastAsia="Arial" w:hAnsi="Arial" w:cs="Arial"/>
          <w:sz w:val="36"/>
          <w:szCs w:val="36"/>
        </w:rPr>
        <w:lastRenderedPageBreak/>
        <w:t>3.2 Methodological tools of data collection and analysis of results</w:t>
      </w:r>
      <w:bookmarkEnd w:id="26"/>
      <w:r>
        <w:rPr>
          <w:rFonts w:ascii="Arial" w:eastAsia="Arial" w:hAnsi="Arial" w:cs="Arial"/>
          <w:sz w:val="36"/>
          <w:szCs w:val="36"/>
        </w:rPr>
        <w:t xml:space="preserve"> </w:t>
      </w:r>
    </w:p>
    <w:p w14:paraId="3764A167" w14:textId="77777777" w:rsidR="009F0C56" w:rsidRDefault="00653842">
      <w:pPr>
        <w:spacing w:before="280" w:after="280" w:line="240" w:lineRule="auto"/>
        <w:rPr>
          <w:rFonts w:ascii="Arial" w:eastAsia="Arial" w:hAnsi="Arial" w:cs="Arial"/>
        </w:rPr>
      </w:pPr>
      <w:r>
        <w:rPr>
          <w:rFonts w:ascii="Arial" w:eastAsia="Arial" w:hAnsi="Arial" w:cs="Arial"/>
        </w:rPr>
        <w:t>Through engaging with the fieldwork location and quantitatively choosing locations of study in South Florida, through analysing commercial online spaces, tourist sites from private and public companies, a compendium of research locations was chosen. However, to collect data from these sites and analyse them, the following set of qualitative tools was utilised throughout the fieldwork.</w:t>
      </w:r>
    </w:p>
    <w:p w14:paraId="2A90CC67" w14:textId="77777777" w:rsidR="009F0C56" w:rsidRDefault="00653842">
      <w:pPr>
        <w:pStyle w:val="Heading2"/>
        <w:rPr>
          <w:rFonts w:ascii="Arial" w:eastAsia="Arial" w:hAnsi="Arial" w:cs="Arial"/>
          <w:sz w:val="36"/>
          <w:szCs w:val="36"/>
        </w:rPr>
      </w:pPr>
      <w:bookmarkStart w:id="27" w:name="_Toc240965958"/>
      <w:r>
        <w:rPr>
          <w:rFonts w:ascii="Arial" w:eastAsia="Arial" w:hAnsi="Arial" w:cs="Arial"/>
          <w:sz w:val="36"/>
          <w:szCs w:val="36"/>
        </w:rPr>
        <w:t>3.3 Critical Decolonial Ethnography and the Study of Settler Space</w:t>
      </w:r>
      <w:bookmarkEnd w:id="27"/>
    </w:p>
    <w:p w14:paraId="0FFE590C"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Critical decolonial ethnography has emerged in direct response to the violent, extractive, and objectifying legacies of traditional anthropological and ethnographic research. Historically, ethnography functioned as a colonial tool: where the (typically white, Western) researcher entered Indigenous or colonised spaces to gather, categorise, and circulate knowledge for external consumption, often without regard for the political or ethical consequences of such representation (Smith 2012; Said 2019). This hist</w:t>
      </w:r>
      <w:r>
        <w:rPr>
          <w:rFonts w:ascii="Arial" w:eastAsia="Arial" w:hAnsi="Arial" w:cs="Arial"/>
          <w:color w:val="000000"/>
        </w:rPr>
        <w:t>orical colonial tradition not only misrepresented Indigenous ontologies but also consolidated Western academic authority over Indigenous lifeways, turning lived realities into legible data for academic and institutional use (De 2025).</w:t>
      </w:r>
    </w:p>
    <w:p w14:paraId="2BAADBBB" w14:textId="22BCD2F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To counter these exploitative and extractive research practices, critical decolonial ethnography was adopted to reframe the method and interrogate structures of power rather than extract knowledge from marginalised communities. In this, decolonial ethnography functions to challenge assumptions of neutrality and universality that underpin dominant research paradigms. Instead, it foregrounds </w:t>
      </w:r>
      <w:r>
        <w:rPr>
          <w:rFonts w:ascii="Arial" w:eastAsia="Arial" w:hAnsi="Arial" w:cs="Arial"/>
          <w:color w:val="000000"/>
        </w:rPr>
        <w:t>reflexivity, accountability, and ethical positionality for the researcher engaging with Indigenous research (Huff et al. 2022). This approach recognises that all research is political, and that the researcher’s identity, history, and institutional location shape what is seen, interpreted, and communicated. In this critical decolonial ethnography, it operates not only as a methodological choice but as an ethical and epistemological orientation. To</w:t>
      </w:r>
      <w:r>
        <w:rPr>
          <w:rFonts w:ascii="Arial" w:eastAsia="Arial" w:hAnsi="Arial" w:cs="Arial"/>
          <w:color w:val="008000"/>
        </w:rPr>
        <w:t xml:space="preserve"> </w:t>
      </w:r>
      <w:r>
        <w:rPr>
          <w:rFonts w:ascii="Arial" w:eastAsia="Arial" w:hAnsi="Arial" w:cs="Arial"/>
          <w:color w:val="000000"/>
        </w:rPr>
        <w:t>shift the ethnographic gaze away from Indigenous peoples as “objects of study” and toward the settler systems that construct, distort, and commodify representations of Indigeneity (Huff et al. 2022).</w:t>
      </w:r>
    </w:p>
    <w:p w14:paraId="54BC5B84"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Therefore, adopting such an approach is crucial due to the style of study being undertaken. To study Seminole or Miccosukee peoples directly, without sustained collaboration, consent, or reciprocity, would risk reproducing extractive logics that critical ethnography seeks to resist. Instead, the research positions its ethnographic attention within settler colonial spaces of South Florida, such as tourist districts, retail shops, museums, and advertising infrastructures (Bruce 2002). These are the sites wher</w:t>
      </w:r>
      <w:r>
        <w:rPr>
          <w:rFonts w:ascii="Arial" w:eastAsia="Arial" w:hAnsi="Arial" w:cs="Arial"/>
          <w:color w:val="000000"/>
        </w:rPr>
        <w:t>e Indigeneity is curated, consumed, and circulated by settlers. Situating the research in these environments allows for an interrogation of how settler society mediates the “Indian” as a figure of nostalgia, authenticity, or exoticism, while systematically excluding Indigenous sovereignty and voice (Smith 2012).</w:t>
      </w:r>
    </w:p>
    <w:p w14:paraId="590FB4D6"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lastRenderedPageBreak/>
        <w:t>This shift in focus is important for several reasons. First, it addresses a gap in the literature: where much scholarship on settler colonialism has examined land theft, legal structures, and policy, but fewer studies have engaged with the everyday representational practices through which colonial logics are normalised and sustained in urban and tourist economies. Second, it recognises that spaces like Miami are not neutral backdrops but active participants in colonial regimes of knowledge and memory. As Do</w:t>
      </w:r>
      <w:r>
        <w:rPr>
          <w:rFonts w:ascii="Arial" w:eastAsia="Arial" w:hAnsi="Arial" w:cs="Arial"/>
          <w:color w:val="000000"/>
        </w:rPr>
        <w:t>rries (2019) argues in the context of colonial urbanism, cities themselves are structured by racialised logics of erasure and entitlement, which makes them critical sites for decolonial analysis. Third, this approach aligns with the call by Indigenous scholars such as Linda Tuhiwai Smith (2012) and Leanne Betasamosake Simpson (2014) to redirect research away from the extraction of Indigenous knowledge and toward critical examinations of settler colonial structures.</w:t>
      </w:r>
    </w:p>
    <w:p w14:paraId="4A99666F"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In this, the ethical imperative of this methodology is rooted precisely in its refusal to treat Seminole and Miccosukee cultures as only data sources. As a non-Indigenous researcher, I do not claim to speak on behalf of these nations. Instead, this research takes responsibility for analysing why settler colonial society constructs, manages, and circulates images of Indigeneity, and how these representations function as technologies of power. This follows Smith’s (2012) framework of decolonising methodologie</w:t>
      </w:r>
      <w:r>
        <w:rPr>
          <w:rFonts w:ascii="Arial" w:eastAsia="Arial" w:hAnsi="Arial" w:cs="Arial"/>
          <w:color w:val="000000"/>
        </w:rPr>
        <w:t>s, where the objective is not to claim authority over Indigenous experience, but to expose the colonial systems that mediate how that experience is represented in public spaces.</w:t>
      </w:r>
    </w:p>
    <w:p w14:paraId="79FB915A"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In this, the contribution of this methodological stance is disciplinary as well as ethical. Through re-situating ethnography within settler spaces, this thesis demonstrates how critical decolonial ethnography will be mobilised to interrogate not Indigenous communities themselves but the representational infrastructures that surround and constrain them. This emphasis on visuality, commodification, and tourism highlights how colonial power continues to operate in contemporary urban landscapes, making visible </w:t>
      </w:r>
      <w:r>
        <w:rPr>
          <w:rFonts w:ascii="Arial" w:eastAsia="Arial" w:hAnsi="Arial" w:cs="Arial"/>
          <w:color w:val="000000"/>
        </w:rPr>
        <w:t>processes that are often normalised or obscured in everyday life.</w:t>
      </w:r>
    </w:p>
    <w:p w14:paraId="43043284" w14:textId="77777777" w:rsidR="009F0C56" w:rsidRDefault="009F0C56">
      <w:pPr>
        <w:pBdr>
          <w:top w:val="nil"/>
          <w:left w:val="nil"/>
          <w:bottom w:val="nil"/>
          <w:right w:val="nil"/>
          <w:between w:val="nil"/>
        </w:pBdr>
        <w:spacing w:line="240" w:lineRule="auto"/>
        <w:rPr>
          <w:rFonts w:ascii="Arial" w:eastAsia="Arial" w:hAnsi="Arial" w:cs="Arial"/>
          <w:color w:val="000000"/>
        </w:rPr>
      </w:pPr>
    </w:p>
    <w:p w14:paraId="1312BF82" w14:textId="77777777" w:rsidR="009F0C56" w:rsidRDefault="00653842">
      <w:pPr>
        <w:pStyle w:val="Heading2"/>
        <w:rPr>
          <w:rFonts w:ascii="Arial" w:eastAsia="Arial" w:hAnsi="Arial" w:cs="Arial"/>
          <w:sz w:val="36"/>
          <w:szCs w:val="36"/>
        </w:rPr>
      </w:pPr>
      <w:bookmarkStart w:id="28" w:name="_Toc240965959"/>
      <w:r>
        <w:rPr>
          <w:rFonts w:ascii="Arial" w:eastAsia="Arial" w:hAnsi="Arial" w:cs="Arial"/>
          <w:sz w:val="36"/>
          <w:szCs w:val="36"/>
        </w:rPr>
        <w:t>3.4 Visual Geographies and the Settler Gaze</w:t>
      </w:r>
      <w:bookmarkEnd w:id="28"/>
    </w:p>
    <w:p w14:paraId="514991A0" w14:textId="6BE7114A"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To guide the collection and interpretation of field data, this project utilises the framework of visual geographies, a methodological approach that interrogates how meaning, ideology, and power are encoded into visual landscapes. Initially developed by Gillian Rose (1996) and later expanded by scholars such as Rice, Dion, Fowlie, and Mundel (2019). Visual geographies are significant because they move beyond the surface of images to explore how space itself functions as a visual text. In this view, landscape</w:t>
      </w:r>
      <w:r>
        <w:rPr>
          <w:rFonts w:ascii="Arial" w:eastAsia="Arial" w:hAnsi="Arial" w:cs="Arial"/>
          <w:color w:val="000000"/>
        </w:rPr>
        <w:t xml:space="preserve">s are not backdrops but active </w:t>
      </w:r>
      <w:r w:rsidR="00CF2C48">
        <w:rPr>
          <w:rFonts w:ascii="Arial" w:eastAsia="Arial" w:hAnsi="Arial" w:cs="Arial"/>
          <w:color w:val="000000"/>
        </w:rPr>
        <w:t>media</w:t>
      </w:r>
      <w:r>
        <w:rPr>
          <w:rFonts w:ascii="Arial" w:eastAsia="Arial" w:hAnsi="Arial" w:cs="Arial"/>
          <w:color w:val="000000"/>
        </w:rPr>
        <w:t xml:space="preserve"> that discipline, racialise, and organise colonial power structures (Rice et al. 2022).</w:t>
      </w:r>
    </w:p>
    <w:p w14:paraId="0E649832"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This approach is especially valuable in settler colonial contexts, where the built environment, tourist infrastructures, and everyday visual markers are saturated with colonial histories and narratives. What might often appear as neutral features, such as street names, monuments, shop displays, or advertising, can be understood as powers of memory that operate to reinforce settler belonging and authority while simultaneously rendering Indigenous presence marginal, folkloric, or invisible (Rose 2014). In thi</w:t>
      </w:r>
      <w:r>
        <w:rPr>
          <w:rFonts w:ascii="Arial" w:eastAsia="Arial" w:hAnsi="Arial" w:cs="Arial"/>
          <w:color w:val="000000"/>
        </w:rPr>
        <w:t>s sense, visual geographies offer</w:t>
      </w:r>
      <w:r>
        <w:rPr>
          <w:rFonts w:ascii="Arial" w:eastAsia="Arial" w:hAnsi="Arial" w:cs="Arial"/>
          <w:color w:val="008000"/>
        </w:rPr>
        <w:t xml:space="preserve"> </w:t>
      </w:r>
      <w:r>
        <w:rPr>
          <w:rFonts w:ascii="Arial" w:eastAsia="Arial" w:hAnsi="Arial" w:cs="Arial"/>
          <w:color w:val="000000"/>
        </w:rPr>
        <w:t xml:space="preserve">a necessary tool for exposing how </w:t>
      </w:r>
      <w:r>
        <w:rPr>
          <w:rFonts w:ascii="Arial" w:eastAsia="Arial" w:hAnsi="Arial" w:cs="Arial"/>
          <w:color w:val="000000"/>
        </w:rPr>
        <w:lastRenderedPageBreak/>
        <w:t>settler colonialism is naturalised not only through laws and policies but also through the visual ordering of space (Rose 1996).</w:t>
      </w:r>
    </w:p>
    <w:p w14:paraId="442F6D50"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Scholars such as Rice et al. (2019) have further underscored that visual geographies carry ethical weight. They argue that engaging critically with the visual involves questioning who is permitted to frame, circulate, and interpret images, and whose perspectives are silenced or erased in the process. Their notion of </w:t>
      </w:r>
      <w:r>
        <w:rPr>
          <w:rFonts w:ascii="Arial" w:eastAsia="Arial" w:hAnsi="Arial" w:cs="Arial"/>
          <w:i/>
          <w:iCs/>
          <w:color w:val="000000"/>
        </w:rPr>
        <w:t>re/turning the gaze</w:t>
      </w:r>
      <w:r>
        <w:rPr>
          <w:rFonts w:ascii="Arial" w:eastAsia="Arial" w:hAnsi="Arial" w:cs="Arial"/>
          <w:color w:val="000000"/>
        </w:rPr>
        <w:t xml:space="preserve"> highlights how Indigenous creators actively reclaim visual space to centre their own epistemologies and disrupt colonial optics. For a non-Indigenous researcher, working within this framework requires acknowledging the limitations of one’s own positionality while remaining attentive to how settler visual systems continue to shape public perception.</w:t>
      </w:r>
    </w:p>
    <w:p w14:paraId="6A8163E9"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In acknowledging this, visual geographies serve as a crucial data collection and analytical tool for this project for three key reasons. Initially, it brings into focus how urban spaces like Miami participate in colonial representation regimes, offering insights into the subtler, everyday ways that Indigenous peoples are positioned within settler imaginaries. Secondly, it enables a methodological alignment with decolonial scholarship, as by refusing to treat images as neutral documentation, it instead recog</w:t>
      </w:r>
      <w:r>
        <w:rPr>
          <w:rFonts w:ascii="Arial" w:eastAsia="Arial" w:hAnsi="Arial" w:cs="Arial"/>
          <w:color w:val="000000"/>
        </w:rPr>
        <w:t>nises them as artefacts embedded in power relations (Sontag 2019). Finally, visual geographies provide a means of situating this thesis in dialogue with Indigenous visual scholarship, without appropriating or speaking for Indigenous visual practices.</w:t>
      </w:r>
    </w:p>
    <w:p w14:paraId="00E2D749"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In this, the visual materials collected during fieldwork, of photographs of signage, retail displays, monuments, and Indigenous-themed spaces, are not approached as transparent evidence, but as situated artefacts of a settler visual regime (Rose 1996). Their</w:t>
      </w:r>
      <w:r>
        <w:rPr>
          <w:rFonts w:ascii="Arial" w:eastAsia="Arial" w:hAnsi="Arial" w:cs="Arial"/>
          <w:color w:val="008000"/>
        </w:rPr>
        <w:t xml:space="preserve"> </w:t>
      </w:r>
      <w:r>
        <w:rPr>
          <w:rFonts w:ascii="Arial" w:eastAsia="Arial" w:hAnsi="Arial" w:cs="Arial"/>
          <w:color w:val="000000"/>
        </w:rPr>
        <w:t>value lies in what they reveal about the systems that structure visibility, absence, nostalgia, and commodification in a highly touristic, multicultural urban environment (Muller-Mahn et al, 2025). In bringing these artefacts into analysis, the project does not seek to reproduce or validate colonial imagery, but rather to critically interrogate how visuality itself operates as a key mechanism in the ongoing work of settler colonialism.</w:t>
      </w:r>
    </w:p>
    <w:p w14:paraId="1969C5BE" w14:textId="77777777" w:rsidR="009F0C56" w:rsidRDefault="009F0C56">
      <w:pPr>
        <w:pBdr>
          <w:top w:val="nil"/>
          <w:left w:val="nil"/>
          <w:bottom w:val="nil"/>
          <w:right w:val="nil"/>
          <w:between w:val="nil"/>
        </w:pBdr>
        <w:spacing w:line="240" w:lineRule="auto"/>
        <w:rPr>
          <w:rFonts w:ascii="Arial" w:eastAsia="Arial" w:hAnsi="Arial" w:cs="Arial"/>
          <w:color w:val="000000"/>
        </w:rPr>
      </w:pPr>
    </w:p>
    <w:p w14:paraId="09D3C2AD" w14:textId="77777777" w:rsidR="009F0C56" w:rsidRDefault="00653842">
      <w:pPr>
        <w:pStyle w:val="Heading2"/>
        <w:rPr>
          <w:rFonts w:ascii="Arial" w:eastAsia="Arial" w:hAnsi="Arial" w:cs="Arial"/>
          <w:sz w:val="36"/>
          <w:szCs w:val="36"/>
        </w:rPr>
      </w:pPr>
      <w:bookmarkStart w:id="29" w:name="_Toc240965960"/>
      <w:r>
        <w:rPr>
          <w:rFonts w:ascii="Arial" w:eastAsia="Arial" w:hAnsi="Arial" w:cs="Arial"/>
          <w:sz w:val="36"/>
          <w:szCs w:val="36"/>
        </w:rPr>
        <w:t>3.5 Decolonial Textual Analysis: Settler-Authored Media and the Construction of Indigeneity</w:t>
      </w:r>
      <w:bookmarkEnd w:id="29"/>
    </w:p>
    <w:p w14:paraId="1BE00BC1"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Complementing the visual methodology, this project employs a</w:t>
      </w:r>
      <w:r>
        <w:rPr>
          <w:rFonts w:ascii="Arial" w:eastAsia="Arial" w:hAnsi="Arial" w:cs="Arial"/>
          <w:b/>
          <w:bCs/>
          <w:color w:val="000000"/>
        </w:rPr>
        <w:t xml:space="preserve"> </w:t>
      </w:r>
      <w:r>
        <w:rPr>
          <w:rFonts w:ascii="Arial" w:eastAsia="Arial" w:hAnsi="Arial" w:cs="Arial"/>
          <w:color w:val="000000"/>
        </w:rPr>
        <w:t>decolonial textual analysis</w:t>
      </w:r>
      <w:r>
        <w:rPr>
          <w:rFonts w:ascii="Arial" w:eastAsia="Arial" w:hAnsi="Arial" w:cs="Arial"/>
          <w:b/>
          <w:bCs/>
          <w:color w:val="000000"/>
        </w:rPr>
        <w:t xml:space="preserve"> </w:t>
      </w:r>
      <w:r>
        <w:rPr>
          <w:rFonts w:ascii="Arial" w:eastAsia="Arial" w:hAnsi="Arial" w:cs="Arial"/>
          <w:color w:val="000000"/>
        </w:rPr>
        <w:t>that focuses on the critical deconstruction of settler-authored media. Such texts, as tourism brochures, promotional websites, holiday magazines, museum placards, interpretive signage, and advertising campaigns, are engaged with not as neutral cultural products but systems of colonial power. In this, these media</w:t>
      </w:r>
      <w:r>
        <w:rPr>
          <w:rFonts w:ascii="Arial" w:eastAsia="Arial" w:hAnsi="Arial" w:cs="Arial"/>
          <w:color w:val="008000"/>
        </w:rPr>
        <w:t xml:space="preserve"> </w:t>
      </w:r>
      <w:r>
        <w:rPr>
          <w:rFonts w:ascii="Arial" w:eastAsia="Arial" w:hAnsi="Arial" w:cs="Arial"/>
          <w:color w:val="000000"/>
        </w:rPr>
        <w:t>function as semiotic instruments of settler colonial power, rendering Indigenous identity intelligible in forms that are consumable, controllable, and compatible with capitalist logics (Mignolo 2018).</w:t>
      </w:r>
    </w:p>
    <w:p w14:paraId="7D2F9CFA"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As Stern (1996) argues, “market-oriented literatures” are central to shaping public perception and constructing imagined geographies. In settler colonial contexts, these textual artefacts actively participate in the cultural production of space, identity, and historical narrative. Particularly in the tourism industry, where representations of </w:t>
      </w:r>
      <w:r>
        <w:rPr>
          <w:rFonts w:ascii="Arial" w:eastAsia="Arial" w:hAnsi="Arial" w:cs="Arial"/>
          <w:color w:val="000000"/>
        </w:rPr>
        <w:lastRenderedPageBreak/>
        <w:t>“culture” are commodified as assets, and language becomes a tool for transforming Indigenous histories, practices, and relations into branded experiences (Aldred 2000). Ultimately, this process strips them of political specificity, contemporary relevance, or sovereign meaning, making Indigeneity safe for settler consumption.</w:t>
      </w:r>
    </w:p>
    <w:p w14:paraId="26A60B4F"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In this, this method begins from the premise that language is productive as much as descriptive</w:t>
      </w:r>
      <w:r>
        <w:rPr>
          <w:rFonts w:ascii="Arial" w:eastAsia="Arial" w:hAnsi="Arial" w:cs="Arial"/>
          <w:b/>
          <w:bCs/>
          <w:color w:val="000000"/>
        </w:rPr>
        <w:t>.</w:t>
      </w:r>
      <w:r>
        <w:rPr>
          <w:rFonts w:ascii="Arial" w:eastAsia="Arial" w:hAnsi="Arial" w:cs="Arial"/>
          <w:color w:val="000000"/>
        </w:rPr>
        <w:t xml:space="preserve"> Where settler-authored texts do not simply depict Indigenous peoples, they actively constitute them within the settler imagination through a recurring set of tropes. That portrays Indigenous peoples as ahistorical, vanishing, spiritual, primitive, environmental stewards, or stoic survivors (Veracini 2021). Ultimately, functioning to</w:t>
      </w:r>
      <w:r>
        <w:rPr>
          <w:rFonts w:ascii="Arial" w:eastAsia="Arial" w:hAnsi="Arial" w:cs="Arial"/>
          <w:color w:val="008000"/>
        </w:rPr>
        <w:t xml:space="preserve"> </w:t>
      </w:r>
      <w:r>
        <w:rPr>
          <w:rFonts w:ascii="Arial" w:eastAsia="Arial" w:hAnsi="Arial" w:cs="Arial"/>
          <w:color w:val="000000"/>
        </w:rPr>
        <w:t>decontextualise Indigenous existence from ongoing relations to land, governance, and nationhood, while naturalising settler modernity and futurity in the consciousness of settler society (De 2025).</w:t>
      </w:r>
    </w:p>
    <w:p w14:paraId="4B0CA7E5"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Crucially, this style of analysis highlights that such constructions are not random but strategic. Aldred’s (2000) analysis of “plastic shamans” demonstrates how settler discourses selectively repackage Indigenous spiritual practices in ways that are palatable to New Age and tourist markets. Similarly, Lightfoot (2016) highlights how selective endorsement</w:t>
      </w:r>
      <w:r>
        <w:rPr>
          <w:rFonts w:ascii="Arial" w:eastAsia="Arial" w:hAnsi="Arial" w:cs="Arial"/>
          <w:color w:val="008000"/>
        </w:rPr>
        <w:t xml:space="preserve"> </w:t>
      </w:r>
      <w:r>
        <w:rPr>
          <w:rFonts w:ascii="Arial" w:eastAsia="Arial" w:hAnsi="Arial" w:cs="Arial"/>
          <w:color w:val="000000"/>
        </w:rPr>
        <w:t>functions within settler colonial contexts: In this, Indigenous cultural forms may be celebrated, but only insofar as they do not threaten settler sovereignty or challenge the distribution of land and power. Texts thus operate as technologies of control, deciding which versions of Indigeneity are made visible, consumable, and authorised, and which are erased, silenced, or discredited.</w:t>
      </w:r>
    </w:p>
    <w:p w14:paraId="3F91DFFF"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This methodological approach, therefore, is aligned with one of the thesis's central theoretical concepts of the settler bricolage of realities (Barker 2021). Utilising both together, this thesis can analyse how settler textual constructions rarely form coherent narratives. Instead, they borrow eclectically from pop culture, museum discourse, spiritual tourism, and Hollywood iconography to create representational palimpsests that are layered and portray often contradictory accounts of Indigeneity in which m</w:t>
      </w:r>
      <w:r>
        <w:rPr>
          <w:rFonts w:ascii="Arial" w:eastAsia="Arial" w:hAnsi="Arial" w:cs="Arial"/>
          <w:color w:val="000000"/>
        </w:rPr>
        <w:t>ultiple stereotypes (the noble savage, the casino Indian, the ecological guardian) can coexist, as will be analysed through the empirical chapters. This incoherence is politically useful: it diffuses Indigenous political threat by flattening complexity into a set of manageable myths, and by authorising only those forms of Indigeneity that are compatible with settler desires (Aldred 2000).</w:t>
      </w:r>
    </w:p>
    <w:p w14:paraId="5A4B1160"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In methodological terms, this project draws on discourse analysis informed by post-structural and decolonial theory. In this, texts are read not only for what they say, but also for what they leave unsaid: silences around genocide, erasures of settler violence, and absences of Indigenous futurities. With a particular focus placed on temporality, where Indigenous peoples are routinely framed as pre-modern, vanishing, or locked into a nostalgic past (Ahmed 2024). Later, analysing during the empirical chapter </w:t>
      </w:r>
      <w:r>
        <w:rPr>
          <w:rFonts w:ascii="Arial" w:eastAsia="Arial" w:hAnsi="Arial" w:cs="Arial"/>
          <w:color w:val="000000"/>
        </w:rPr>
        <w:t xml:space="preserve">how these temporal framings justify settler claims to modernity and land ownership by positioning Indigenous presence as non-threatening to settler futurity. This parallels the analysis taken through visual geographies, creating a linear analytical approach to data collection across primary and secondary data sets. </w:t>
      </w:r>
    </w:p>
    <w:p w14:paraId="0CE6849E"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Therefore, in treating settler-authored media as discursive artifacts, this method underscores the necessity of textual analysis in studies of settler colonial representation. Words, like images, work to commodify, manage, and domesticate Indigeneity. In this, decolonial textual analysis makes these mechanisms visible, revealing how language functions to legitimise settler entitlement while strategically </w:t>
      </w:r>
      <w:r>
        <w:rPr>
          <w:rFonts w:ascii="Arial" w:eastAsia="Arial" w:hAnsi="Arial" w:cs="Arial"/>
          <w:color w:val="000000"/>
        </w:rPr>
        <w:lastRenderedPageBreak/>
        <w:t>authorising certain representations of Indigeneity and suppressing others (Mignolo 2018).</w:t>
      </w:r>
    </w:p>
    <w:p w14:paraId="027A54BA" w14:textId="77777777" w:rsidR="009F0C56" w:rsidRDefault="009F0C56">
      <w:pPr>
        <w:spacing w:after="0" w:line="240" w:lineRule="auto"/>
        <w:rPr>
          <w:rFonts w:ascii="Arial" w:eastAsia="Arial" w:hAnsi="Arial" w:cs="Arial"/>
        </w:rPr>
      </w:pPr>
    </w:p>
    <w:p w14:paraId="2A11274F" w14:textId="77777777" w:rsidR="009F0C56" w:rsidRDefault="00653842">
      <w:pPr>
        <w:pStyle w:val="Heading2"/>
        <w:rPr>
          <w:rFonts w:ascii="Arial" w:eastAsia="Arial" w:hAnsi="Arial" w:cs="Arial"/>
          <w:sz w:val="36"/>
          <w:szCs w:val="36"/>
        </w:rPr>
      </w:pPr>
      <w:bookmarkStart w:id="30" w:name="_Toc240965961"/>
      <w:r>
        <w:rPr>
          <w:rFonts w:ascii="Arial" w:eastAsia="Arial" w:hAnsi="Arial" w:cs="Arial"/>
          <w:sz w:val="36"/>
          <w:szCs w:val="36"/>
        </w:rPr>
        <w:t>3.6 Critically reflecting and moving forward</w:t>
      </w:r>
      <w:bookmarkEnd w:id="30"/>
    </w:p>
    <w:p w14:paraId="6F1DBCF8" w14:textId="77777777" w:rsidR="009F0C56" w:rsidRDefault="00653842">
      <w:pPr>
        <w:spacing w:before="280" w:after="280" w:line="240" w:lineRule="auto"/>
        <w:rPr>
          <w:rFonts w:ascii="Arial" w:eastAsia="Arial" w:hAnsi="Arial" w:cs="Arial"/>
        </w:rPr>
      </w:pPr>
      <w:r>
        <w:rPr>
          <w:rFonts w:ascii="Arial" w:eastAsia="Arial" w:hAnsi="Arial" w:cs="Arial"/>
        </w:rPr>
        <w:t>This section explores critical perspectives on the research process, acknowledging that no methodological approach is without limitations. However, rather than framing these as deficiencies, the aim is to engage with them as opportunities for reflection, dialogue, and ethical practice (Smith 2012). Through examining the choices, positionalities, and interpretive decisions that shape this study, this discussion foregrounds ways to move forward with critical awareness, humility, and a commitment to decolonial</w:t>
      </w:r>
      <w:r>
        <w:rPr>
          <w:rFonts w:ascii="Arial" w:eastAsia="Arial" w:hAnsi="Arial" w:cs="Arial"/>
        </w:rPr>
        <w:t xml:space="preserve"> practices. In doing so, it situates the research within broader debates on representation, ethics, and the politics of knowledge, recognising both the possibilities and the constraints of ethnographic, visual, and textual inquiry.</w:t>
      </w:r>
    </w:p>
    <w:p w14:paraId="62E75A92" w14:textId="77777777" w:rsidR="009F0C56" w:rsidRDefault="00653842">
      <w:pPr>
        <w:pStyle w:val="Heading2"/>
        <w:rPr>
          <w:rFonts w:ascii="Arial" w:eastAsia="Arial" w:hAnsi="Arial" w:cs="Arial"/>
          <w:sz w:val="36"/>
          <w:szCs w:val="36"/>
        </w:rPr>
      </w:pPr>
      <w:bookmarkStart w:id="31" w:name="_Toc240965962"/>
      <w:r>
        <w:rPr>
          <w:rFonts w:ascii="Arial" w:eastAsia="Arial" w:hAnsi="Arial" w:cs="Arial"/>
          <w:sz w:val="36"/>
          <w:szCs w:val="36"/>
        </w:rPr>
        <w:t>3.7 Decolonial Ethnography</w:t>
      </w:r>
      <w:bookmarkEnd w:id="31"/>
    </w:p>
    <w:p w14:paraId="608A8334" w14:textId="77777777" w:rsidR="009F0C56" w:rsidRDefault="00653842">
      <w:pPr>
        <w:spacing w:before="280" w:after="280" w:line="240" w:lineRule="auto"/>
        <w:rPr>
          <w:rFonts w:ascii="Arial" w:eastAsia="Arial" w:hAnsi="Arial" w:cs="Arial"/>
        </w:rPr>
      </w:pPr>
      <w:r>
        <w:rPr>
          <w:rFonts w:ascii="Arial" w:eastAsia="Arial" w:hAnsi="Arial" w:cs="Arial"/>
        </w:rPr>
        <w:t>Decolonial ethnography foregrounds the critique of colonial power structures while recognising the researcher’s positionality and interpretive limitations. In this study, the focus is on settler spaces rather than direct Indigenous collaboration (Manning 2018). This choice works to minimise epistemic extraction and rather foregrounds the critique of settler systems that produce distorted representations of Indigeneity, and respects ethical boundaries around access, consent, and community engagement (Smith 2</w:t>
      </w:r>
      <w:r>
        <w:rPr>
          <w:rFonts w:ascii="Arial" w:eastAsia="Arial" w:hAnsi="Arial" w:cs="Arial"/>
        </w:rPr>
        <w:t>012). Participatory approaches that centre Indigenous voices remain vital to the broader decolonial project, and this research situates itself as complementary rather than a replacement.</w:t>
      </w:r>
    </w:p>
    <w:p w14:paraId="3CD85EDF" w14:textId="77777777" w:rsidR="009F0C56" w:rsidRDefault="00653842">
      <w:pPr>
        <w:spacing w:before="280" w:after="280" w:line="240" w:lineRule="auto"/>
        <w:rPr>
          <w:rFonts w:ascii="Arial" w:eastAsia="Arial" w:hAnsi="Arial" w:cs="Arial"/>
        </w:rPr>
      </w:pPr>
      <w:r>
        <w:rPr>
          <w:rFonts w:ascii="Arial" w:eastAsia="Arial" w:hAnsi="Arial" w:cs="Arial"/>
          <w:color w:val="000000"/>
        </w:rPr>
        <w:t xml:space="preserve">Shortened research time is another important consideration. While limited field engagement may </w:t>
      </w:r>
      <w:r>
        <w:rPr>
          <w:rFonts w:ascii="Arial" w:eastAsia="Arial" w:hAnsi="Arial" w:cs="Arial"/>
        </w:rPr>
        <w:t>limit researchers' depth into the area, it also reduces intrusion into Indigenous or culturally sensitive spaces. This aligns with a decolonial commitment to minimise harm and ethical overreach. Inherent research bias is also acknowledged: the interpretation of visual and textual materials is shaped by the researcher’s positionality and theoretical lens (Manning 2018). Recognising and understanding these biases does not weaken the methodology; rather, it strengthens it by situating the analysis transparentl</w:t>
      </w:r>
      <w:r>
        <w:rPr>
          <w:rFonts w:ascii="Arial" w:eastAsia="Arial" w:hAnsi="Arial" w:cs="Arial"/>
        </w:rPr>
        <w:t>y and promoting critical reflexivity, illustrating that all research is conducted from a perspective, especially within humanities-based research (Mukavetz 2018).</w:t>
      </w:r>
    </w:p>
    <w:p w14:paraId="53BC69F3" w14:textId="77777777" w:rsidR="009F0C56" w:rsidRDefault="009F0C56">
      <w:pPr>
        <w:spacing w:before="280" w:after="280" w:line="240" w:lineRule="auto"/>
        <w:rPr>
          <w:rFonts w:ascii="Arial" w:eastAsia="Arial" w:hAnsi="Arial" w:cs="Arial"/>
        </w:rPr>
      </w:pPr>
    </w:p>
    <w:p w14:paraId="7E39806A" w14:textId="77777777" w:rsidR="009F0C56" w:rsidRDefault="00653842">
      <w:pPr>
        <w:pStyle w:val="Heading2"/>
        <w:rPr>
          <w:rFonts w:ascii="Arial" w:eastAsia="Arial" w:hAnsi="Arial" w:cs="Arial"/>
          <w:sz w:val="36"/>
          <w:szCs w:val="36"/>
        </w:rPr>
      </w:pPr>
      <w:bookmarkStart w:id="32" w:name="_Toc240965963"/>
      <w:r>
        <w:rPr>
          <w:rFonts w:ascii="Arial" w:eastAsia="Arial" w:hAnsi="Arial" w:cs="Arial"/>
          <w:sz w:val="36"/>
          <w:szCs w:val="36"/>
        </w:rPr>
        <w:t>3.8 Reflexive Engagement with Positionality</w:t>
      </w:r>
      <w:bookmarkEnd w:id="32"/>
    </w:p>
    <w:p w14:paraId="7F006D59" w14:textId="77777777" w:rsidR="009F0C56" w:rsidRDefault="00653842">
      <w:pPr>
        <w:spacing w:before="280" w:after="280" w:line="240" w:lineRule="auto"/>
        <w:rPr>
          <w:rFonts w:ascii="Arial" w:eastAsia="Arial" w:hAnsi="Arial" w:cs="Arial"/>
        </w:rPr>
      </w:pPr>
      <w:r>
        <w:rPr>
          <w:rFonts w:ascii="Arial" w:eastAsia="Arial" w:hAnsi="Arial" w:cs="Arial"/>
        </w:rPr>
        <w:t xml:space="preserve">The decision to focus on settler spaces rather than direct collaboration with Indigenous communities reflects an ethical stance designed to avoid epistemic extraction. This choice does not replace or diminish Indigenous-centred research but foregrounds the critique of settler systems and their production of distorted representations of Indigeneity. Navigating access, consent, and positionality shapes </w:t>
      </w:r>
      <w:r>
        <w:rPr>
          <w:rFonts w:ascii="Arial" w:eastAsia="Arial" w:hAnsi="Arial" w:cs="Arial"/>
        </w:rPr>
        <w:lastRenderedPageBreak/>
        <w:t xml:space="preserve">the methodology, highlighting the importance of reflexivity and ongoing learning from Indigenous scholars, artists, and activists whose work speaks directly to these dynamics. </w:t>
      </w:r>
    </w:p>
    <w:p w14:paraId="4E6FDF80" w14:textId="77777777" w:rsidR="009F0C56" w:rsidRDefault="00653842">
      <w:pPr>
        <w:rPr>
          <w:rFonts w:ascii="Arial" w:eastAsia="Arial" w:hAnsi="Arial" w:cs="Arial"/>
        </w:rPr>
      </w:pPr>
      <w:r>
        <w:rPr>
          <w:rFonts w:ascii="Arial" w:eastAsia="Arial" w:hAnsi="Arial" w:cs="Arial"/>
        </w:rPr>
        <w:t>Another element of my positionality is that, while I come from a Euro-Western institution embedded in colonial practices, I have a mixed heritage. This has meant that, while I have received colonial benefits, I have faced prejudice and stigma regarding my background as a visible person of colour. In this context, I have been motivated to engage with multinational struggles against coloniality. Thus, my interest in researching Indigenous representations stems from my personal struggles with colonial attitude</w:t>
      </w:r>
      <w:r>
        <w:rPr>
          <w:rFonts w:ascii="Arial" w:eastAsia="Arial" w:hAnsi="Arial" w:cs="Arial"/>
        </w:rPr>
        <w:t xml:space="preserve">s towards representations and stereotypes. This is not to say, however, that my research is intended to speak on the Seminole and Miccosukee’s behalf; rather, it is a critique of colonial attitudes and epistemes surrounding non-Western positions of ethnicity. </w:t>
      </w:r>
    </w:p>
    <w:p w14:paraId="34DE0831" w14:textId="77777777" w:rsidR="009F0C56" w:rsidRDefault="00653842">
      <w:pPr>
        <w:spacing w:before="280" w:after="280" w:line="240" w:lineRule="auto"/>
        <w:rPr>
          <w:rFonts w:ascii="Arial" w:eastAsia="Arial" w:hAnsi="Arial" w:cs="Arial"/>
        </w:rPr>
      </w:pPr>
      <w:r>
        <w:rPr>
          <w:rFonts w:ascii="Arial" w:eastAsia="Arial" w:hAnsi="Arial" w:cs="Arial"/>
        </w:rPr>
        <w:t>Therefore, by</w:t>
      </w:r>
      <w:r>
        <w:rPr>
          <w:rFonts w:ascii="Arial" w:eastAsia="Arial" w:hAnsi="Arial" w:cs="Arial"/>
          <w:color w:val="008000"/>
        </w:rPr>
        <w:t xml:space="preserve"> </w:t>
      </w:r>
      <w:r>
        <w:rPr>
          <w:rFonts w:ascii="Arial" w:eastAsia="Arial" w:hAnsi="Arial" w:cs="Arial"/>
          <w:color w:val="000000"/>
        </w:rPr>
        <w:t xml:space="preserve">consciously acknowledging the researcher’s positionality as non-Indigenous, the study foregrounds the interpretive nature of ethnographic and visual work. Urban spaces, monuments, and curated settler landscapes are read through a critical lens, aware that meanings are contingent, polysemic, and shaped by diverse audiences. This reflexive stance emphasises </w:t>
      </w:r>
      <w:r>
        <w:rPr>
          <w:rFonts w:ascii="Arial" w:eastAsia="Arial" w:hAnsi="Arial" w:cs="Arial"/>
        </w:rPr>
        <w:t>that the analysis is partial, situated, and dialogical rather than claiming definitive or totalising insight (Mukavetz 2018).</w:t>
      </w:r>
    </w:p>
    <w:p w14:paraId="44ED1FB6" w14:textId="77777777" w:rsidR="009F0C56" w:rsidRDefault="009F0C56">
      <w:pPr>
        <w:spacing w:before="280" w:after="280" w:line="240" w:lineRule="auto"/>
        <w:rPr>
          <w:rFonts w:ascii="Arial" w:eastAsia="Arial" w:hAnsi="Arial" w:cs="Arial"/>
        </w:rPr>
      </w:pPr>
    </w:p>
    <w:p w14:paraId="57E64FC6" w14:textId="77777777" w:rsidR="009F0C56" w:rsidRDefault="00653842">
      <w:pPr>
        <w:pStyle w:val="Heading2"/>
        <w:rPr>
          <w:rFonts w:ascii="Arial" w:eastAsia="Arial" w:hAnsi="Arial" w:cs="Arial"/>
          <w:sz w:val="36"/>
          <w:szCs w:val="36"/>
        </w:rPr>
      </w:pPr>
      <w:bookmarkStart w:id="33" w:name="_Toc240965964"/>
      <w:r>
        <w:rPr>
          <w:rFonts w:ascii="Arial" w:eastAsia="Arial" w:hAnsi="Arial" w:cs="Arial"/>
          <w:sz w:val="36"/>
          <w:szCs w:val="36"/>
        </w:rPr>
        <w:t>3.9 Situating Representation and Visual Analysis</w:t>
      </w:r>
      <w:bookmarkEnd w:id="33"/>
    </w:p>
    <w:p w14:paraId="398F43C9" w14:textId="77777777" w:rsidR="009F0C56" w:rsidRDefault="00653842">
      <w:pPr>
        <w:spacing w:before="280" w:after="280" w:line="240" w:lineRule="auto"/>
        <w:rPr>
          <w:rFonts w:ascii="Arial" w:eastAsia="Arial" w:hAnsi="Arial" w:cs="Arial"/>
        </w:rPr>
      </w:pPr>
      <w:r>
        <w:rPr>
          <w:rFonts w:ascii="Arial" w:eastAsia="Arial" w:hAnsi="Arial" w:cs="Arial"/>
          <w:color w:val="000000"/>
        </w:rPr>
        <w:t xml:space="preserve">Visual ethnography offers tools to interrogate how settler colonialism is reproduced through landscapes, media, and urban imagery. The study focuses on settler-produced visuals and texts to trace the mechanisms of commodification, stereotyping, and systemic erasure of Indigenous presence </w:t>
      </w:r>
      <w:r>
        <w:rPr>
          <w:rFonts w:ascii="Arial" w:eastAsia="Arial" w:hAnsi="Arial" w:cs="Arial"/>
        </w:rPr>
        <w:t>(Muller-Mahn 2025). While this focus provides a critical lens on settler systems, it also recognises the richness of Indigenous counter-narratives and alternative epistemologies, highlighting the need to learn from these perspectives even when direct engagement is not feasible within this project’s scope.</w:t>
      </w:r>
    </w:p>
    <w:p w14:paraId="48283C3A" w14:textId="77777777" w:rsidR="009F0C56" w:rsidRDefault="00653842">
      <w:pPr>
        <w:spacing w:before="280" w:after="280" w:line="240" w:lineRule="auto"/>
        <w:rPr>
          <w:rFonts w:ascii="Arial" w:eastAsia="Arial" w:hAnsi="Arial" w:cs="Arial"/>
        </w:rPr>
      </w:pPr>
      <w:r>
        <w:rPr>
          <w:rFonts w:ascii="Arial" w:eastAsia="Arial" w:hAnsi="Arial" w:cs="Arial"/>
        </w:rPr>
        <w:t>The polysemic nature of visual signs and media underscores the contingent character of interpretation. Monuments, advertisements, and curated urban images can be experienced differently by diverse audiences, pride, indifference, grief, or anger, and these varying readings inform both the analysis and its limitations. Through foregrounding the interpretive and ethical stakes of representation, the study models a practice of careful, critical engagement that resists simplistic readings of complex cultural and</w:t>
      </w:r>
      <w:r>
        <w:rPr>
          <w:rFonts w:ascii="Arial" w:eastAsia="Arial" w:hAnsi="Arial" w:cs="Arial"/>
        </w:rPr>
        <w:t xml:space="preserve"> political phenomena (Barker, Pickerill, 2024).</w:t>
      </w:r>
    </w:p>
    <w:p w14:paraId="4A9B5E7A" w14:textId="77777777" w:rsidR="009F0C56" w:rsidRDefault="009F0C56">
      <w:pPr>
        <w:spacing w:before="280" w:after="280" w:line="240" w:lineRule="auto"/>
        <w:rPr>
          <w:rFonts w:ascii="Arial" w:eastAsia="Arial" w:hAnsi="Arial" w:cs="Arial"/>
        </w:rPr>
      </w:pPr>
    </w:p>
    <w:p w14:paraId="45844D41" w14:textId="77777777" w:rsidR="009F0C56" w:rsidRDefault="00653842">
      <w:pPr>
        <w:pStyle w:val="Heading2"/>
        <w:rPr>
          <w:rFonts w:ascii="Arial" w:eastAsia="Arial" w:hAnsi="Arial" w:cs="Arial"/>
          <w:sz w:val="36"/>
          <w:szCs w:val="36"/>
        </w:rPr>
      </w:pPr>
      <w:bookmarkStart w:id="34" w:name="_Toc240965965"/>
      <w:r>
        <w:rPr>
          <w:rFonts w:ascii="Arial" w:eastAsia="Arial" w:hAnsi="Arial" w:cs="Arial"/>
          <w:sz w:val="36"/>
          <w:szCs w:val="36"/>
        </w:rPr>
        <w:lastRenderedPageBreak/>
        <w:t>3.10 Engaging with Text and Media</w:t>
      </w:r>
      <w:bookmarkEnd w:id="34"/>
    </w:p>
    <w:p w14:paraId="7F9495C5"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Textual analysis provides insight into the discursive structures that sustain settler colonialism. In examining public media, promotional materials, and cultural texts, the project interrogates how narratives, imagery, and language shape perceptions of Indigenous identity and settler futurity. This approach acknowledges that texts are interpreted differently across audiences and that Indigenous communities actively produce counter-discourses that challenge and exceed colonial frameworks (Mukavetz 2018).</w:t>
      </w:r>
    </w:p>
    <w:p w14:paraId="02429AA2"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While the study focuses on representation, it also gestures toward broader political, social, and economic stakes, particularly the intersections of tourism, commodification, and settler colonial infrastructures. This perspective allows for a critical exploration of systemic dynamics while remaining aware of the gaps created by focusing primarily on visual and textual materials rather than lived experiences or production processes (Manning 2018).</w:t>
      </w:r>
    </w:p>
    <w:p w14:paraId="5032FA43" w14:textId="77777777" w:rsidR="009F0C56" w:rsidRDefault="009F0C56">
      <w:pPr>
        <w:spacing w:before="280" w:after="280" w:line="240" w:lineRule="auto"/>
        <w:rPr>
          <w:rFonts w:ascii="Arial" w:eastAsia="Arial" w:hAnsi="Arial" w:cs="Arial"/>
          <w:color w:val="000000"/>
        </w:rPr>
      </w:pPr>
    </w:p>
    <w:p w14:paraId="4EB7CC22" w14:textId="77777777" w:rsidR="009F0C56" w:rsidRDefault="00653842">
      <w:pPr>
        <w:pStyle w:val="Heading2"/>
        <w:rPr>
          <w:rFonts w:ascii="Arial" w:eastAsia="Arial" w:hAnsi="Arial" w:cs="Arial"/>
          <w:sz w:val="36"/>
          <w:szCs w:val="36"/>
        </w:rPr>
      </w:pPr>
      <w:bookmarkStart w:id="35" w:name="_Toc240965966"/>
      <w:r>
        <w:rPr>
          <w:rFonts w:ascii="Arial" w:eastAsia="Arial" w:hAnsi="Arial" w:cs="Arial"/>
          <w:sz w:val="36"/>
          <w:szCs w:val="36"/>
        </w:rPr>
        <w:t>3.11 Moving Forward Critically</w:t>
      </w:r>
      <w:bookmarkEnd w:id="35"/>
    </w:p>
    <w:p w14:paraId="7C1F257D" w14:textId="77777777" w:rsidR="009F0C56" w:rsidRDefault="00653842">
      <w:pPr>
        <w:spacing w:before="280" w:after="280" w:line="240" w:lineRule="auto"/>
        <w:rPr>
          <w:rFonts w:ascii="Arial" w:eastAsia="Arial" w:hAnsi="Arial" w:cs="Arial"/>
          <w:color w:val="000000"/>
        </w:rPr>
      </w:pPr>
      <w:r>
        <w:rPr>
          <w:rFonts w:ascii="Arial" w:eastAsia="Arial" w:hAnsi="Arial" w:cs="Arial"/>
        </w:rPr>
        <w:t xml:space="preserve">Through reflecting on positionality, interpretive limits, and the polysemic nature of texts and images, this section highlights ways to engage research ethically and critically. Recognising that no methodology is perfect opens space for dialogue, learning, and collaboration. This approach </w:t>
      </w:r>
      <w:r>
        <w:rPr>
          <w:rFonts w:ascii="Arial" w:eastAsia="Arial" w:hAnsi="Arial" w:cs="Arial"/>
          <w:color w:val="000000"/>
        </w:rPr>
        <w:t>emphasises that critical decolonial inquiry is ongoing, situated, and relational, aiming not to produce a final account but to illuminate pathways for understanding, resistance, and transformation within settler colonial contexts (Smith 2012).</w:t>
      </w:r>
    </w:p>
    <w:p w14:paraId="51EE3740"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In this, each of these methodological tools contributes to the decolonial aims of the thesis in specific ways:</w:t>
      </w:r>
    </w:p>
    <w:p w14:paraId="3ACA826B" w14:textId="77777777" w:rsidR="009F0C56" w:rsidRDefault="00653842">
      <w:pPr>
        <w:numPr>
          <w:ilvl w:val="0"/>
          <w:numId w:val="4"/>
        </w:numPr>
        <w:spacing w:before="280" w:after="0" w:line="240" w:lineRule="auto"/>
        <w:rPr>
          <w:color w:val="000000"/>
        </w:rPr>
      </w:pPr>
      <w:r>
        <w:rPr>
          <w:rFonts w:ascii="Arial" w:eastAsia="Arial" w:hAnsi="Arial" w:cs="Arial"/>
          <w:color w:val="000000"/>
        </w:rPr>
        <w:t>Critical decolonial ethnography allows the researcher to interrogate settler society without reproducing colonial violence through representation or presence.</w:t>
      </w:r>
    </w:p>
    <w:p w14:paraId="05FA197E" w14:textId="77777777" w:rsidR="009F0C56" w:rsidRDefault="00653842">
      <w:pPr>
        <w:numPr>
          <w:ilvl w:val="0"/>
          <w:numId w:val="4"/>
        </w:numPr>
        <w:spacing w:after="0" w:line="240" w:lineRule="auto"/>
        <w:rPr>
          <w:color w:val="000000"/>
        </w:rPr>
      </w:pPr>
      <w:r>
        <w:rPr>
          <w:rFonts w:ascii="Arial" w:eastAsia="Arial" w:hAnsi="Arial" w:cs="Arial"/>
          <w:color w:val="000000"/>
        </w:rPr>
        <w:t>Visual geographies dismantle the surface neutrality of images and expose how settler colonial power is encoded in the visual field, contributing to the erasure or misrepresentation of Indigenous peoples.</w:t>
      </w:r>
    </w:p>
    <w:p w14:paraId="66B0A959" w14:textId="77777777" w:rsidR="009F0C56" w:rsidRDefault="00653842">
      <w:pPr>
        <w:numPr>
          <w:ilvl w:val="0"/>
          <w:numId w:val="4"/>
        </w:numPr>
        <w:spacing w:after="280" w:line="240" w:lineRule="auto"/>
        <w:rPr>
          <w:color w:val="000000"/>
        </w:rPr>
      </w:pPr>
      <w:r>
        <w:rPr>
          <w:rFonts w:ascii="Arial" w:eastAsia="Arial" w:hAnsi="Arial" w:cs="Arial"/>
          <w:color w:val="000000"/>
        </w:rPr>
        <w:t>Textual deconstruction of settler media traces how capitalism, tourism, and heritage industries contribute to the commodification and reification of Indigeneity.</w:t>
      </w:r>
    </w:p>
    <w:p w14:paraId="225DAC7A"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Together, these methods help expose the cultural and epistemological mechanisms through which settler South Florida produces and circulates representations of the Seminole and Miccosukee. They ensure that the analysis is not limited to policy or discourse but extends into the material and visual realm, where settler colonial ideology is made visible, normalised, and reproduced.</w:t>
      </w:r>
    </w:p>
    <w:p w14:paraId="7EAE826F"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lastRenderedPageBreak/>
        <w:t>In line with the thesis objectives, these methods reveal how Indigenous representations are not benign cultural artefacts, but active technologies of settler control. Whether through tourism, urban design, or public memory, these representations shape what it means to be “Indian” in the settler imaginary, reinforcing hierarchies, silencing dissent, and maintaining the colonial matrix of power (Quijano 2007).</w:t>
      </w:r>
    </w:p>
    <w:p w14:paraId="07CECC6C" w14:textId="77777777" w:rsidR="009F0C56" w:rsidRDefault="009F0C56">
      <w:pPr>
        <w:spacing w:before="280" w:after="280" w:line="240" w:lineRule="auto"/>
        <w:rPr>
          <w:rFonts w:ascii="Arial" w:eastAsia="Arial" w:hAnsi="Arial" w:cs="Arial"/>
          <w:color w:val="000000"/>
        </w:rPr>
      </w:pPr>
    </w:p>
    <w:p w14:paraId="2384F486" w14:textId="77777777" w:rsidR="009F0C56" w:rsidRDefault="00653842">
      <w:pPr>
        <w:pStyle w:val="Heading2"/>
        <w:rPr>
          <w:rFonts w:ascii="Arial" w:eastAsia="Arial" w:hAnsi="Arial" w:cs="Arial"/>
          <w:sz w:val="36"/>
          <w:szCs w:val="36"/>
        </w:rPr>
      </w:pPr>
      <w:bookmarkStart w:id="36" w:name="_Toc240965967"/>
      <w:r>
        <w:rPr>
          <w:rFonts w:ascii="Arial" w:eastAsia="Arial" w:hAnsi="Arial" w:cs="Arial"/>
          <w:sz w:val="36"/>
          <w:szCs w:val="36"/>
        </w:rPr>
        <w:t>3.12 Research Design</w:t>
      </w:r>
      <w:bookmarkEnd w:id="36"/>
    </w:p>
    <w:p w14:paraId="3EA56F61"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 xml:space="preserve">This chapter concludes by outlining the research design, detailing how the data was collected, organised, and analysed across both urban and reservation-based sites in South Florida. The aim is to make transparent the interpretive processes at work, showing how images, observations, and textual materials were read through the theoretical frameworks established in the previous chapter. In this way, the methodology not only explains the practical </w:t>
      </w:r>
      <w:r>
        <w:rPr>
          <w:rFonts w:ascii="Arial" w:eastAsia="Arial" w:hAnsi="Arial" w:cs="Arial"/>
          <w:i/>
          <w:iCs/>
          <w:color w:val="000000"/>
        </w:rPr>
        <w:t>how</w:t>
      </w:r>
      <w:r>
        <w:rPr>
          <w:rFonts w:ascii="Arial" w:eastAsia="Arial" w:hAnsi="Arial" w:cs="Arial"/>
          <w:color w:val="000000"/>
        </w:rPr>
        <w:t xml:space="preserve"> of the research but also foregrounds the critical </w:t>
      </w:r>
      <w:r>
        <w:rPr>
          <w:rFonts w:ascii="Arial" w:eastAsia="Arial" w:hAnsi="Arial" w:cs="Arial"/>
          <w:i/>
          <w:iCs/>
          <w:color w:val="000000"/>
        </w:rPr>
        <w:t>why</w:t>
      </w:r>
      <w:r>
        <w:rPr>
          <w:rFonts w:ascii="Arial" w:eastAsia="Arial" w:hAnsi="Arial" w:cs="Arial"/>
          <w:color w:val="000000"/>
        </w:rPr>
        <w:t>: how methodological decisions were shaped by decolonial commitments, and why these approaches are necessary to trace how settler colonialism continues to structure the representation and commodification of Seminole and Miccosukee peoples in contemporary South Florida.</w:t>
      </w:r>
    </w:p>
    <w:p w14:paraId="6BAEA6A4" w14:textId="77777777" w:rsidR="009F0C56" w:rsidRDefault="009F0C56">
      <w:pPr>
        <w:spacing w:before="280" w:after="280" w:line="240" w:lineRule="auto"/>
        <w:rPr>
          <w:rFonts w:ascii="Arial" w:eastAsia="Arial" w:hAnsi="Arial" w:cs="Arial"/>
          <w:color w:val="000000"/>
        </w:rPr>
      </w:pPr>
    </w:p>
    <w:p w14:paraId="263BC995" w14:textId="77777777" w:rsidR="009F0C56" w:rsidRDefault="00653842">
      <w:pPr>
        <w:pStyle w:val="Heading2"/>
        <w:rPr>
          <w:rFonts w:ascii="Arial" w:eastAsia="Arial" w:hAnsi="Arial" w:cs="Arial"/>
          <w:sz w:val="36"/>
          <w:szCs w:val="36"/>
        </w:rPr>
      </w:pPr>
      <w:bookmarkStart w:id="37" w:name="_Toc240965968"/>
      <w:r>
        <w:rPr>
          <w:rFonts w:ascii="Arial" w:eastAsia="Arial" w:hAnsi="Arial" w:cs="Arial"/>
          <w:sz w:val="36"/>
          <w:szCs w:val="36"/>
        </w:rPr>
        <w:t>3.13 Research Locations</w:t>
      </w:r>
      <w:bookmarkEnd w:id="37"/>
    </w:p>
    <w:p w14:paraId="5EB11119" w14:textId="77777777" w:rsidR="009F0C56" w:rsidRDefault="00653842">
      <w:pPr>
        <w:spacing w:before="280" w:after="280" w:line="240" w:lineRule="auto"/>
        <w:rPr>
          <w:rFonts w:ascii="Arial" w:eastAsia="Arial" w:hAnsi="Arial" w:cs="Arial"/>
        </w:rPr>
      </w:pPr>
      <w:r>
        <w:rPr>
          <w:rFonts w:ascii="Arial" w:eastAsia="Arial" w:hAnsi="Arial" w:cs="Arial"/>
        </w:rPr>
        <w:t>The fieldwork focused on both Indigenous and settler-controlled sites, as well as online and commercial spaces. This included reservation-based locations where Seminole and Miccosukee identities are directly represented in cultural, heritage, and tourist economies, alongside urban Miami spaces where Indigenous motifs appear in more fragmented or commodified forms. Online and promotional platforms provided further material, showing how these representations circulate beyond the immediate field site.</w:t>
      </w:r>
    </w:p>
    <w:p w14:paraId="49E9E038" w14:textId="77777777" w:rsidR="009F0C56" w:rsidRDefault="009F0C56">
      <w:pPr>
        <w:spacing w:before="280" w:after="280" w:line="240" w:lineRule="auto"/>
        <w:rPr>
          <w:rFonts w:ascii="Arial" w:eastAsia="Arial" w:hAnsi="Arial" w:cs="Arial"/>
        </w:rPr>
      </w:pPr>
    </w:p>
    <w:p w14:paraId="2C4BB304" w14:textId="77777777" w:rsidR="009F0C56" w:rsidRDefault="009F0C56">
      <w:pPr>
        <w:spacing w:before="280" w:after="280" w:line="240" w:lineRule="auto"/>
        <w:rPr>
          <w:rFonts w:ascii="Arial" w:eastAsia="Arial" w:hAnsi="Arial" w:cs="Arial"/>
        </w:rPr>
      </w:pPr>
    </w:p>
    <w:p w14:paraId="6F1F5ECA" w14:textId="77777777" w:rsidR="009F0C56" w:rsidRDefault="009F0C56">
      <w:pPr>
        <w:spacing w:before="280" w:after="280" w:line="240" w:lineRule="auto"/>
        <w:rPr>
          <w:rFonts w:ascii="Arial" w:eastAsia="Arial" w:hAnsi="Arial" w:cs="Arial"/>
        </w:rPr>
      </w:pPr>
    </w:p>
    <w:p w14:paraId="21847062" w14:textId="77777777" w:rsidR="009F0C56" w:rsidRDefault="009F0C56">
      <w:pPr>
        <w:spacing w:before="280" w:after="280" w:line="240" w:lineRule="auto"/>
        <w:rPr>
          <w:rFonts w:ascii="Arial" w:eastAsia="Arial" w:hAnsi="Arial" w:cs="Arial"/>
        </w:rPr>
      </w:pPr>
    </w:p>
    <w:p w14:paraId="70D822F6" w14:textId="77777777" w:rsidR="009F0C56" w:rsidRDefault="009F0C56">
      <w:pPr>
        <w:spacing w:before="280" w:after="280" w:line="240" w:lineRule="auto"/>
        <w:rPr>
          <w:rFonts w:ascii="Arial" w:eastAsia="Arial" w:hAnsi="Arial" w:cs="Arial"/>
        </w:rPr>
      </w:pPr>
    </w:p>
    <w:p w14:paraId="2EC21C86" w14:textId="77777777" w:rsidR="009F0C56" w:rsidRDefault="009F0C56">
      <w:pPr>
        <w:spacing w:before="280" w:after="280" w:line="240" w:lineRule="auto"/>
        <w:rPr>
          <w:rFonts w:ascii="Arial" w:eastAsia="Arial" w:hAnsi="Arial" w:cs="Arial"/>
        </w:rPr>
      </w:pPr>
    </w:p>
    <w:p w14:paraId="67CCFC8C" w14:textId="77777777" w:rsidR="009F0C56" w:rsidRDefault="009F0C56">
      <w:pPr>
        <w:spacing w:before="280" w:after="280" w:line="240" w:lineRule="auto"/>
        <w:rPr>
          <w:rFonts w:ascii="Arial" w:eastAsia="Arial" w:hAnsi="Arial" w:cs="Arial"/>
        </w:rPr>
      </w:pPr>
    </w:p>
    <w:p w14:paraId="3E0165B8" w14:textId="77777777" w:rsidR="009F0C56" w:rsidRDefault="00653842">
      <w:pPr>
        <w:spacing w:before="280" w:after="280" w:line="240" w:lineRule="auto"/>
        <w:rPr>
          <w:rFonts w:ascii="Arial" w:eastAsia="Arial" w:hAnsi="Arial" w:cs="Arial"/>
        </w:rPr>
      </w:pPr>
      <w:r>
        <w:rPr>
          <w:rFonts w:ascii="Arial" w:eastAsia="Arial" w:hAnsi="Arial" w:cs="Arial"/>
          <w:b/>
          <w:bCs/>
        </w:rPr>
        <w:lastRenderedPageBreak/>
        <w:t>Table 1: Research Locations, Data Types, and Analytical Approaches</w:t>
      </w: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8"/>
        <w:gridCol w:w="2830"/>
        <w:gridCol w:w="2421"/>
        <w:gridCol w:w="2137"/>
      </w:tblGrid>
      <w:tr w:rsidR="009F0C56" w14:paraId="67137173" w14:textId="77777777">
        <w:trPr>
          <w:tblHeader/>
        </w:trPr>
        <w:tc>
          <w:tcPr>
            <w:tcW w:w="1628" w:type="dxa"/>
            <w:vAlign w:val="center"/>
          </w:tcPr>
          <w:p w14:paraId="56A81C09" w14:textId="77777777" w:rsidR="009F0C56" w:rsidRDefault="00653842">
            <w:pPr>
              <w:spacing w:after="0" w:line="240" w:lineRule="auto"/>
              <w:jc w:val="center"/>
              <w:rPr>
                <w:rFonts w:ascii="Arial" w:eastAsia="Arial" w:hAnsi="Arial" w:cs="Arial"/>
                <w:b/>
                <w:bCs/>
              </w:rPr>
            </w:pPr>
            <w:r>
              <w:rPr>
                <w:rFonts w:ascii="Arial" w:eastAsia="Arial" w:hAnsi="Arial" w:cs="Arial"/>
                <w:b/>
                <w:bCs/>
              </w:rPr>
              <w:t>Category</w:t>
            </w:r>
          </w:p>
        </w:tc>
        <w:tc>
          <w:tcPr>
            <w:tcW w:w="2830" w:type="dxa"/>
            <w:vAlign w:val="center"/>
          </w:tcPr>
          <w:p w14:paraId="0A485718" w14:textId="77777777" w:rsidR="009F0C56" w:rsidRDefault="00653842">
            <w:pPr>
              <w:spacing w:after="0" w:line="240" w:lineRule="auto"/>
              <w:jc w:val="center"/>
              <w:rPr>
                <w:rFonts w:ascii="Arial" w:eastAsia="Arial" w:hAnsi="Arial" w:cs="Arial"/>
                <w:b/>
                <w:bCs/>
              </w:rPr>
            </w:pPr>
            <w:r>
              <w:rPr>
                <w:rFonts w:ascii="Arial" w:eastAsia="Arial" w:hAnsi="Arial" w:cs="Arial"/>
                <w:b/>
                <w:bCs/>
              </w:rPr>
              <w:t>Sites / Examples</w:t>
            </w:r>
          </w:p>
        </w:tc>
        <w:tc>
          <w:tcPr>
            <w:tcW w:w="2421" w:type="dxa"/>
            <w:vAlign w:val="center"/>
          </w:tcPr>
          <w:p w14:paraId="1441F4AF" w14:textId="77777777" w:rsidR="009F0C56" w:rsidRDefault="00653842">
            <w:pPr>
              <w:spacing w:after="0" w:line="240" w:lineRule="auto"/>
              <w:jc w:val="center"/>
              <w:rPr>
                <w:rFonts w:ascii="Arial" w:eastAsia="Arial" w:hAnsi="Arial" w:cs="Arial"/>
                <w:b/>
                <w:bCs/>
              </w:rPr>
            </w:pPr>
            <w:r>
              <w:rPr>
                <w:rFonts w:ascii="Arial" w:eastAsia="Arial" w:hAnsi="Arial" w:cs="Arial"/>
                <w:b/>
                <w:bCs/>
              </w:rPr>
              <w:t>Data Collected</w:t>
            </w:r>
          </w:p>
        </w:tc>
        <w:tc>
          <w:tcPr>
            <w:tcW w:w="2137" w:type="dxa"/>
            <w:vAlign w:val="center"/>
          </w:tcPr>
          <w:p w14:paraId="4154A38F" w14:textId="77777777" w:rsidR="009F0C56" w:rsidRDefault="00653842">
            <w:pPr>
              <w:spacing w:after="0" w:line="240" w:lineRule="auto"/>
              <w:jc w:val="center"/>
              <w:rPr>
                <w:rFonts w:ascii="Arial" w:eastAsia="Arial" w:hAnsi="Arial" w:cs="Arial"/>
                <w:b/>
                <w:bCs/>
              </w:rPr>
            </w:pPr>
            <w:r>
              <w:rPr>
                <w:rFonts w:ascii="Arial" w:eastAsia="Arial" w:hAnsi="Arial" w:cs="Arial"/>
                <w:b/>
                <w:bCs/>
              </w:rPr>
              <w:t>Analytical Approach</w:t>
            </w:r>
          </w:p>
        </w:tc>
      </w:tr>
      <w:tr w:rsidR="009F0C56" w14:paraId="29FC928F" w14:textId="77777777">
        <w:tc>
          <w:tcPr>
            <w:tcW w:w="1628" w:type="dxa"/>
            <w:vAlign w:val="center"/>
          </w:tcPr>
          <w:p w14:paraId="6FF43412" w14:textId="77777777" w:rsidR="009F0C56" w:rsidRDefault="00653842">
            <w:pPr>
              <w:spacing w:after="0" w:line="240" w:lineRule="auto"/>
              <w:rPr>
                <w:rFonts w:ascii="Arial" w:eastAsia="Arial" w:hAnsi="Arial" w:cs="Arial"/>
              </w:rPr>
            </w:pPr>
            <w:r>
              <w:rPr>
                <w:rFonts w:ascii="Arial" w:eastAsia="Arial" w:hAnsi="Arial" w:cs="Arial"/>
                <w:b/>
                <w:bCs/>
              </w:rPr>
              <w:t>Indigenous-run sites</w:t>
            </w:r>
          </w:p>
        </w:tc>
        <w:tc>
          <w:tcPr>
            <w:tcW w:w="2830" w:type="dxa"/>
            <w:vAlign w:val="center"/>
          </w:tcPr>
          <w:p w14:paraId="067E9AF1" w14:textId="77777777" w:rsidR="009F0C56" w:rsidRDefault="00653842">
            <w:pPr>
              <w:spacing w:after="0" w:line="240" w:lineRule="auto"/>
              <w:rPr>
                <w:rFonts w:ascii="Arial" w:eastAsia="Arial" w:hAnsi="Arial" w:cs="Arial"/>
              </w:rPr>
            </w:pPr>
            <w:r>
              <w:rPr>
                <w:rFonts w:ascii="Arial" w:eastAsia="Arial" w:hAnsi="Arial" w:cs="Arial"/>
              </w:rPr>
              <w:t>Tiger Tail Clan Airboat Rides (Miccosukee), Everglades tourist areas, Miccosukee Indian Village, Ah-Tah-Thi-Ki Seminole Museum, Seminole Hard Rock Casino, Seminole Trading Posts</w:t>
            </w:r>
          </w:p>
        </w:tc>
        <w:tc>
          <w:tcPr>
            <w:tcW w:w="2421" w:type="dxa"/>
            <w:vAlign w:val="center"/>
          </w:tcPr>
          <w:p w14:paraId="420AC187" w14:textId="77777777" w:rsidR="009F0C56" w:rsidRDefault="00653842">
            <w:pPr>
              <w:spacing w:after="0" w:line="240" w:lineRule="auto"/>
              <w:rPr>
                <w:rFonts w:ascii="Arial" w:eastAsia="Arial" w:hAnsi="Arial" w:cs="Arial"/>
              </w:rPr>
            </w:pPr>
            <w:r>
              <w:rPr>
                <w:rFonts w:ascii="Arial" w:eastAsia="Arial" w:hAnsi="Arial" w:cs="Arial"/>
              </w:rPr>
              <w:t>Photographs of signage, promotional materials, museum exhibits, field notes, and online advertisements</w:t>
            </w:r>
          </w:p>
        </w:tc>
        <w:tc>
          <w:tcPr>
            <w:tcW w:w="2137" w:type="dxa"/>
            <w:vAlign w:val="center"/>
          </w:tcPr>
          <w:p w14:paraId="31AF37CD" w14:textId="77777777" w:rsidR="009F0C56" w:rsidRDefault="00653842">
            <w:pPr>
              <w:spacing w:after="0" w:line="240" w:lineRule="auto"/>
              <w:rPr>
                <w:rFonts w:ascii="Arial" w:eastAsia="Arial" w:hAnsi="Arial" w:cs="Arial"/>
              </w:rPr>
            </w:pPr>
            <w:r>
              <w:rPr>
                <w:rFonts w:ascii="Arial" w:eastAsia="Arial" w:hAnsi="Arial" w:cs="Arial"/>
              </w:rPr>
              <w:t>Visual ethnography, discourse analysis, site interpretation</w:t>
            </w:r>
          </w:p>
        </w:tc>
      </w:tr>
      <w:tr w:rsidR="009F0C56" w14:paraId="5C47D384" w14:textId="77777777">
        <w:tc>
          <w:tcPr>
            <w:tcW w:w="1628" w:type="dxa"/>
            <w:vAlign w:val="center"/>
          </w:tcPr>
          <w:p w14:paraId="598F3EAE" w14:textId="77777777" w:rsidR="009F0C56" w:rsidRDefault="00653842">
            <w:pPr>
              <w:spacing w:after="0" w:line="240" w:lineRule="auto"/>
              <w:rPr>
                <w:rFonts w:ascii="Arial" w:eastAsia="Arial" w:hAnsi="Arial" w:cs="Arial"/>
              </w:rPr>
            </w:pPr>
            <w:r>
              <w:rPr>
                <w:rFonts w:ascii="Arial" w:eastAsia="Arial" w:hAnsi="Arial" w:cs="Arial"/>
                <w:b/>
                <w:bCs/>
              </w:rPr>
              <w:t>Settler-controlled sites</w:t>
            </w:r>
          </w:p>
        </w:tc>
        <w:tc>
          <w:tcPr>
            <w:tcW w:w="2830" w:type="dxa"/>
            <w:vAlign w:val="center"/>
          </w:tcPr>
          <w:p w14:paraId="67648508" w14:textId="77777777" w:rsidR="009F0C56" w:rsidRDefault="00653842">
            <w:pPr>
              <w:spacing w:after="0" w:line="240" w:lineRule="auto"/>
              <w:rPr>
                <w:rFonts w:ascii="Arial" w:eastAsia="Arial" w:hAnsi="Arial" w:cs="Arial"/>
              </w:rPr>
            </w:pPr>
            <w:r>
              <w:rPr>
                <w:rFonts w:ascii="Arial" w:eastAsia="Arial" w:hAnsi="Arial" w:cs="Arial"/>
              </w:rPr>
              <w:t>Commercial airboat companies (non-Indigenous), Wynwood shops and pavements, Circle Point Miami, Little Havana, local bookshops, Chickee-style huts along beach promenades</w:t>
            </w:r>
          </w:p>
        </w:tc>
        <w:tc>
          <w:tcPr>
            <w:tcW w:w="2421" w:type="dxa"/>
            <w:vAlign w:val="center"/>
          </w:tcPr>
          <w:p w14:paraId="16506C5C" w14:textId="77777777" w:rsidR="009F0C56" w:rsidRDefault="00653842">
            <w:pPr>
              <w:spacing w:after="0" w:line="240" w:lineRule="auto"/>
              <w:rPr>
                <w:rFonts w:ascii="Arial" w:eastAsia="Arial" w:hAnsi="Arial" w:cs="Arial"/>
              </w:rPr>
            </w:pPr>
            <w:r>
              <w:rPr>
                <w:rFonts w:ascii="Arial" w:eastAsia="Arial" w:hAnsi="Arial" w:cs="Arial"/>
              </w:rPr>
              <w:t>Photographs, observational notes, brochures, and online marketing materials</w:t>
            </w:r>
          </w:p>
        </w:tc>
        <w:tc>
          <w:tcPr>
            <w:tcW w:w="2137" w:type="dxa"/>
            <w:vAlign w:val="center"/>
          </w:tcPr>
          <w:p w14:paraId="2659C0D8" w14:textId="77777777" w:rsidR="009F0C56" w:rsidRDefault="00653842">
            <w:pPr>
              <w:spacing w:after="0" w:line="240" w:lineRule="auto"/>
              <w:rPr>
                <w:rFonts w:ascii="Arial" w:eastAsia="Arial" w:hAnsi="Arial" w:cs="Arial"/>
              </w:rPr>
            </w:pPr>
            <w:r>
              <w:rPr>
                <w:rFonts w:ascii="Arial" w:eastAsia="Arial" w:hAnsi="Arial" w:cs="Arial"/>
              </w:rPr>
              <w:t>Visual ethnography, discourse analysis, and critical reading of settler representation</w:t>
            </w:r>
          </w:p>
        </w:tc>
      </w:tr>
      <w:tr w:rsidR="009F0C56" w14:paraId="1EE68715" w14:textId="77777777">
        <w:tc>
          <w:tcPr>
            <w:tcW w:w="1628" w:type="dxa"/>
            <w:vAlign w:val="center"/>
          </w:tcPr>
          <w:p w14:paraId="4A8A5FDF" w14:textId="77777777" w:rsidR="009F0C56" w:rsidRDefault="00653842">
            <w:pPr>
              <w:spacing w:after="0" w:line="240" w:lineRule="auto"/>
              <w:rPr>
                <w:rFonts w:ascii="Arial" w:eastAsia="Arial" w:hAnsi="Arial" w:cs="Arial"/>
              </w:rPr>
            </w:pPr>
            <w:r>
              <w:rPr>
                <w:rFonts w:ascii="Arial" w:eastAsia="Arial" w:hAnsi="Arial" w:cs="Arial"/>
                <w:b/>
                <w:bCs/>
              </w:rPr>
              <w:t>Urban &amp; digital circulation spaces</w:t>
            </w:r>
          </w:p>
        </w:tc>
        <w:tc>
          <w:tcPr>
            <w:tcW w:w="2830" w:type="dxa"/>
            <w:vAlign w:val="center"/>
          </w:tcPr>
          <w:p w14:paraId="398CBD96" w14:textId="77777777" w:rsidR="009F0C56" w:rsidRDefault="00653842">
            <w:pPr>
              <w:spacing w:after="0" w:line="240" w:lineRule="auto"/>
              <w:rPr>
                <w:rFonts w:ascii="Arial" w:eastAsia="Arial" w:hAnsi="Arial" w:cs="Arial"/>
              </w:rPr>
            </w:pPr>
            <w:r>
              <w:rPr>
                <w:rFonts w:ascii="Arial" w:eastAsia="Arial" w:hAnsi="Arial" w:cs="Arial"/>
              </w:rPr>
              <w:t>Miami Beach tourist zones, Bayside Marketplace, advertising campaigns from Visit Florida &amp; Greater Miami CBD, travel agency websites</w:t>
            </w:r>
          </w:p>
        </w:tc>
        <w:tc>
          <w:tcPr>
            <w:tcW w:w="2421" w:type="dxa"/>
            <w:vAlign w:val="center"/>
          </w:tcPr>
          <w:p w14:paraId="6751F995" w14:textId="77777777" w:rsidR="009F0C56" w:rsidRDefault="00653842">
            <w:pPr>
              <w:spacing w:after="0" w:line="240" w:lineRule="auto"/>
              <w:rPr>
                <w:rFonts w:ascii="Arial" w:eastAsia="Arial" w:hAnsi="Arial" w:cs="Arial"/>
              </w:rPr>
            </w:pPr>
            <w:r>
              <w:rPr>
                <w:rFonts w:ascii="Arial" w:eastAsia="Arial" w:hAnsi="Arial" w:cs="Arial"/>
              </w:rPr>
              <w:t>Screenshots, archived advertisements, textual copy, images</w:t>
            </w:r>
          </w:p>
        </w:tc>
        <w:tc>
          <w:tcPr>
            <w:tcW w:w="2137" w:type="dxa"/>
            <w:vAlign w:val="center"/>
          </w:tcPr>
          <w:p w14:paraId="4EE0BE04" w14:textId="77777777" w:rsidR="009F0C56" w:rsidRDefault="00653842">
            <w:pPr>
              <w:spacing w:after="0" w:line="240" w:lineRule="auto"/>
              <w:rPr>
                <w:rFonts w:ascii="Arial" w:eastAsia="Arial" w:hAnsi="Arial" w:cs="Arial"/>
              </w:rPr>
            </w:pPr>
            <w:r>
              <w:rPr>
                <w:rFonts w:ascii="Arial" w:eastAsia="Arial" w:hAnsi="Arial" w:cs="Arial"/>
              </w:rPr>
              <w:t>Discourse analysis, critical media analysis, decolonial critique</w:t>
            </w:r>
          </w:p>
        </w:tc>
      </w:tr>
    </w:tbl>
    <w:p w14:paraId="0CD8EC20" w14:textId="77777777" w:rsidR="009F0C56" w:rsidRDefault="00653842">
      <w:pPr>
        <w:spacing w:after="0" w:line="240" w:lineRule="auto"/>
        <w:rPr>
          <w:rFonts w:ascii="Arial" w:eastAsia="Arial" w:hAnsi="Arial" w:cs="Arial"/>
        </w:rPr>
      </w:pPr>
      <w:r>
        <w:pict w14:anchorId="30D62FBA">
          <v:rect id="_x0000_i1025" style="width:0;height:1.5pt" o:hralign="center" o:hrstd="t" o:hr="t" fillcolor="#a0a0a0" stroked="f"/>
        </w:pict>
      </w:r>
    </w:p>
    <w:p w14:paraId="78E743A4" w14:textId="77777777" w:rsidR="009F0C56" w:rsidRDefault="00653842">
      <w:pPr>
        <w:pStyle w:val="Heading2"/>
        <w:rPr>
          <w:rFonts w:ascii="Arial" w:eastAsia="Arial" w:hAnsi="Arial" w:cs="Arial"/>
          <w:sz w:val="36"/>
          <w:szCs w:val="36"/>
        </w:rPr>
      </w:pPr>
      <w:bookmarkStart w:id="38" w:name="_Toc240965969"/>
      <w:r>
        <w:rPr>
          <w:rFonts w:ascii="Arial" w:eastAsia="Arial" w:hAnsi="Arial" w:cs="Arial"/>
          <w:sz w:val="36"/>
          <w:szCs w:val="36"/>
        </w:rPr>
        <w:t>3.14 Data Collection and Organisation</w:t>
      </w:r>
      <w:bookmarkEnd w:id="38"/>
    </w:p>
    <w:p w14:paraId="5B1AD75F" w14:textId="195FBD29" w:rsidR="009F0C56" w:rsidRDefault="00653842">
      <w:pPr>
        <w:spacing w:before="280" w:after="280" w:line="240" w:lineRule="auto"/>
        <w:rPr>
          <w:rFonts w:ascii="Arial" w:eastAsia="Arial" w:hAnsi="Arial" w:cs="Arial"/>
          <w:color w:val="000000"/>
          <w:highlight w:val="yellow"/>
        </w:rPr>
      </w:pPr>
      <w:r>
        <w:rPr>
          <w:rFonts w:ascii="Arial" w:eastAsia="Arial" w:hAnsi="Arial" w:cs="Arial"/>
        </w:rPr>
        <w:t xml:space="preserve">Data </w:t>
      </w:r>
      <w:r w:rsidR="00CF2C48">
        <w:rPr>
          <w:rFonts w:ascii="Arial" w:eastAsia="Arial" w:hAnsi="Arial" w:cs="Arial"/>
        </w:rPr>
        <w:t>were</w:t>
      </w:r>
      <w:r>
        <w:rPr>
          <w:rFonts w:ascii="Arial" w:eastAsia="Arial" w:hAnsi="Arial" w:cs="Arial"/>
          <w:color w:val="008000"/>
        </w:rPr>
        <w:t xml:space="preserve"> </w:t>
      </w:r>
      <w:r>
        <w:rPr>
          <w:rFonts w:ascii="Arial" w:eastAsia="Arial" w:hAnsi="Arial" w:cs="Arial"/>
          <w:color w:val="000000"/>
        </w:rPr>
        <w:t>collected through site observation, photography, note-taking, and the compilation of textual and visual materials. Urban monuments, settler commercial landscapes, and Indigenous tourist sites were photographed and annotated with field notes reflecting their spatial arrangement, symbolic significance, and audience positioning. Online and promotional materials were archived for discourse analysis, while brochures, advertisements, and museum interpretive texts were gathered for close reading. Organisation foll</w:t>
      </w:r>
      <w:r>
        <w:rPr>
          <w:rFonts w:ascii="Arial" w:eastAsia="Arial" w:hAnsi="Arial" w:cs="Arial"/>
          <w:color w:val="000000"/>
        </w:rPr>
        <w:t>owed both spatial (urban Miami, reservation-based attractions, online circulation) and thematic logics (commodification, authenticity, erasure, resistance), enabling comparative analysis across diverse sites while attending to the specificity of place.</w:t>
      </w:r>
    </w:p>
    <w:p w14:paraId="2FC54DD3" w14:textId="77777777" w:rsidR="009F0C56" w:rsidRDefault="00653842">
      <w:pPr>
        <w:rPr>
          <w:rFonts w:ascii="Arial" w:eastAsia="Arial" w:hAnsi="Arial" w:cs="Arial"/>
        </w:rPr>
      </w:pPr>
      <w:r>
        <w:rPr>
          <w:rFonts w:ascii="Arial" w:eastAsia="Arial" w:hAnsi="Arial" w:cs="Arial"/>
        </w:rPr>
        <w:t xml:space="preserve">One of the biggest factors that affected the primary data collection was the day-to-day fieldwork process. This process followed a repeated cycle of site selection, observation, visual documentation, note-taking, and organisation of material. Typically, each fieldwork day began by identifying public-facing locations that could </w:t>
      </w:r>
      <w:r>
        <w:rPr>
          <w:rFonts w:ascii="Arial" w:eastAsia="Arial" w:hAnsi="Arial" w:cs="Arial"/>
        </w:rPr>
        <w:lastRenderedPageBreak/>
        <w:t xml:space="preserve">potentially illuminate the research themes, including tourist attractions, commercial spaces, museums, monuments, reservation-based enterprises, and urban sites. </w:t>
      </w:r>
    </w:p>
    <w:p w14:paraId="3F476A39" w14:textId="05BC6FCD" w:rsidR="009F0C56" w:rsidRDefault="00653842">
      <w:pPr>
        <w:rPr>
          <w:rFonts w:ascii="Arial" w:eastAsia="Arial" w:hAnsi="Arial" w:cs="Arial"/>
        </w:rPr>
      </w:pPr>
      <w:r>
        <w:rPr>
          <w:rFonts w:ascii="Arial" w:eastAsia="Arial" w:hAnsi="Arial" w:cs="Arial"/>
        </w:rPr>
        <w:t>In this, routes were planned around the geographical distribution of sites and the practical conditions of travel across South Florida. However, due to heavy seasonal rain</w:t>
      </w:r>
      <w:r w:rsidR="00CF2C48">
        <w:rPr>
          <w:rFonts w:ascii="Arial" w:eastAsia="Arial" w:hAnsi="Arial" w:cs="Arial"/>
        </w:rPr>
        <w:t>,</w:t>
      </w:r>
      <w:r>
        <w:rPr>
          <w:rFonts w:ascii="Arial" w:eastAsia="Arial" w:hAnsi="Arial" w:cs="Arial"/>
        </w:rPr>
        <w:t xml:space="preserve"> this could make outdoor observation difficult</w:t>
      </w:r>
      <w:r w:rsidR="00CF2C48">
        <w:rPr>
          <w:rFonts w:ascii="Arial" w:eastAsia="Arial" w:hAnsi="Arial" w:cs="Arial"/>
        </w:rPr>
        <w:t>;</w:t>
      </w:r>
      <w:r>
        <w:rPr>
          <w:rFonts w:ascii="Arial" w:eastAsia="Arial" w:hAnsi="Arial" w:cs="Arial"/>
        </w:rPr>
        <w:t xml:space="preserve"> the daily plan remained flexible and could shift towards indoor commercial, museum, or other representational spaces. As was the case on several days when light flooding occurred, which altered or</w:t>
      </w:r>
      <w:r w:rsidR="00CF2C48">
        <w:rPr>
          <w:rFonts w:ascii="Arial" w:eastAsia="Arial" w:hAnsi="Arial" w:cs="Arial"/>
        </w:rPr>
        <w:t>,</w:t>
      </w:r>
      <w:r>
        <w:rPr>
          <w:rFonts w:ascii="Arial" w:eastAsia="Arial" w:hAnsi="Arial" w:cs="Arial"/>
        </w:rPr>
        <w:t xml:space="preserve"> on one occasion</w:t>
      </w:r>
      <w:r w:rsidR="00CF2C48">
        <w:rPr>
          <w:rFonts w:ascii="Arial" w:eastAsia="Arial" w:hAnsi="Arial" w:cs="Arial"/>
        </w:rPr>
        <w:t>,</w:t>
      </w:r>
      <w:r>
        <w:rPr>
          <w:rFonts w:ascii="Arial" w:eastAsia="Arial" w:hAnsi="Arial" w:cs="Arial"/>
        </w:rPr>
        <w:t xml:space="preserve"> halted fieldwork. When this occurred</w:t>
      </w:r>
      <w:r w:rsidR="00CF2C48">
        <w:rPr>
          <w:rFonts w:ascii="Arial" w:eastAsia="Arial" w:hAnsi="Arial" w:cs="Arial"/>
        </w:rPr>
        <w:t>,</w:t>
      </w:r>
      <w:r>
        <w:rPr>
          <w:rFonts w:ascii="Arial" w:eastAsia="Arial" w:hAnsi="Arial" w:cs="Arial"/>
        </w:rPr>
        <w:t xml:space="preserve"> plans were adapted, which usually </w:t>
      </w:r>
      <w:r w:rsidR="00CF2C48">
        <w:rPr>
          <w:rFonts w:ascii="Arial" w:eastAsia="Arial" w:hAnsi="Arial" w:cs="Arial"/>
        </w:rPr>
        <w:t>meant</w:t>
      </w:r>
      <w:r>
        <w:rPr>
          <w:rFonts w:ascii="Arial" w:eastAsia="Arial" w:hAnsi="Arial" w:cs="Arial"/>
        </w:rPr>
        <w:t xml:space="preserve"> staying within the Miami CBD. This allowed the research to still develop</w:t>
      </w:r>
      <w:r>
        <w:rPr>
          <w:rFonts w:ascii="Arial" w:eastAsia="Arial" w:hAnsi="Arial" w:cs="Arial"/>
        </w:rPr>
        <w:t xml:space="preserve"> when it was not feasible to reach more rural areas.</w:t>
      </w:r>
    </w:p>
    <w:p w14:paraId="31C2ECFE" w14:textId="61486A61" w:rsidR="009F0C56" w:rsidRDefault="00653842">
      <w:pPr>
        <w:rPr>
          <w:rFonts w:ascii="Arial" w:eastAsia="Arial" w:hAnsi="Arial" w:cs="Arial"/>
        </w:rPr>
      </w:pPr>
      <w:r>
        <w:rPr>
          <w:rFonts w:ascii="Arial" w:eastAsia="Arial" w:hAnsi="Arial" w:cs="Arial"/>
        </w:rPr>
        <w:t xml:space="preserve">The most important stage of the research was the observation before photography. Here, attention was paid to the location of Indigenous imagery, the surrounding settler architecture, language, the relationship between the representation and its audience, and whether the site presented Indigeneity as contemporary, historical, spiritual, environmental, or commercial. Photographs were then taken of relevant signs, displays, buildings, objects, public art, landscapes, and promotional materials. It was a choice </w:t>
      </w:r>
      <w:r>
        <w:rPr>
          <w:rFonts w:ascii="Arial" w:eastAsia="Arial" w:hAnsi="Arial" w:cs="Arial"/>
        </w:rPr>
        <w:t xml:space="preserve">to ensure people were not included in the images, when possible, </w:t>
      </w:r>
      <w:r>
        <w:rPr>
          <w:rFonts w:ascii="Arial" w:eastAsia="Arial" w:hAnsi="Arial" w:cs="Arial"/>
        </w:rPr>
        <w:t>to highlight the spatial discourses on Indigeneity. Field notes recorded the spatial arrangement and immediate context of each image so that photographs could later be interpreted as situated visual evidence rather than isolated objects.</w:t>
      </w:r>
    </w:p>
    <w:p w14:paraId="1E0A8F69" w14:textId="77777777" w:rsidR="009F0C56" w:rsidRDefault="00653842">
      <w:pPr>
        <w:rPr>
          <w:rFonts w:ascii="Arial" w:eastAsia="Arial" w:hAnsi="Arial" w:cs="Arial"/>
        </w:rPr>
      </w:pPr>
      <w:r>
        <w:rPr>
          <w:rFonts w:ascii="Arial" w:eastAsia="Arial" w:hAnsi="Arial" w:cs="Arial"/>
        </w:rPr>
        <w:t>The third stage involved collecting accompanying textual material wherever it was publicly available, including brochures, museum interpretation, advertising copy, shop descriptions, signage, and online promotional material associated with the site. These materials were recorded alongside the visual data because the project treats image and text as mutually reinforcing elements of representation. Sites were organised according to location and emerging analytical themes, including homogenisation, commodifica</w:t>
      </w:r>
      <w:r>
        <w:rPr>
          <w:rFonts w:ascii="Arial" w:eastAsia="Arial" w:hAnsi="Arial" w:cs="Arial"/>
        </w:rPr>
        <w:t>tion, authenticity, erasure, resistance, memory, and territorialization.</w:t>
      </w:r>
    </w:p>
    <w:p w14:paraId="162C7F65" w14:textId="322600E0" w:rsidR="009F0C56" w:rsidRDefault="00653842">
      <w:pPr>
        <w:rPr>
          <w:rFonts w:ascii="Arial" w:eastAsia="Arial" w:hAnsi="Arial" w:cs="Arial"/>
        </w:rPr>
      </w:pPr>
      <w:r>
        <w:rPr>
          <w:rFonts w:ascii="Arial" w:eastAsia="Arial" w:hAnsi="Arial" w:cs="Arial"/>
        </w:rPr>
        <w:t>The final stage of the day-to-day operations was an initial review of the material collected. Photographs and notes were checked for relevance, contextual information was recorded, and recurring representational patterns were identified for later analysis. This process was iterative as observations at one site could alter what was sought at alternative locations, while also helping in identifying emerging themes, which informed later comparisons with textual and theoretical sources. The three-week fieldwork</w:t>
      </w:r>
      <w:r>
        <w:rPr>
          <w:rFonts w:ascii="Arial" w:eastAsia="Arial" w:hAnsi="Arial" w:cs="Arial"/>
        </w:rPr>
        <w:t xml:space="preserve"> period therefore produced an empirical dataset in which repeated encounters with similar motifs could be traced across different locations</w:t>
      </w:r>
      <w:r w:rsidR="00CF2C48">
        <w:rPr>
          <w:rFonts w:ascii="Arial" w:eastAsia="Arial" w:hAnsi="Arial" w:cs="Arial"/>
        </w:rPr>
        <w:t>,</w:t>
      </w:r>
      <w:r>
        <w:rPr>
          <w:rFonts w:ascii="Arial" w:eastAsia="Arial" w:hAnsi="Arial" w:cs="Arial"/>
        </w:rPr>
        <w:t xml:space="preserve"> as was identified in the table above. The shortness of the fieldwork is understood as a limitation, but the systematic daily cycle provided consistency while maintaining the decolonial commitment to public-facing research and avoiding unnecessary intrusion into private or ceremonial Indigenous spaces.</w:t>
      </w:r>
    </w:p>
    <w:p w14:paraId="1CBD34BB" w14:textId="77777777" w:rsidR="009F0C56" w:rsidRDefault="00653842">
      <w:pPr>
        <w:pStyle w:val="Heading2"/>
        <w:rPr>
          <w:rFonts w:ascii="Arial" w:eastAsia="Arial" w:hAnsi="Arial" w:cs="Arial"/>
          <w:sz w:val="36"/>
          <w:szCs w:val="36"/>
        </w:rPr>
      </w:pPr>
      <w:bookmarkStart w:id="39" w:name="_Toc240965970"/>
      <w:r>
        <w:rPr>
          <w:rFonts w:ascii="Arial" w:eastAsia="Arial" w:hAnsi="Arial" w:cs="Arial"/>
          <w:sz w:val="36"/>
          <w:szCs w:val="36"/>
        </w:rPr>
        <w:lastRenderedPageBreak/>
        <w:t>3.15 Data Analysis.</w:t>
      </w:r>
      <w:bookmarkEnd w:id="39"/>
      <w:r>
        <w:rPr>
          <w:rFonts w:ascii="Arial" w:eastAsia="Arial" w:hAnsi="Arial" w:cs="Arial"/>
          <w:sz w:val="36"/>
          <w:szCs w:val="36"/>
        </w:rPr>
        <w:t xml:space="preserve"> </w:t>
      </w:r>
    </w:p>
    <w:p w14:paraId="219CAE92" w14:textId="77777777" w:rsidR="009F0C56" w:rsidRDefault="00653842">
      <w:pPr>
        <w:spacing w:before="280" w:after="280" w:line="240" w:lineRule="auto"/>
        <w:rPr>
          <w:rFonts w:ascii="Arial" w:eastAsia="Arial" w:hAnsi="Arial" w:cs="Arial"/>
          <w:color w:val="000000"/>
        </w:rPr>
      </w:pPr>
      <w:r>
        <w:rPr>
          <w:rFonts w:ascii="Arial" w:eastAsia="Arial" w:hAnsi="Arial" w:cs="Arial"/>
        </w:rPr>
        <w:t>A</w:t>
      </w:r>
      <w:r>
        <w:rPr>
          <w:rFonts w:ascii="Arial" w:eastAsia="Arial" w:hAnsi="Arial" w:cs="Arial"/>
        </w:rPr>
        <w:t>nalysis combined visual ethnography, discourse analysis, and critical site interpretation. Images and texts were read for their symbolic content, ideological work, and relational positioning within tourism economies. Visual analysis foregrounded the polysemic and shifting meanings of signs and spaces, while textual analysis traced how promotional and interpretive language commodified Indigenous identity (Muller-Mahn 2025)</w:t>
      </w:r>
      <w:r>
        <w:rPr>
          <w:rFonts w:ascii="Arial" w:eastAsia="Arial" w:hAnsi="Arial" w:cs="Arial"/>
          <w:color w:val="008000"/>
        </w:rPr>
        <w:t xml:space="preserve">. </w:t>
      </w:r>
      <w:r>
        <w:rPr>
          <w:rFonts w:ascii="Arial" w:eastAsia="Arial" w:hAnsi="Arial" w:cs="Arial"/>
          <w:color w:val="000000"/>
        </w:rPr>
        <w:t>These interpretations were consistently grounded in decolonial theory, settler colonial critique, and visual culture studies.</w:t>
      </w:r>
    </w:p>
    <w:p w14:paraId="12E1D934" w14:textId="77777777" w:rsidR="009F0C56" w:rsidRDefault="00653842">
      <w:pPr>
        <w:pStyle w:val="Heading2"/>
        <w:rPr>
          <w:rFonts w:ascii="Arial" w:eastAsia="Arial" w:hAnsi="Arial" w:cs="Arial"/>
          <w:sz w:val="36"/>
          <w:szCs w:val="36"/>
        </w:rPr>
      </w:pPr>
      <w:bookmarkStart w:id="40" w:name="_Toc240965971"/>
      <w:r>
        <w:rPr>
          <w:rFonts w:ascii="Arial" w:eastAsia="Arial" w:hAnsi="Arial" w:cs="Arial"/>
          <w:sz w:val="36"/>
          <w:szCs w:val="36"/>
        </w:rPr>
        <w:t>3.16 Reflexivity and Decolonial Commitments.</w:t>
      </w:r>
      <w:bookmarkEnd w:id="40"/>
      <w:r>
        <w:rPr>
          <w:rFonts w:ascii="Arial" w:eastAsia="Arial" w:hAnsi="Arial" w:cs="Arial"/>
          <w:sz w:val="36"/>
          <w:szCs w:val="36"/>
        </w:rPr>
        <w:t xml:space="preserve"> </w:t>
      </w:r>
    </w:p>
    <w:p w14:paraId="7D566246" w14:textId="77777777" w:rsidR="009F0C56" w:rsidRDefault="00653842">
      <w:pPr>
        <w:spacing w:before="280" w:after="280" w:line="240" w:lineRule="auto"/>
        <w:rPr>
          <w:rFonts w:ascii="Arial" w:eastAsia="Arial" w:hAnsi="Arial" w:cs="Arial"/>
        </w:rPr>
      </w:pPr>
      <w:r>
        <w:rPr>
          <w:rFonts w:ascii="Arial" w:eastAsia="Arial" w:hAnsi="Arial" w:cs="Arial"/>
        </w:rPr>
        <w:t>The research design was shaped by decolonial commitments: privileging the critique of settler systems, avoiding epistemic extraction, and remaining transparent about bias and positionality. The shortened fieldwork period, while limiting prolonged immersion, also reduced intrusion into Indigenous spaces, reflecting a refusal to reproduce extractive research practices. Acknowledging bias further strengthened the methodology by situating interpretation as partial, situated, and reflexive rather than neutral or</w:t>
      </w:r>
      <w:r>
        <w:rPr>
          <w:rFonts w:ascii="Arial" w:eastAsia="Arial" w:hAnsi="Arial" w:cs="Arial"/>
        </w:rPr>
        <w:t xml:space="preserve"> universal (Manning 2018). </w:t>
      </w:r>
    </w:p>
    <w:p w14:paraId="76051515" w14:textId="77777777" w:rsidR="009F0C56" w:rsidRDefault="00653842">
      <w:pPr>
        <w:pStyle w:val="Heading2"/>
        <w:rPr>
          <w:rFonts w:ascii="Arial" w:eastAsia="Arial" w:hAnsi="Arial" w:cs="Arial"/>
          <w:sz w:val="36"/>
          <w:szCs w:val="36"/>
        </w:rPr>
      </w:pPr>
      <w:bookmarkStart w:id="41" w:name="_Toc240965972"/>
      <w:r>
        <w:rPr>
          <w:rFonts w:ascii="Arial" w:eastAsia="Arial" w:hAnsi="Arial" w:cs="Arial"/>
          <w:sz w:val="36"/>
          <w:szCs w:val="36"/>
        </w:rPr>
        <w:t>3.17 Conclusion.</w:t>
      </w:r>
      <w:bookmarkEnd w:id="41"/>
      <w:r>
        <w:rPr>
          <w:rFonts w:ascii="Arial" w:eastAsia="Arial" w:hAnsi="Arial" w:cs="Arial"/>
          <w:sz w:val="36"/>
          <w:szCs w:val="36"/>
        </w:rPr>
        <w:t xml:space="preserve"> </w:t>
      </w:r>
    </w:p>
    <w:p w14:paraId="3C06B7FF" w14:textId="77777777" w:rsidR="009F0C56" w:rsidRDefault="00653842">
      <w:pPr>
        <w:spacing w:before="280" w:after="280" w:line="240" w:lineRule="auto"/>
        <w:rPr>
          <w:rFonts w:ascii="Arial" w:eastAsia="Arial" w:hAnsi="Arial" w:cs="Arial"/>
        </w:rPr>
      </w:pPr>
      <w:r>
        <w:rPr>
          <w:rFonts w:ascii="Arial" w:eastAsia="Arial" w:hAnsi="Arial" w:cs="Arial"/>
        </w:rPr>
        <w:t>Therefore, tracing how Indigenous operated and settler controlled</w:t>
      </w:r>
      <w:r>
        <w:rPr>
          <w:rFonts w:ascii="Arial" w:eastAsia="Arial" w:hAnsi="Arial" w:cs="Arial"/>
          <w:color w:val="008000"/>
        </w:rPr>
        <w:t xml:space="preserve"> </w:t>
      </w:r>
      <w:r>
        <w:rPr>
          <w:rFonts w:ascii="Arial" w:eastAsia="Arial" w:hAnsi="Arial" w:cs="Arial"/>
          <w:color w:val="000000"/>
        </w:rPr>
        <w:t xml:space="preserve">sites represent and commodify Seminole and Miccosukee identity across South Florida, this research design demonstrates the value of critical decolonial ethnography. It shows how images, observations, and texts operate within tourism infrastructures, revealing the persistence of settler colonial logics in both material and digital spaces (Cave Dredge 2020). At the same time, it underscores that ethical, reflexive, and </w:t>
      </w:r>
      <w:r>
        <w:rPr>
          <w:rFonts w:ascii="Arial" w:eastAsia="Arial" w:hAnsi="Arial" w:cs="Arial"/>
        </w:rPr>
        <w:t>decolonial-oriented research can illuminate these dynamics without claiming authority over Indigenous perspectives, instead opening space for accountability, refusal, and transformation.</w:t>
      </w:r>
      <w:r>
        <w:br w:type="page"/>
      </w:r>
    </w:p>
    <w:p w14:paraId="68CD84BB" w14:textId="77777777" w:rsidR="009F0C56" w:rsidRDefault="00653842">
      <w:pPr>
        <w:pStyle w:val="Heading1"/>
        <w:rPr>
          <w:rFonts w:ascii="Arial" w:eastAsia="Arial" w:hAnsi="Arial" w:cs="Arial"/>
          <w:u w:val="single"/>
        </w:rPr>
      </w:pPr>
      <w:bookmarkStart w:id="42" w:name="_Toc240965973"/>
      <w:r>
        <w:rPr>
          <w:rFonts w:ascii="Arial" w:eastAsia="Arial" w:hAnsi="Arial" w:cs="Arial"/>
          <w:u w:val="single"/>
        </w:rPr>
        <w:lastRenderedPageBreak/>
        <w:t>4.0 A review of the literature</w:t>
      </w:r>
      <w:bookmarkEnd w:id="42"/>
      <w:r>
        <w:rPr>
          <w:rFonts w:ascii="Arial" w:eastAsia="Arial" w:hAnsi="Arial" w:cs="Arial"/>
          <w:u w:val="single"/>
        </w:rPr>
        <w:t xml:space="preserve"> </w:t>
      </w:r>
    </w:p>
    <w:p w14:paraId="2F69E4A2" w14:textId="77777777" w:rsidR="009F0C56" w:rsidRDefault="00653842">
      <w:pPr>
        <w:pStyle w:val="Heading2"/>
        <w:rPr>
          <w:rFonts w:ascii="Arial" w:eastAsia="Arial" w:hAnsi="Arial" w:cs="Arial"/>
        </w:rPr>
      </w:pPr>
      <w:bookmarkStart w:id="43" w:name="_Toc240965974"/>
      <w:r>
        <w:rPr>
          <w:rFonts w:ascii="Arial" w:eastAsia="Arial" w:hAnsi="Arial" w:cs="Arial"/>
        </w:rPr>
        <w:t>Introduction</w:t>
      </w:r>
      <w:bookmarkEnd w:id="43"/>
      <w:r>
        <w:rPr>
          <w:rFonts w:ascii="Arial" w:eastAsia="Arial" w:hAnsi="Arial" w:cs="Arial"/>
        </w:rPr>
        <w:t xml:space="preserve"> </w:t>
      </w:r>
    </w:p>
    <w:p w14:paraId="0C74E782" w14:textId="77777777" w:rsidR="009F0C56" w:rsidRDefault="00653842">
      <w:pPr>
        <w:spacing w:before="280" w:after="280" w:line="240" w:lineRule="auto"/>
        <w:rPr>
          <w:rFonts w:ascii="Arial" w:eastAsia="Arial" w:hAnsi="Arial" w:cs="Arial"/>
        </w:rPr>
      </w:pPr>
      <w:r>
        <w:rPr>
          <w:rFonts w:ascii="Arial" w:eastAsia="Arial" w:hAnsi="Arial" w:cs="Arial"/>
        </w:rPr>
        <w:t>This thesis investigates how settler societies construct, mediate, and circulate curated representations of Indigenous communities within the tourism industry. While existing literature contributes important knowledge about the mechanics, economics, and environmental impact of tourism, it fails to critically interrogate the representational infrastructure that enables settler colonial control through the symbolic inclusion and exclusion of Indigenous peoples.</w:t>
      </w:r>
    </w:p>
    <w:p w14:paraId="7BE212BB" w14:textId="76FC71F4" w:rsidR="009F0C56" w:rsidRDefault="00653842">
      <w:pPr>
        <w:spacing w:before="280" w:after="280" w:line="240" w:lineRule="auto"/>
        <w:rPr>
          <w:rFonts w:ascii="Arial" w:eastAsia="Arial" w:hAnsi="Arial" w:cs="Arial"/>
        </w:rPr>
      </w:pPr>
      <w:r>
        <w:rPr>
          <w:rFonts w:ascii="Arial" w:eastAsia="Arial" w:hAnsi="Arial" w:cs="Arial"/>
        </w:rPr>
        <w:t>Tourism has increasingly become a moralised and commodified form of travel, promising both ethical consumption and cultural authenticity (Ciacci et al</w:t>
      </w:r>
      <w:r w:rsidR="00CF2C48">
        <w:rPr>
          <w:rFonts w:ascii="Arial" w:eastAsia="Arial" w:hAnsi="Arial" w:cs="Arial"/>
        </w:rPr>
        <w:t>.</w:t>
      </w:r>
      <w:r>
        <w:rPr>
          <w:rFonts w:ascii="Arial" w:eastAsia="Arial" w:hAnsi="Arial" w:cs="Arial"/>
        </w:rPr>
        <w:t xml:space="preserve"> 2021). However, this moralisation is neither politically neutral nor epistemically innocent (McLaren 2014). It is underpinned by settler logics that continue to cast Indigenous peoples not as subjects with political agency, but as objects of settler fascination, nostalgia, and environmental fantasy. This thesis proposes that tourism is not just an economic activity, but a disciplinary project, one that constructs idealised Indigenous figures to secure settler-colonial futures.</w:t>
      </w:r>
    </w:p>
    <w:p w14:paraId="2AF58C17" w14:textId="77777777" w:rsidR="009F0C56" w:rsidRDefault="009F0C56">
      <w:pPr>
        <w:spacing w:before="280" w:after="280" w:line="240" w:lineRule="auto"/>
        <w:rPr>
          <w:rFonts w:ascii="Arial" w:eastAsia="Arial" w:hAnsi="Arial" w:cs="Arial"/>
        </w:rPr>
      </w:pPr>
    </w:p>
    <w:p w14:paraId="290C2772" w14:textId="77777777" w:rsidR="009F0C56" w:rsidRDefault="00653842">
      <w:pPr>
        <w:pStyle w:val="Heading2"/>
        <w:rPr>
          <w:rFonts w:ascii="Arial" w:eastAsia="Arial" w:hAnsi="Arial" w:cs="Arial"/>
        </w:rPr>
      </w:pPr>
      <w:bookmarkStart w:id="44" w:name="_Toc240965975"/>
      <w:r>
        <w:rPr>
          <w:rFonts w:ascii="Arial" w:eastAsia="Arial" w:hAnsi="Arial" w:cs="Arial"/>
        </w:rPr>
        <w:t>4.1 The Modus of Sustainable Progress</w:t>
      </w:r>
      <w:bookmarkEnd w:id="44"/>
    </w:p>
    <w:p w14:paraId="52521921" w14:textId="77777777" w:rsidR="009F0C56" w:rsidRDefault="00653842">
      <w:pPr>
        <w:spacing w:before="280" w:after="280" w:line="240" w:lineRule="auto"/>
        <w:rPr>
          <w:rFonts w:ascii="Arial" w:eastAsia="Arial" w:hAnsi="Arial" w:cs="Arial"/>
        </w:rPr>
      </w:pPr>
      <w:r>
        <w:rPr>
          <w:rFonts w:ascii="Arial" w:eastAsia="Arial" w:hAnsi="Arial" w:cs="Arial"/>
        </w:rPr>
        <w:t>“We are living in an age of plutonomy, where money controls the economy.”</w:t>
      </w:r>
      <w:r>
        <w:rPr>
          <w:rFonts w:ascii="Arial" w:eastAsia="Arial" w:hAnsi="Arial" w:cs="Arial"/>
        </w:rPr>
        <w:br/>
        <w:t>— (Sanchez, 2018)</w:t>
      </w:r>
    </w:p>
    <w:p w14:paraId="329AE33A" w14:textId="77777777" w:rsidR="009F0C56" w:rsidRDefault="00653842">
      <w:pPr>
        <w:pStyle w:val="Heading2"/>
        <w:rPr>
          <w:rFonts w:ascii="Arial" w:eastAsia="Arial" w:hAnsi="Arial" w:cs="Arial"/>
        </w:rPr>
      </w:pPr>
      <w:bookmarkStart w:id="45" w:name="_Toc240965976"/>
      <w:r>
        <w:rPr>
          <w:rFonts w:ascii="Arial" w:eastAsia="Arial" w:hAnsi="Arial" w:cs="Arial"/>
        </w:rPr>
        <w:t>4.2 Tourism and the Crisis of Plutonomy</w:t>
      </w:r>
      <w:bookmarkEnd w:id="45"/>
    </w:p>
    <w:p w14:paraId="7B0BF28C" w14:textId="4C0EE0B8" w:rsidR="009F0C56" w:rsidRDefault="00653842">
      <w:pPr>
        <w:spacing w:before="280" w:after="280" w:line="240" w:lineRule="auto"/>
        <w:rPr>
          <w:rFonts w:ascii="Arial" w:eastAsia="Arial" w:hAnsi="Arial" w:cs="Arial"/>
          <w:color w:val="000000"/>
        </w:rPr>
      </w:pPr>
      <w:r>
        <w:rPr>
          <w:rFonts w:ascii="Arial" w:eastAsia="Arial" w:hAnsi="Arial" w:cs="Arial"/>
        </w:rPr>
        <w:t xml:space="preserve">The dominant narrative in both academic and policy discussions surrounding Indigenous communities often prioritises economic development as the primary, </w:t>
      </w:r>
      <w:r>
        <w:rPr>
          <w:rFonts w:ascii="Arial" w:eastAsia="Arial" w:hAnsi="Arial" w:cs="Arial"/>
          <w:color w:val="000000"/>
        </w:rPr>
        <w:t xml:space="preserve">and sometimes sole solution to historical and ongoing inequities. Within the contemporary global economy, especially under neoliberal governance, the push for Indigenous economic ‘progress’ is overwhelmingly framed through capitalist and development logics (UNTWO, 2021). This emphasis is by no means new. Rooted in colonial and </w:t>
      </w:r>
      <w:r w:rsidR="00CF2C48">
        <w:rPr>
          <w:rFonts w:ascii="Arial" w:eastAsia="Arial" w:hAnsi="Arial" w:cs="Arial"/>
          <w:color w:val="000000"/>
        </w:rPr>
        <w:t>capitalist</w:t>
      </w:r>
      <w:r>
        <w:rPr>
          <w:rFonts w:ascii="Arial" w:eastAsia="Arial" w:hAnsi="Arial" w:cs="Arial"/>
          <w:color w:val="000000"/>
        </w:rPr>
        <w:t xml:space="preserve"> traditions, development economics has long presented economic assimilation as the key to overcoming Indigenous ‘backwardness’ or ‘primitivism’, concepts deeply embedded in Western epistemologies of race and </w:t>
      </w:r>
      <w:r w:rsidR="00CF2C48">
        <w:rPr>
          <w:rFonts w:ascii="Arial" w:eastAsia="Arial" w:hAnsi="Arial" w:cs="Arial"/>
          <w:color w:val="000000"/>
        </w:rPr>
        <w:t>civilisation</w:t>
      </w:r>
      <w:r>
        <w:rPr>
          <w:rFonts w:ascii="Arial" w:eastAsia="Arial" w:hAnsi="Arial" w:cs="Arial"/>
          <w:color w:val="000000"/>
        </w:rPr>
        <w:t xml:space="preserve"> (Quijano, 2007; Chowdhury, 1991).</w:t>
      </w:r>
    </w:p>
    <w:p w14:paraId="1464D3D5"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This economic assimilation, often enshrined in official metrics like development indices, perpetuates a reductionist view of Indigenous futures, one where success is equated with integration into capitalist markets. These indices are epistemological tools that gloss over the complexities of Indigenous sovereignty, knowledge systems, and social relations, reinforcing a teleology of Western progress and erasure of alternative ontologies (Grimwood 2024).</w:t>
      </w:r>
    </w:p>
    <w:p w14:paraId="7B1F464D" w14:textId="56F460DB" w:rsidR="009F0C56" w:rsidRDefault="00653842">
      <w:pPr>
        <w:spacing w:before="280" w:after="280" w:line="240" w:lineRule="auto"/>
        <w:rPr>
          <w:rFonts w:ascii="Arial" w:eastAsia="Arial" w:hAnsi="Arial" w:cs="Arial"/>
          <w:color w:val="000000"/>
        </w:rPr>
      </w:pPr>
      <w:r>
        <w:rPr>
          <w:rFonts w:ascii="Arial" w:eastAsia="Arial" w:hAnsi="Arial" w:cs="Arial"/>
          <w:color w:val="000000"/>
        </w:rPr>
        <w:lastRenderedPageBreak/>
        <w:t>Neoliberalism has only deepened this epistemic and material entanglement, solidifying market rationality as the natural and inevitable mechanism for all social relations, including those involving Indigenous peoples (Berg 2015). This underscores the importance of examining the economic dimensions of sustainable tourism not just as financial phenomena but as processes entangled with colonial power and representational control (Palacios-Florencio et al</w:t>
      </w:r>
      <w:r w:rsidR="00CF2C48">
        <w:rPr>
          <w:rFonts w:ascii="Arial" w:eastAsia="Arial" w:hAnsi="Arial" w:cs="Arial"/>
          <w:color w:val="000000"/>
        </w:rPr>
        <w:t>.</w:t>
      </w:r>
      <w:r>
        <w:rPr>
          <w:rFonts w:ascii="Arial" w:eastAsia="Arial" w:hAnsi="Arial" w:cs="Arial"/>
          <w:color w:val="000000"/>
        </w:rPr>
        <w:t xml:space="preserve"> 2021).</w:t>
      </w:r>
    </w:p>
    <w:p w14:paraId="79D8F374" w14:textId="77777777" w:rsidR="009F0C56" w:rsidRDefault="009F0C56">
      <w:pPr>
        <w:spacing w:after="0" w:line="240" w:lineRule="auto"/>
        <w:rPr>
          <w:rFonts w:ascii="Arial" w:eastAsia="Arial" w:hAnsi="Arial" w:cs="Arial"/>
          <w:color w:val="000000"/>
        </w:rPr>
      </w:pPr>
    </w:p>
    <w:p w14:paraId="1300902C" w14:textId="77777777" w:rsidR="009F0C56" w:rsidRDefault="00653842">
      <w:pPr>
        <w:pStyle w:val="Heading2"/>
        <w:rPr>
          <w:rFonts w:ascii="Arial" w:eastAsia="Arial" w:hAnsi="Arial" w:cs="Arial"/>
        </w:rPr>
      </w:pPr>
      <w:bookmarkStart w:id="46" w:name="_Toc240965977"/>
      <w:r>
        <w:rPr>
          <w:rFonts w:ascii="Arial" w:eastAsia="Arial" w:hAnsi="Arial" w:cs="Arial"/>
        </w:rPr>
        <w:t>4.3 Community-Based Tourism and the Emergence of Diverse Economies</w:t>
      </w:r>
      <w:bookmarkEnd w:id="46"/>
    </w:p>
    <w:p w14:paraId="17A7922C"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Tourism has historically functioned as a highly capitalistic industry, facilitating the commodification of culture, land, and identity across temporal and spatial boundaries (Butler, 2018). Its transactional nature situates it squarely within capitalist market dynamics, often perpetuating exploitative relationships that prioritise profit over people and place. Yet, recent scholarship has begun to challenge this dominant framing by incorporating concepts from diverse economies, a term popularised by Gibson-G</w:t>
      </w:r>
      <w:r>
        <w:rPr>
          <w:rFonts w:ascii="Arial" w:eastAsia="Arial" w:hAnsi="Arial" w:cs="Arial"/>
          <w:color w:val="000000"/>
        </w:rPr>
        <w:t>raham (1996, 2008).</w:t>
      </w:r>
    </w:p>
    <w:p w14:paraId="129F5F94" w14:textId="77777777" w:rsidR="009F0C56" w:rsidRDefault="00653842">
      <w:pPr>
        <w:spacing w:before="280" w:after="280" w:line="240" w:lineRule="auto"/>
        <w:rPr>
          <w:rFonts w:ascii="Arial" w:eastAsia="Arial" w:hAnsi="Arial" w:cs="Arial"/>
        </w:rPr>
      </w:pPr>
      <w:r>
        <w:rPr>
          <w:rFonts w:ascii="Arial" w:eastAsia="Arial" w:hAnsi="Arial" w:cs="Arial"/>
        </w:rPr>
        <w:t>Diverse economies theorise economic systems not as monolithic capitalistic constructs but as mosaics of multiple economic practices, ranging from non-market exchanges, cooperative ventures, and gift economies to alternative value systems that resist capitalist hegemony (Gibson-Graham, 2014). This conceptual shift offers important possibilities for tourism studies, particularly in imagining tourism as a site for alternative economic relations that foreground community wellbeing rather than corporate accumula</w:t>
      </w:r>
      <w:r>
        <w:rPr>
          <w:rFonts w:ascii="Arial" w:eastAsia="Arial" w:hAnsi="Arial" w:cs="Arial"/>
        </w:rPr>
        <w:t>tion.</w:t>
      </w:r>
    </w:p>
    <w:p w14:paraId="07227015" w14:textId="3AA3365A" w:rsidR="009F0C56" w:rsidRDefault="00653842">
      <w:pPr>
        <w:spacing w:before="280" w:after="280" w:line="240" w:lineRule="auto"/>
        <w:rPr>
          <w:rFonts w:ascii="Arial" w:eastAsia="Arial" w:hAnsi="Arial" w:cs="Arial"/>
        </w:rPr>
      </w:pPr>
      <w:r>
        <w:rPr>
          <w:rFonts w:ascii="Arial" w:eastAsia="Arial" w:hAnsi="Arial" w:cs="Arial"/>
        </w:rPr>
        <w:t>Cave and Dredge (2018, 2020) have been influential proponents of this approach, framing community-based tourism (CBT) as a potential form of economic engagement that can redistribute surplus value within Indigenous and local communities. Their work emphasises that CBT, when genuinely community-led and culturally embedded, can challenge extractive models of tourism and foster more equitable, socially and environmentally sustainable economic relations (Imbaya et al</w:t>
      </w:r>
      <w:r w:rsidR="00CF2C48">
        <w:rPr>
          <w:rFonts w:ascii="Arial" w:eastAsia="Arial" w:hAnsi="Arial" w:cs="Arial"/>
        </w:rPr>
        <w:t>.</w:t>
      </w:r>
      <w:r>
        <w:rPr>
          <w:rFonts w:ascii="Arial" w:eastAsia="Arial" w:hAnsi="Arial" w:cs="Arial"/>
        </w:rPr>
        <w:t xml:space="preserve"> 2019).</w:t>
      </w:r>
    </w:p>
    <w:p w14:paraId="4F329BC3" w14:textId="2D8F0039" w:rsidR="009F0C56" w:rsidRDefault="00653842">
      <w:pPr>
        <w:spacing w:before="280" w:after="280" w:line="240" w:lineRule="auto"/>
        <w:rPr>
          <w:rFonts w:ascii="Arial" w:eastAsia="Arial" w:hAnsi="Arial" w:cs="Arial"/>
        </w:rPr>
      </w:pPr>
      <w:r>
        <w:rPr>
          <w:rFonts w:ascii="Arial" w:eastAsia="Arial" w:hAnsi="Arial" w:cs="Arial"/>
        </w:rPr>
        <w:t>Importantly, they argue that the rise of digital spaces opens new frontiers for Indigenous communities to share knowledge, co-create experiences, and build economies beyond traditional capitalist frameworks (Fan et al</w:t>
      </w:r>
      <w:r w:rsidR="00CF2C48">
        <w:rPr>
          <w:rFonts w:ascii="Arial" w:eastAsia="Arial" w:hAnsi="Arial" w:cs="Arial"/>
        </w:rPr>
        <w:t>.</w:t>
      </w:r>
      <w:r>
        <w:rPr>
          <w:rFonts w:ascii="Arial" w:eastAsia="Arial" w:hAnsi="Arial" w:cs="Arial"/>
        </w:rPr>
        <w:t xml:space="preserve"> 2021). This digital spatiality offers a platform for knowledge exchange that bypasses some of the colonial spatial and economic logics entrenched in physical tourism infrastructures.</w:t>
      </w:r>
    </w:p>
    <w:p w14:paraId="638E6247" w14:textId="77777777" w:rsidR="009F0C56" w:rsidRDefault="009F0C56">
      <w:pPr>
        <w:spacing w:after="0" w:line="240" w:lineRule="auto"/>
        <w:rPr>
          <w:rFonts w:ascii="Arial" w:eastAsia="Arial" w:hAnsi="Arial" w:cs="Arial"/>
        </w:rPr>
      </w:pPr>
    </w:p>
    <w:p w14:paraId="685D20D9" w14:textId="77777777" w:rsidR="009F0C56" w:rsidRDefault="00653842">
      <w:pPr>
        <w:pStyle w:val="Heading2"/>
        <w:rPr>
          <w:rFonts w:ascii="Arial" w:eastAsia="Arial" w:hAnsi="Arial" w:cs="Arial"/>
        </w:rPr>
      </w:pPr>
      <w:bookmarkStart w:id="47" w:name="_Toc240965978"/>
      <w:r>
        <w:rPr>
          <w:rFonts w:ascii="Arial" w:eastAsia="Arial" w:hAnsi="Arial" w:cs="Arial"/>
        </w:rPr>
        <w:t>4.4 The Limits of Diverse Economies within Settler Colonial Frameworks</w:t>
      </w:r>
      <w:bookmarkEnd w:id="47"/>
    </w:p>
    <w:p w14:paraId="57C2039D"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 xml:space="preserve">While diverse economies provide a compelling alternative to traditional capitalist frameworks, they often fail to fully grapple with the settler colonial underpinnings of </w:t>
      </w:r>
      <w:r>
        <w:rPr>
          <w:rFonts w:ascii="Arial" w:eastAsia="Arial" w:hAnsi="Arial" w:cs="Arial"/>
          <w:color w:val="000000"/>
        </w:rPr>
        <w:lastRenderedPageBreak/>
        <w:t>the tourism industry and broader economic relations. Gibson-Graham’s (2014) model assumes a multiplicity of economic relations can coexist alongside or even within capitalism. However, this thesis argues that in the context of Indigenous tourism, these alternative economic practices remain peripheral to, and often constrained by, the structural imperatives of settler colonial capitalism.</w:t>
      </w:r>
    </w:p>
    <w:p w14:paraId="4911959F"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Building on Bin’s (2018) critique of classical Marxian notions of capitalism, it becomes clear that the accumulation of capital is not always the sole or primary goal of capitalist actors. Instead, capitalism under settler colonialism often prioritises assimilation, erasure, and control, forms of accumulation that go beyond mere economic profit to include the destruction of Indigenous lifeways, lands, and epistemologies. Wolfe’s (2016) articulation of settler colonialism as a structure of ongoing eliminatio</w:t>
      </w:r>
      <w:r>
        <w:rPr>
          <w:rFonts w:ascii="Arial" w:eastAsia="Arial" w:hAnsi="Arial" w:cs="Arial"/>
          <w:color w:val="000000"/>
        </w:rPr>
        <w:t>n resonates deeply here: Indigenous communities are not just economically marginalised but are subjected to systemic logics designed to absorb, displace, or erase their sovereignty.</w:t>
      </w:r>
    </w:p>
    <w:p w14:paraId="42A5CAB4" w14:textId="1EF90269" w:rsidR="009F0C56" w:rsidRDefault="00653842">
      <w:pPr>
        <w:spacing w:before="280" w:after="280" w:line="240" w:lineRule="auto"/>
        <w:rPr>
          <w:rFonts w:ascii="Arial" w:eastAsia="Arial" w:hAnsi="Arial" w:cs="Arial"/>
          <w:color w:val="000000"/>
        </w:rPr>
      </w:pPr>
      <w:r>
        <w:rPr>
          <w:rFonts w:ascii="Arial" w:eastAsia="Arial" w:hAnsi="Arial" w:cs="Arial"/>
          <w:color w:val="000000"/>
        </w:rPr>
        <w:t>Community-based tourism, under these conditions, can inadvertently function as a soft instrument of assimilation. While it appears to offer economic autonomy, CBT frequently requires Indigenous peoples to conform to settler expectations of culture, identity, and modernity to access market participation (Fan et al</w:t>
      </w:r>
      <w:r w:rsidR="00CF2C48">
        <w:rPr>
          <w:rFonts w:ascii="Arial" w:eastAsia="Arial" w:hAnsi="Arial" w:cs="Arial"/>
          <w:color w:val="000000"/>
        </w:rPr>
        <w:t>.</w:t>
      </w:r>
      <w:r>
        <w:rPr>
          <w:rFonts w:ascii="Arial" w:eastAsia="Arial" w:hAnsi="Arial" w:cs="Arial"/>
          <w:color w:val="000000"/>
        </w:rPr>
        <w:t xml:space="preserve"> 2021). This often reproduces neoliberal mantras of individual entrepreneurship and commodification of culture, rather than fostering genuine decolonial sovereignty.</w:t>
      </w:r>
    </w:p>
    <w:p w14:paraId="6D5E4257" w14:textId="77777777" w:rsidR="009F0C56" w:rsidRDefault="009F0C56">
      <w:pPr>
        <w:spacing w:after="0" w:line="240" w:lineRule="auto"/>
        <w:rPr>
          <w:rFonts w:ascii="Arial" w:eastAsia="Arial" w:hAnsi="Arial" w:cs="Arial"/>
          <w:color w:val="000000"/>
        </w:rPr>
      </w:pPr>
    </w:p>
    <w:p w14:paraId="5423F379" w14:textId="77777777" w:rsidR="009F0C56" w:rsidRDefault="00653842">
      <w:pPr>
        <w:pStyle w:val="Heading2"/>
        <w:rPr>
          <w:rFonts w:ascii="Arial" w:eastAsia="Arial" w:hAnsi="Arial" w:cs="Arial"/>
        </w:rPr>
      </w:pPr>
      <w:bookmarkStart w:id="48" w:name="_Toc240965979"/>
      <w:r>
        <w:rPr>
          <w:rFonts w:ascii="Arial" w:eastAsia="Arial" w:hAnsi="Arial" w:cs="Arial"/>
        </w:rPr>
        <w:t>4.5 Cannibal Capitalism: The Consumptive Logic of Capital</w:t>
      </w:r>
      <w:bookmarkEnd w:id="48"/>
      <w:r>
        <w:rPr>
          <w:rFonts w:ascii="Arial" w:eastAsia="Arial" w:hAnsi="Arial" w:cs="Arial"/>
        </w:rPr>
        <w:t xml:space="preserve"> </w:t>
      </w:r>
    </w:p>
    <w:p w14:paraId="02404A25"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To further conceptualise the destructive nature of capitalist development in Indigenous contexts, Winona LaDuke’s notion of Wendigo capitalism provides a critical lens. This concept describes capitalism as inherently cannibalistic: an economic system that survives by continuously consuming and destroying the very resources, land, and people it depends upon (LaDuke, 2016, 2020). The endless drive for surplus value creates a cycle of environmental degradation, cultural genocide, and epistemic violence that is</w:t>
      </w:r>
      <w:r>
        <w:rPr>
          <w:rFonts w:ascii="Arial" w:eastAsia="Arial" w:hAnsi="Arial" w:cs="Arial"/>
          <w:color w:val="000000"/>
        </w:rPr>
        <w:t xml:space="preserve"> central to settler colonial projects.</w:t>
      </w:r>
    </w:p>
    <w:p w14:paraId="7769111B" w14:textId="5EACF13D" w:rsidR="009F0C56" w:rsidRDefault="00653842">
      <w:pPr>
        <w:spacing w:before="280" w:after="280" w:line="240" w:lineRule="auto"/>
        <w:rPr>
          <w:rFonts w:ascii="Arial" w:eastAsia="Arial" w:hAnsi="Arial" w:cs="Arial"/>
          <w:color w:val="000000"/>
        </w:rPr>
      </w:pPr>
      <w:r>
        <w:rPr>
          <w:rFonts w:ascii="Arial" w:eastAsia="Arial" w:hAnsi="Arial" w:cs="Arial"/>
          <w:color w:val="000000"/>
        </w:rPr>
        <w:t>This cannibalistic economy is not simply about material extraction but also about erasing Indigenous ontologies, histories, and identities. Land is not just exploited for profit but is severed from Indigenous relational ways of knowing and being (Pasternak 2020). In tourism, this manifests in the fetishisation and commodification of Indigeneity</w:t>
      </w:r>
      <w:r w:rsidR="00CF2C48">
        <w:rPr>
          <w:rFonts w:ascii="Arial" w:eastAsia="Arial" w:hAnsi="Arial" w:cs="Arial"/>
          <w:color w:val="000000"/>
        </w:rPr>
        <w:t>;</w:t>
      </w:r>
      <w:r>
        <w:rPr>
          <w:rFonts w:ascii="Arial" w:eastAsia="Arial" w:hAnsi="Arial" w:cs="Arial"/>
          <w:color w:val="000000"/>
        </w:rPr>
        <w:t xml:space="preserve"> Indigenous cultures</w:t>
      </w:r>
      <w:r>
        <w:rPr>
          <w:rFonts w:ascii="Arial" w:eastAsia="Arial" w:hAnsi="Arial" w:cs="Arial"/>
          <w:color w:val="000000"/>
        </w:rPr>
        <w:t xml:space="preserve"> and identities are packaged and sold in ways that are palatable to settler tourists but ultimately serve to reproduce settler colonial narratives of domination and progress (LaDuke 2016).</w:t>
      </w:r>
    </w:p>
    <w:p w14:paraId="14C22456"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In this context, economic redistribution models that focus narrowly on surplus value, while well-intentioned, risk obscuring the deeper sociological and symbolic processes of settler colonial erasure. They may redistribute wealth within Indigenous communities, but do little to dismantle the ongoing colonial logic that conditions the very terms of economic participation.</w:t>
      </w:r>
    </w:p>
    <w:p w14:paraId="76F8B475" w14:textId="77777777" w:rsidR="009F0C56" w:rsidRDefault="009F0C56">
      <w:pPr>
        <w:spacing w:after="0" w:line="240" w:lineRule="auto"/>
        <w:rPr>
          <w:rFonts w:ascii="Arial" w:eastAsia="Arial" w:hAnsi="Arial" w:cs="Arial"/>
          <w:color w:val="000000"/>
        </w:rPr>
      </w:pPr>
    </w:p>
    <w:p w14:paraId="3E2FD5B4" w14:textId="77777777" w:rsidR="009F0C56" w:rsidRDefault="00653842">
      <w:pPr>
        <w:pStyle w:val="Heading2"/>
        <w:rPr>
          <w:rFonts w:ascii="Arial" w:eastAsia="Arial" w:hAnsi="Arial" w:cs="Arial"/>
        </w:rPr>
      </w:pPr>
      <w:bookmarkStart w:id="49" w:name="_Toc240965980"/>
      <w:r>
        <w:rPr>
          <w:rFonts w:ascii="Arial" w:eastAsia="Arial" w:hAnsi="Arial" w:cs="Arial"/>
        </w:rPr>
        <w:lastRenderedPageBreak/>
        <w:t>4.6 A Structural and Representational Critique of Tourism Economies</w:t>
      </w:r>
      <w:bookmarkEnd w:id="49"/>
    </w:p>
    <w:p w14:paraId="4C263521" w14:textId="77777777" w:rsidR="009F0C56" w:rsidRDefault="00653842">
      <w:pPr>
        <w:spacing w:before="280" w:after="280" w:line="240" w:lineRule="auto"/>
        <w:rPr>
          <w:rFonts w:ascii="Arial" w:eastAsia="Arial" w:hAnsi="Arial" w:cs="Arial"/>
        </w:rPr>
      </w:pPr>
      <w:r>
        <w:rPr>
          <w:rFonts w:ascii="Arial" w:eastAsia="Arial" w:hAnsi="Arial" w:cs="Arial"/>
          <w:color w:val="000000"/>
        </w:rPr>
        <w:t>Current economic literature on sustainable and Indigenous tourism overwhelmingly prioritises questions of capital distribution, community benefit, and market innovation. What remains underexplored is how economic practices are deeply entangled with representational politics and settler colonial strategies of erasure and assimilation</w:t>
      </w:r>
      <w:r>
        <w:rPr>
          <w:rFonts w:ascii="Arial" w:eastAsia="Arial" w:hAnsi="Arial" w:cs="Arial"/>
          <w:color w:val="008000"/>
        </w:rPr>
        <w:t>.</w:t>
      </w:r>
    </w:p>
    <w:p w14:paraId="70D10B8D" w14:textId="0BC229BA" w:rsidR="009F0C56" w:rsidRDefault="00653842">
      <w:pPr>
        <w:spacing w:before="280" w:after="280" w:line="240" w:lineRule="auto"/>
        <w:rPr>
          <w:rFonts w:ascii="Arial" w:eastAsia="Arial" w:hAnsi="Arial" w:cs="Arial"/>
        </w:rPr>
      </w:pPr>
      <w:r>
        <w:rPr>
          <w:rFonts w:ascii="Arial" w:eastAsia="Arial" w:hAnsi="Arial" w:cs="Arial"/>
        </w:rPr>
        <w:t xml:space="preserve">This thesis aims to address this critical oversight by integrating a decolonial political economy with an analysis of the epistemic violence inherent in Indigenous tourism. It advances the argument that economic questions cannot be disentangled from how Indigenous peoples are represented, seen, and commodified in tourism spaces. Indigenous tourism is not simply an economic activity but a site of </w:t>
      </w:r>
      <w:r w:rsidR="00CF2C48">
        <w:rPr>
          <w:rFonts w:ascii="Arial" w:eastAsia="Arial" w:hAnsi="Arial" w:cs="Arial"/>
        </w:rPr>
        <w:t>racialised</w:t>
      </w:r>
      <w:r>
        <w:rPr>
          <w:rFonts w:ascii="Arial" w:eastAsia="Arial" w:hAnsi="Arial" w:cs="Arial"/>
        </w:rPr>
        <w:t xml:space="preserve"> fetishism and symbolic control, where Indigenous identities are performed and consumed in ways that often reproduce colonial power asymmetries (Diaz-Parra Cordero 2024).</w:t>
      </w:r>
    </w:p>
    <w:p w14:paraId="1EB514E3" w14:textId="77777777" w:rsidR="009F0C56" w:rsidRDefault="00653842">
      <w:pPr>
        <w:spacing w:before="280" w:after="280" w:line="240" w:lineRule="auto"/>
        <w:rPr>
          <w:rFonts w:ascii="Arial" w:eastAsia="Arial" w:hAnsi="Arial" w:cs="Arial"/>
          <w:color w:val="000000"/>
        </w:rPr>
      </w:pPr>
      <w:r>
        <w:rPr>
          <w:rFonts w:ascii="Arial" w:eastAsia="Arial" w:hAnsi="Arial" w:cs="Arial"/>
        </w:rPr>
        <w:t>The economy</w:t>
      </w:r>
      <w:r>
        <w:rPr>
          <w:rFonts w:ascii="Arial" w:eastAsia="Arial" w:hAnsi="Arial" w:cs="Arial"/>
          <w:color w:val="008000"/>
        </w:rPr>
        <w:t xml:space="preserve"> </w:t>
      </w:r>
      <w:r>
        <w:rPr>
          <w:rFonts w:ascii="Arial" w:eastAsia="Arial" w:hAnsi="Arial" w:cs="Arial"/>
          <w:color w:val="000000"/>
        </w:rPr>
        <w:t>is therefore not just about money flows or redistributive justice, but about the conditions of possibility for Indigenous self-determination and cultural sovereignty within tourism markets shaped by settler colonial logics. Recognising this shifts the focus from surface economic interventions to a deeper, structural interrogation of how settler colonialism shapes the political economy of tourism and the everyday lived realities of Indigenous communities (Grimwood 2024).</w:t>
      </w:r>
    </w:p>
    <w:p w14:paraId="23EF1B43" w14:textId="5965E2C1" w:rsidR="009F0C56" w:rsidRDefault="00653842">
      <w:pPr>
        <w:spacing w:before="280" w:after="280" w:line="240" w:lineRule="auto"/>
        <w:rPr>
          <w:rFonts w:ascii="Arial" w:eastAsia="Arial" w:hAnsi="Arial" w:cs="Arial"/>
          <w:color w:val="000000"/>
        </w:rPr>
      </w:pPr>
      <w:r>
        <w:rPr>
          <w:rFonts w:ascii="Arial" w:eastAsia="Arial" w:hAnsi="Arial" w:cs="Arial"/>
          <w:color w:val="000000"/>
        </w:rPr>
        <w:t xml:space="preserve">The next section will build on this foundation by exploring how tourism operates as a representational regime, one that </w:t>
      </w:r>
      <w:r w:rsidR="00CF2C48">
        <w:rPr>
          <w:rFonts w:ascii="Arial" w:eastAsia="Arial" w:hAnsi="Arial" w:cs="Arial"/>
          <w:color w:val="000000"/>
        </w:rPr>
        <w:t>fetishises</w:t>
      </w:r>
      <w:r>
        <w:rPr>
          <w:rFonts w:ascii="Arial" w:eastAsia="Arial" w:hAnsi="Arial" w:cs="Arial"/>
          <w:color w:val="000000"/>
        </w:rPr>
        <w:t xml:space="preserve"> Indigenous identities and cultures, demands specific performances, and perpetuates epistemic violence (Daigle 2024). It will analyse Indigenous tourism as a site of cultural and political struggle, foregrounding the ways economic, social, and symbolic dimensions of tourism intersect within settler colonial frameworks.</w:t>
      </w:r>
    </w:p>
    <w:p w14:paraId="26F5A82B" w14:textId="77777777" w:rsidR="009F0C56" w:rsidRDefault="00653842">
      <w:pPr>
        <w:pStyle w:val="Heading2"/>
        <w:rPr>
          <w:rFonts w:ascii="Arial" w:eastAsia="Arial" w:hAnsi="Arial" w:cs="Arial"/>
        </w:rPr>
      </w:pPr>
      <w:bookmarkStart w:id="50" w:name="_Toc240965981"/>
      <w:r>
        <w:rPr>
          <w:rFonts w:ascii="Arial" w:eastAsia="Arial" w:hAnsi="Arial" w:cs="Arial"/>
        </w:rPr>
        <w:t>4.7 Conclusion: Decolonising the Economic Imagination in Tourism</w:t>
      </w:r>
      <w:bookmarkEnd w:id="50"/>
    </w:p>
    <w:p w14:paraId="39413065" w14:textId="74D89430" w:rsidR="009F0C56" w:rsidRDefault="00653842">
      <w:pPr>
        <w:spacing w:before="280" w:after="280" w:line="240" w:lineRule="auto"/>
        <w:rPr>
          <w:rFonts w:ascii="Arial" w:eastAsia="Arial" w:hAnsi="Arial" w:cs="Arial"/>
          <w:color w:val="000000"/>
        </w:rPr>
      </w:pPr>
      <w:r>
        <w:rPr>
          <w:rFonts w:ascii="Arial" w:eastAsia="Arial" w:hAnsi="Arial" w:cs="Arial"/>
          <w:color w:val="000000"/>
        </w:rPr>
        <w:t xml:space="preserve">What is critically absent in much of the current literature is a robust interrogation of how capitalist development, settler colonial representation, and cultural fetishism are deeply entangled. Existing economic frameworks, even when reframed through models such as community-based tourism or diverse economies, often remain blind to the settler colonial logics that underwrite tourism practices themselves (Diaz-Perra </w:t>
      </w:r>
      <w:r w:rsidR="00CF2C48">
        <w:rPr>
          <w:rFonts w:ascii="Arial" w:eastAsia="Arial" w:hAnsi="Arial" w:cs="Arial"/>
          <w:color w:val="000000"/>
        </w:rPr>
        <w:t>Hernandez</w:t>
      </w:r>
      <w:r>
        <w:rPr>
          <w:rFonts w:ascii="Arial" w:eastAsia="Arial" w:hAnsi="Arial" w:cs="Arial"/>
          <w:color w:val="000000"/>
        </w:rPr>
        <w:t>). These logics extend beyond the material; it is not only the extraction of capital and land that sustains coloniality, but the symbolic erasure and commodification of Indigenous identity, culture, and sovereignty (Gritzas Kavoulakos 2015). In failing to consider this, the literature risks reifying the very systems it seeks to critique.</w:t>
      </w:r>
    </w:p>
    <w:p w14:paraId="14EA6411" w14:textId="77777777" w:rsidR="009F0C56" w:rsidRDefault="00653842">
      <w:pPr>
        <w:spacing w:before="280" w:after="280" w:line="240" w:lineRule="auto"/>
        <w:rPr>
          <w:rFonts w:ascii="Arial" w:eastAsia="Arial" w:hAnsi="Arial" w:cs="Arial"/>
        </w:rPr>
      </w:pPr>
      <w:r>
        <w:rPr>
          <w:rFonts w:ascii="Arial" w:eastAsia="Arial" w:hAnsi="Arial" w:cs="Arial"/>
        </w:rPr>
        <w:t xml:space="preserve">This thesis aims to fill this critical gap by advancing a decolonial approach that moves beyond economic redistribution or surface-level participation. It seeks to interrogate the conditions of intelligibility and visibility under which Indigenous </w:t>
      </w:r>
      <w:r>
        <w:rPr>
          <w:rFonts w:ascii="Arial" w:eastAsia="Arial" w:hAnsi="Arial" w:cs="Arial"/>
        </w:rPr>
        <w:lastRenderedPageBreak/>
        <w:t>communities are allowed to participate in tourism (Allen Brasher 2019). What representations are demanded of them? What identities are permissible for circulation? And under what terms are these representations accepted or rejected by settler audiences and state actors alike?</w:t>
      </w:r>
    </w:p>
    <w:p w14:paraId="7F0D9DB0" w14:textId="77777777" w:rsidR="009F0C56" w:rsidRDefault="00653842">
      <w:pPr>
        <w:spacing w:before="280" w:after="280" w:line="240" w:lineRule="auto"/>
        <w:rPr>
          <w:rFonts w:ascii="Arial" w:eastAsia="Arial" w:hAnsi="Arial" w:cs="Arial"/>
          <w:color w:val="000000"/>
        </w:rPr>
      </w:pPr>
      <w:r>
        <w:rPr>
          <w:rFonts w:ascii="Arial" w:eastAsia="Arial" w:hAnsi="Arial" w:cs="Arial"/>
        </w:rPr>
        <w:t>In many cases, Indigenous tourism is less about self-representation and more about structured performance, one curated for settler consumption, redemption, and reassurance. It becomes a fetishised</w:t>
      </w:r>
      <w:r>
        <w:rPr>
          <w:rFonts w:ascii="Arial" w:eastAsia="Arial" w:hAnsi="Arial" w:cs="Arial"/>
          <w:color w:val="008000"/>
        </w:rPr>
        <w:t xml:space="preserve"> </w:t>
      </w:r>
      <w:r>
        <w:rPr>
          <w:rFonts w:ascii="Arial" w:eastAsia="Arial" w:hAnsi="Arial" w:cs="Arial"/>
          <w:color w:val="000000"/>
        </w:rPr>
        <w:t>practice, where the Indigenous subject is rendered desirable precisely because of their difference, their supposed timelessness, or their spiritual relation to the land (Aldred 2000). In this dynamic, Indigenous presence is tolerated only insofar as it serves to affirm settler narratives of multicultural benevolence or environmental stewardship. This creates a paradoxical logic where Indigenous communities are visible, yet stripped of political and ontological sovereignty; represented, but not recognised.</w:t>
      </w:r>
    </w:p>
    <w:p w14:paraId="48676E03" w14:textId="647B6138" w:rsidR="009F0C56" w:rsidRDefault="00653842">
      <w:pPr>
        <w:spacing w:before="280" w:after="280" w:line="240" w:lineRule="auto"/>
        <w:rPr>
          <w:rFonts w:ascii="Arial" w:eastAsia="Arial" w:hAnsi="Arial" w:cs="Arial"/>
          <w:color w:val="000000"/>
        </w:rPr>
      </w:pPr>
      <w:r>
        <w:rPr>
          <w:rFonts w:ascii="Arial" w:eastAsia="Arial" w:hAnsi="Arial" w:cs="Arial"/>
          <w:color w:val="000000"/>
        </w:rPr>
        <w:t>Crucially, this work argues that the economic cannot be separated from the symbolic. Capitalist logics operate not only through accumulation but also through the reconfiguration of cultural meaning. This means that any sustainable or ethical tourism model that fails to dismantle the epistemic and representational infrastructure of coloniality will ultimately remain complicit in the reproduction of settler power. In this sense, even "diverse" or "community-based" economies can act as softer instruments of as</w:t>
      </w:r>
      <w:r>
        <w:rPr>
          <w:rFonts w:ascii="Arial" w:eastAsia="Arial" w:hAnsi="Arial" w:cs="Arial"/>
          <w:color w:val="000000"/>
        </w:rPr>
        <w:t>similation, where Indigenous ways of being are tolerated only when they can be translated into settler economic and aesthetic logics (Fan et al</w:t>
      </w:r>
      <w:r w:rsidR="00CF2C48">
        <w:rPr>
          <w:rFonts w:ascii="Arial" w:eastAsia="Arial" w:hAnsi="Arial" w:cs="Arial"/>
          <w:color w:val="000000"/>
        </w:rPr>
        <w:t>.</w:t>
      </w:r>
      <w:r>
        <w:rPr>
          <w:rFonts w:ascii="Arial" w:eastAsia="Arial" w:hAnsi="Arial" w:cs="Arial"/>
          <w:color w:val="000000"/>
        </w:rPr>
        <w:t>, 2021).</w:t>
      </w:r>
    </w:p>
    <w:p w14:paraId="42F43358" w14:textId="77777777" w:rsidR="009F0C56" w:rsidRDefault="00653842">
      <w:pPr>
        <w:spacing w:before="280" w:after="280" w:line="240" w:lineRule="auto"/>
        <w:rPr>
          <w:rFonts w:ascii="Arial" w:eastAsia="Arial" w:hAnsi="Arial" w:cs="Arial"/>
        </w:rPr>
      </w:pPr>
      <w:r>
        <w:rPr>
          <w:rFonts w:ascii="Arial" w:eastAsia="Arial" w:hAnsi="Arial" w:cs="Arial"/>
        </w:rPr>
        <w:t>Therefore, by foregrounding these concerns, this thesis contributes to a growing body of decolonial tourism studies that critique both the material and affective economies of Indigeneity. Arguing that any meaningful transformation of tourism must address the underlying structures of knowledge, power, and recognition that shape how Indigenous communities are seen, known, and engaged (Allen Brasher 2019).</w:t>
      </w:r>
    </w:p>
    <w:p w14:paraId="2D629109" w14:textId="77777777" w:rsidR="009F0C56" w:rsidRDefault="00653842">
      <w:pPr>
        <w:pStyle w:val="Heading1"/>
        <w:rPr>
          <w:rFonts w:ascii="Arial" w:eastAsia="Arial" w:hAnsi="Arial" w:cs="Arial"/>
          <w:sz w:val="32"/>
          <w:szCs w:val="32"/>
        </w:rPr>
      </w:pPr>
      <w:bookmarkStart w:id="51" w:name="_Toc240965982"/>
      <w:r>
        <w:rPr>
          <w:rFonts w:ascii="Arial" w:eastAsia="Arial" w:hAnsi="Arial" w:cs="Arial"/>
          <w:sz w:val="32"/>
          <w:szCs w:val="32"/>
        </w:rPr>
        <w:t>4.8 The Ideological Infrastructure of Sustainable Tourism</w:t>
      </w:r>
      <w:bookmarkEnd w:id="51"/>
    </w:p>
    <w:p w14:paraId="3962C67C" w14:textId="6788993F" w:rsidR="009F0C56" w:rsidRDefault="00653842">
      <w:pPr>
        <w:spacing w:before="280" w:after="280" w:line="240" w:lineRule="auto"/>
        <w:rPr>
          <w:rFonts w:ascii="Arial" w:eastAsia="Arial" w:hAnsi="Arial" w:cs="Arial"/>
        </w:rPr>
      </w:pPr>
      <w:r>
        <w:rPr>
          <w:rFonts w:ascii="Arial" w:eastAsia="Arial" w:hAnsi="Arial" w:cs="Arial"/>
        </w:rPr>
        <w:t>The rise of sustainable tourism since the 1980s has been widely interpreted as a response to growing concerns about the unsustainable environmental, economic, and cultural consequences of mass tourism (Holden, 2003). What distinguishes sustainable tourism is its self-presentation as ethical and regenerative, appealing to a more “conscious” tourist who wishes to experience “authentic” culture while minimising harm (Palacios-Florencio et al</w:t>
      </w:r>
      <w:r w:rsidR="00CF2C48">
        <w:rPr>
          <w:rFonts w:ascii="Arial" w:eastAsia="Arial" w:hAnsi="Arial" w:cs="Arial"/>
        </w:rPr>
        <w:t>.</w:t>
      </w:r>
      <w:r>
        <w:rPr>
          <w:rFonts w:ascii="Arial" w:eastAsia="Arial" w:hAnsi="Arial" w:cs="Arial"/>
        </w:rPr>
        <w:t xml:space="preserve"> 2021).</w:t>
      </w:r>
    </w:p>
    <w:p w14:paraId="1D655013" w14:textId="59BDF328" w:rsidR="009F0C56" w:rsidRDefault="00653842">
      <w:pPr>
        <w:spacing w:before="280" w:after="280" w:line="240" w:lineRule="auto"/>
        <w:rPr>
          <w:rFonts w:ascii="Arial" w:eastAsia="Arial" w:hAnsi="Arial" w:cs="Arial"/>
          <w:color w:val="000000"/>
        </w:rPr>
      </w:pPr>
      <w:r>
        <w:rPr>
          <w:rFonts w:ascii="Arial" w:eastAsia="Arial" w:hAnsi="Arial" w:cs="Arial"/>
        </w:rPr>
        <w:t>Yet this shift is undergirded by a Western epistemology that centres the tourist, not the host. As Cornelisse (2014) notes, sustainability in tourism is most commonly framed through semiotic fields organised around the values of environmental conservation, economic rationality, and cultural experience</w:t>
      </w:r>
      <w:r w:rsidR="00CF2C48">
        <w:rPr>
          <w:rFonts w:ascii="Arial" w:eastAsia="Arial" w:hAnsi="Arial" w:cs="Arial"/>
        </w:rPr>
        <w:t>,</w:t>
      </w:r>
      <w:r>
        <w:rPr>
          <w:rFonts w:ascii="Arial" w:eastAsia="Arial" w:hAnsi="Arial" w:cs="Arial"/>
        </w:rPr>
        <w:t xml:space="preserve"> </w:t>
      </w:r>
      <w:r>
        <w:rPr>
          <w:rFonts w:ascii="Arial" w:eastAsia="Arial" w:hAnsi="Arial" w:cs="Arial"/>
          <w:color w:val="000000"/>
        </w:rPr>
        <w:t>all of which privilege the desires of the global North. This framing actively produces hierarchies of knowledge and value, situating Indigenous lands and cultures as resources to be protected, consumed, and preserved, but always on terms legible to and profitable for settler society.</w:t>
      </w:r>
    </w:p>
    <w:p w14:paraId="52BDB840"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lastRenderedPageBreak/>
        <w:t>While institutions such as the UNWTO (2021) advocate for tourism models that support Indigenous communities, they often do so through a neoliberal lens, encouraging Indigenous groups to market their cultures and landscapes as profitable commodities. These efforts, while framed as inclusive and empowering, often serve to reinscribe colonial relations, whereby Indigenous peoples are recognised only insofar as they conform to settler expectations of authenticity, simplicity, and ecological harmony.</w:t>
      </w:r>
    </w:p>
    <w:p w14:paraId="535256CD" w14:textId="77777777" w:rsidR="009F0C56" w:rsidRDefault="009F0C56">
      <w:pPr>
        <w:spacing w:after="0" w:line="240" w:lineRule="auto"/>
        <w:rPr>
          <w:rFonts w:ascii="Arial" w:eastAsia="Arial" w:hAnsi="Arial" w:cs="Arial"/>
          <w:color w:val="000000"/>
        </w:rPr>
      </w:pPr>
    </w:p>
    <w:p w14:paraId="18D8D15D" w14:textId="77777777" w:rsidR="009F0C56" w:rsidRDefault="00653842">
      <w:pPr>
        <w:pStyle w:val="Heading2"/>
        <w:rPr>
          <w:rFonts w:ascii="Arial" w:eastAsia="Arial" w:hAnsi="Arial" w:cs="Arial"/>
        </w:rPr>
      </w:pPr>
      <w:bookmarkStart w:id="52" w:name="_Toc240965983"/>
      <w:r>
        <w:rPr>
          <w:rFonts w:ascii="Arial" w:eastAsia="Arial" w:hAnsi="Arial" w:cs="Arial"/>
        </w:rPr>
        <w:t>4.9 Land, Labour, and Representation: Sustainable Tourism</w:t>
      </w:r>
      <w:bookmarkEnd w:id="52"/>
    </w:p>
    <w:p w14:paraId="50E49CEC"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A recurrent logic within the literature is the triadic relationship between land, host communities, and tourist economies. The environment is to be protected; local people are to be employed, or tourists are to be enriched. Fernández (2018) offers a synthesis of these three elements, arguing that sustainable tourism's success depends on limiting environmental degradation, promoting local economic benefits, and providing authentic experiences (Higgens-Desbiolles 2021).</w:t>
      </w:r>
    </w:p>
    <w:p w14:paraId="6D64F627"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However, the assumption underpinning this logic is that sustainability is a universal good, equally beneficial to all. What this obscures is how the very structure of sustainability can itself be colonial, particularly when sustainability is operationalised through market mechanisms and Western aesthetic categories. When Indigenous lands are conserved not as part of Indigenous cosmologies, but as scenic capital for tourists, when Indigenous bodies are included not as political actors, but as performers of c</w:t>
      </w:r>
      <w:r>
        <w:rPr>
          <w:rFonts w:ascii="Arial" w:eastAsia="Arial" w:hAnsi="Arial" w:cs="Arial"/>
          <w:color w:val="000000"/>
        </w:rPr>
        <w:t>ultural authenticity, then sustainability becomes a tool for governing Indigenous life within settler parameters (Estes 2019).</w:t>
      </w:r>
    </w:p>
    <w:p w14:paraId="55443000"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Moreover, this structure positions a hierarchy of importance, where land is preserved not for Indigenous ontologies but to ensure future tourist access; where community participation is measured in economic metrics; and where tourists’ expectations for cultural ‘realness’ shape how Indigenous groups present themselves. Thus, while appearing benevolent, this framework perpetuates the commodification of Indigenous identity and aligns closely with what Coulthard (2014) calls the "politics of recognition," wher</w:t>
      </w:r>
      <w:r>
        <w:rPr>
          <w:rFonts w:ascii="Arial" w:eastAsia="Arial" w:hAnsi="Arial" w:cs="Arial"/>
          <w:color w:val="000000"/>
        </w:rPr>
        <w:t>e Indigenous life is validated only through settler desires.</w:t>
      </w:r>
    </w:p>
    <w:p w14:paraId="33F25754" w14:textId="77777777" w:rsidR="009F0C56" w:rsidRDefault="009F0C56">
      <w:pPr>
        <w:spacing w:after="0" w:line="240" w:lineRule="auto"/>
        <w:rPr>
          <w:rFonts w:ascii="Arial" w:eastAsia="Arial" w:hAnsi="Arial" w:cs="Arial"/>
        </w:rPr>
      </w:pPr>
    </w:p>
    <w:p w14:paraId="730CF77F" w14:textId="77777777" w:rsidR="009F0C56" w:rsidRDefault="00653842">
      <w:pPr>
        <w:pStyle w:val="Heading2"/>
        <w:rPr>
          <w:rFonts w:ascii="Arial" w:eastAsia="Arial" w:hAnsi="Arial" w:cs="Arial"/>
        </w:rPr>
      </w:pPr>
      <w:bookmarkStart w:id="53" w:name="_Toc240965984"/>
      <w:r>
        <w:rPr>
          <w:rFonts w:ascii="Arial" w:eastAsia="Arial" w:hAnsi="Arial" w:cs="Arial"/>
        </w:rPr>
        <w:t>4.10 The Limits of Environmental Critique</w:t>
      </w:r>
      <w:bookmarkEnd w:id="53"/>
    </w:p>
    <w:p w14:paraId="537FB600" w14:textId="77777777" w:rsidR="009F0C56" w:rsidRDefault="00653842">
      <w:pPr>
        <w:spacing w:before="280" w:after="280" w:line="240" w:lineRule="auto"/>
        <w:rPr>
          <w:rFonts w:ascii="Arial" w:eastAsia="Arial" w:hAnsi="Arial" w:cs="Arial"/>
        </w:rPr>
      </w:pPr>
      <w:r>
        <w:rPr>
          <w:rFonts w:ascii="Arial" w:eastAsia="Arial" w:hAnsi="Arial" w:cs="Arial"/>
        </w:rPr>
        <w:t>Butler (2018, 2021) offers a more nuanced approach by questioning who sustainability is for, challenging the dominant assumption that fewer tourists equal a smaller environmental footprint. His work reveals that the infrastructure required for “low-density” sustainable tourism may result in greater per-person environmental cost than mass tourism, thereby destabilising one of the industry’s core assumptions.</w:t>
      </w:r>
    </w:p>
    <w:p w14:paraId="6576095F" w14:textId="77777777" w:rsidR="009F0C56" w:rsidRDefault="00653842">
      <w:pPr>
        <w:spacing w:before="280" w:after="280" w:line="240" w:lineRule="auto"/>
        <w:rPr>
          <w:rFonts w:ascii="Arial" w:eastAsia="Arial" w:hAnsi="Arial" w:cs="Arial"/>
        </w:rPr>
      </w:pPr>
      <w:r>
        <w:rPr>
          <w:rFonts w:ascii="Arial" w:eastAsia="Arial" w:hAnsi="Arial" w:cs="Arial"/>
        </w:rPr>
        <w:t xml:space="preserve">However, despite this important critique, Butler’s analysis ultimately remains bound to materialist and managerial logics. His concern remains focused on how sustainable tourism functions as a system of environmental governance and consumer behaviour (Butler 2018). He does not interrogate how sustainability </w:t>
      </w:r>
      <w:r>
        <w:rPr>
          <w:rFonts w:ascii="Arial" w:eastAsia="Arial" w:hAnsi="Arial" w:cs="Arial"/>
        </w:rPr>
        <w:lastRenderedPageBreak/>
        <w:t>functions as a discourse of colonial desire, nor how it uses Indigenous imagery, narratives, and performances to authenticate settler experiences.</w:t>
      </w:r>
    </w:p>
    <w:p w14:paraId="7C526683" w14:textId="77777777" w:rsidR="009F0C56" w:rsidRDefault="00653842">
      <w:pPr>
        <w:spacing w:before="280" w:after="280" w:line="240" w:lineRule="auto"/>
        <w:rPr>
          <w:rFonts w:ascii="Arial" w:eastAsia="Arial" w:hAnsi="Arial" w:cs="Arial"/>
        </w:rPr>
      </w:pPr>
      <w:r>
        <w:rPr>
          <w:rFonts w:ascii="Arial" w:eastAsia="Arial" w:hAnsi="Arial" w:cs="Arial"/>
        </w:rPr>
        <w:t>The effect is to decentre one signifier, environmental sustainability, while leaving intact the larger representational regime that frames Indigenous peoples as cultural capital for sustainable tourism’s moral economy. Like much of the field, Butler’s critique is internal to tourism studies, not a decolonial challenge to its foundational assumptions (Butler 2022).</w:t>
      </w:r>
    </w:p>
    <w:p w14:paraId="0033AA1A" w14:textId="77777777" w:rsidR="009F0C56" w:rsidRDefault="00653842">
      <w:pPr>
        <w:pStyle w:val="Heading3"/>
        <w:rPr>
          <w:rFonts w:ascii="Arial" w:eastAsia="Arial" w:hAnsi="Arial" w:cs="Arial"/>
          <w:color w:val="000000"/>
          <w:sz w:val="24"/>
          <w:szCs w:val="24"/>
        </w:rPr>
      </w:pPr>
      <w:bookmarkStart w:id="54" w:name="_Toc240965985"/>
      <w:r>
        <w:rPr>
          <w:rFonts w:ascii="Arial" w:eastAsia="Arial" w:hAnsi="Arial" w:cs="Arial"/>
          <w:sz w:val="32"/>
          <w:szCs w:val="32"/>
        </w:rPr>
        <w:t>4.11 Indigenous and Decolonial Interventions: From Spectacle to Sovereignty</w:t>
      </w:r>
      <w:bookmarkEnd w:id="54"/>
    </w:p>
    <w:p w14:paraId="59115A52" w14:textId="77777777" w:rsidR="009F0C56" w:rsidRDefault="00653842">
      <w:pPr>
        <w:spacing w:before="280" w:after="280" w:line="240" w:lineRule="auto"/>
        <w:rPr>
          <w:rFonts w:ascii="Arial" w:eastAsia="Arial" w:hAnsi="Arial" w:cs="Arial"/>
        </w:rPr>
      </w:pPr>
      <w:r>
        <w:rPr>
          <w:rFonts w:ascii="Arial" w:eastAsia="Arial" w:hAnsi="Arial" w:cs="Arial"/>
        </w:rPr>
        <w:t>Indigenous and decolonial scholars radically reframe the tourism encounter. Trask (1999), LaDuke (1999), and McLaren (2003) argue that tourism is not merely a transactional relationship but a colonial one, built on temporal asymmetry (where hosts and tourists only meet within the confines of curated performance) and epistemic extraction (where Indigenous knowledge is appropriated, aestheticized, and sold).</w:t>
      </w:r>
    </w:p>
    <w:p w14:paraId="09C2E272"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 xml:space="preserve">This framing sees tourism as an extension of the settler colonial project, which functions not only through land dispossession but through the control of Indigenous representation. The tourist does not encounter the political Indigenous subject but rather a curated image, tailored to settler desires for connection, spirituality, or ecological harmony. As Tuck and Yang (2012) argue, this form of settler engagement represents a “move to innocence”, where the settler seeks redemption or reconciliation through </w:t>
      </w:r>
      <w:r>
        <w:rPr>
          <w:rFonts w:ascii="Arial" w:eastAsia="Arial" w:hAnsi="Arial" w:cs="Arial"/>
          <w:color w:val="000000"/>
        </w:rPr>
        <w:t>symbolic recognition, while leaving the structures of settler power untouched.</w:t>
      </w:r>
    </w:p>
    <w:p w14:paraId="1475EB6F" w14:textId="77777777" w:rsidR="009F0C56" w:rsidRDefault="00653842">
      <w:pPr>
        <w:spacing w:before="280" w:after="280" w:line="240" w:lineRule="auto"/>
        <w:rPr>
          <w:rFonts w:ascii="Arial" w:eastAsia="Arial" w:hAnsi="Arial" w:cs="Arial"/>
        </w:rPr>
      </w:pPr>
      <w:r>
        <w:rPr>
          <w:rFonts w:ascii="Arial" w:eastAsia="Arial" w:hAnsi="Arial" w:cs="Arial"/>
        </w:rPr>
        <w:t>Importantly, these scholars highlight the epistemological stakes of tourism. It is not simply about money or visibility; it is about whose knowledge systems are made real, and whose are distorted, flattened, or erased. As Ndlovu (2019) argues, the decolonial project must confront the coloniality of being, power, and knowledge, a matrix that tourism actively reproduces through its images, narratives, and itineraries (Quijano 2007).</w:t>
      </w:r>
    </w:p>
    <w:p w14:paraId="0AD5C7C3" w14:textId="77777777" w:rsidR="009F0C56" w:rsidRDefault="009F0C56">
      <w:pPr>
        <w:spacing w:after="0" w:line="240" w:lineRule="auto"/>
        <w:rPr>
          <w:rFonts w:ascii="Arial" w:eastAsia="Arial" w:hAnsi="Arial" w:cs="Arial"/>
        </w:rPr>
      </w:pPr>
    </w:p>
    <w:p w14:paraId="465D2D6D" w14:textId="77777777" w:rsidR="009F0C56" w:rsidRDefault="00653842">
      <w:pPr>
        <w:pStyle w:val="Heading2"/>
        <w:rPr>
          <w:rFonts w:ascii="Arial" w:eastAsia="Arial" w:hAnsi="Arial" w:cs="Arial"/>
        </w:rPr>
      </w:pPr>
      <w:bookmarkStart w:id="55" w:name="_Toc240965986"/>
      <w:r>
        <w:rPr>
          <w:rFonts w:ascii="Arial" w:eastAsia="Arial" w:hAnsi="Arial" w:cs="Arial"/>
        </w:rPr>
        <w:t>4.12 Curated Indigeneity and Settler Desire: The Unexplored Representational Gap</w:t>
      </w:r>
      <w:bookmarkEnd w:id="55"/>
    </w:p>
    <w:p w14:paraId="7FA4812A" w14:textId="593DA08F" w:rsidR="009F0C56" w:rsidRDefault="00653842">
      <w:pPr>
        <w:spacing w:before="280" w:after="280" w:line="240" w:lineRule="auto"/>
        <w:rPr>
          <w:rFonts w:ascii="Arial" w:eastAsia="Arial" w:hAnsi="Arial" w:cs="Arial"/>
        </w:rPr>
      </w:pPr>
      <w:r>
        <w:rPr>
          <w:rFonts w:ascii="Arial" w:eastAsia="Arial" w:hAnsi="Arial" w:cs="Arial"/>
        </w:rPr>
        <w:t>Despite the insights of Indigenous scholars, there remains a significant gap in tourism literature around how Indigenous identities are curated for settler audiences in the specific context of sustainable tourism. Much work focuses on community participation, cultural resilience, or sovereignty within Community-Based Tourism (CBT) models. Yet few interrogate how settler institutions themselves, such as tourist boards, NGOs, museums, and marketing agencies, construct and circulate authorised versions of Indi</w:t>
      </w:r>
      <w:r>
        <w:rPr>
          <w:rFonts w:ascii="Arial" w:eastAsia="Arial" w:hAnsi="Arial" w:cs="Arial"/>
        </w:rPr>
        <w:t>geneity for settler consumption (Fan et al</w:t>
      </w:r>
      <w:r w:rsidR="00CF2C48">
        <w:rPr>
          <w:rFonts w:ascii="Arial" w:eastAsia="Arial" w:hAnsi="Arial" w:cs="Arial"/>
        </w:rPr>
        <w:t>.</w:t>
      </w:r>
      <w:r>
        <w:rPr>
          <w:rFonts w:ascii="Arial" w:eastAsia="Arial" w:hAnsi="Arial" w:cs="Arial"/>
        </w:rPr>
        <w:t xml:space="preserve"> 2023).</w:t>
      </w:r>
    </w:p>
    <w:p w14:paraId="64FC2EE7" w14:textId="77777777" w:rsidR="009F0C56" w:rsidRDefault="00653842">
      <w:pPr>
        <w:spacing w:before="280" w:after="280" w:line="240" w:lineRule="auto"/>
        <w:rPr>
          <w:rFonts w:ascii="Arial" w:eastAsia="Arial" w:hAnsi="Arial" w:cs="Arial"/>
        </w:rPr>
      </w:pPr>
      <w:r>
        <w:rPr>
          <w:rFonts w:ascii="Arial" w:eastAsia="Arial" w:hAnsi="Arial" w:cs="Arial"/>
        </w:rPr>
        <w:lastRenderedPageBreak/>
        <w:t>This representational gap is critical because it reveals the symbolic function of Indigenous peoples within settler society. They are included not to challenge colonial narratives, but to stabilise them. In Miami, for example, the Seminole and Miccosukee are not engaged with as sovereign nations, but as aesthetic figures, used to authenticate the settler city’s connection to place, nature, and a mythic past. These images serve not Indigenous futures, but settler fantasies of reconciliation, eco-modernity, a</w:t>
      </w:r>
      <w:r>
        <w:rPr>
          <w:rFonts w:ascii="Arial" w:eastAsia="Arial" w:hAnsi="Arial" w:cs="Arial"/>
        </w:rPr>
        <w:t>nd spiritual depth.</w:t>
      </w:r>
    </w:p>
    <w:p w14:paraId="39A03D7E" w14:textId="77777777" w:rsidR="009F0C56" w:rsidRDefault="00653842">
      <w:pPr>
        <w:spacing w:before="280" w:after="280" w:line="240" w:lineRule="auto"/>
        <w:rPr>
          <w:rFonts w:ascii="Arial" w:eastAsia="Arial" w:hAnsi="Arial" w:cs="Arial"/>
        </w:rPr>
      </w:pPr>
      <w:r>
        <w:rPr>
          <w:rFonts w:ascii="Arial" w:eastAsia="Arial" w:hAnsi="Arial" w:cs="Arial"/>
        </w:rPr>
        <w:t>This project aims to examine the visual, spatial, and discursive elements of such representations, signage, tourism campaigns, cultural centres, and sustainability rhetoric, to understand how sustainable tourism produces a curated, consumable, and ultimately depoliticised Indigeneity (De 2025).</w:t>
      </w:r>
    </w:p>
    <w:p w14:paraId="5363E1FD" w14:textId="77777777" w:rsidR="009F0C56" w:rsidRDefault="009F0C56">
      <w:pPr>
        <w:spacing w:after="0" w:line="240" w:lineRule="auto"/>
        <w:rPr>
          <w:rFonts w:ascii="Arial" w:eastAsia="Arial" w:hAnsi="Arial" w:cs="Arial"/>
        </w:rPr>
      </w:pPr>
    </w:p>
    <w:p w14:paraId="39E1913C" w14:textId="77777777" w:rsidR="009F0C56" w:rsidRDefault="00653842">
      <w:pPr>
        <w:pStyle w:val="Heading2"/>
        <w:rPr>
          <w:rFonts w:ascii="Arial" w:eastAsia="Arial" w:hAnsi="Arial" w:cs="Arial"/>
        </w:rPr>
      </w:pPr>
      <w:bookmarkStart w:id="56" w:name="_Toc240965987"/>
      <w:r>
        <w:rPr>
          <w:rFonts w:ascii="Arial" w:eastAsia="Arial" w:hAnsi="Arial" w:cs="Arial"/>
        </w:rPr>
        <w:t>4.13 Conclusion: Toward an Anti-Colonial Reading of Sustainable Tourism</w:t>
      </w:r>
      <w:bookmarkEnd w:id="56"/>
    </w:p>
    <w:p w14:paraId="1D8D7AF9" w14:textId="77777777" w:rsidR="009F0C56" w:rsidRDefault="00653842">
      <w:pPr>
        <w:spacing w:before="280" w:after="280" w:line="240" w:lineRule="auto"/>
        <w:rPr>
          <w:rFonts w:ascii="Arial" w:eastAsia="Arial" w:hAnsi="Arial" w:cs="Arial"/>
        </w:rPr>
      </w:pPr>
      <w:r>
        <w:rPr>
          <w:rFonts w:ascii="Arial" w:eastAsia="Arial" w:hAnsi="Arial" w:cs="Arial"/>
        </w:rPr>
        <w:t>In sum, the literature surrounding sustainable tourism, though diverse in disciplinary scope and rich in empirical insight, remains structurally limited by its inability or unwillingness to confront the colonial logics embedded within its epistemologies and practices. While many scholars offer valuable reflections on ecological responsibility, economic equity, and cultural preservation, they frequently reproduce settler-colonial frames of reference. In these accounts, Indigenous communities are rendered leg</w:t>
      </w:r>
      <w:r>
        <w:rPr>
          <w:rFonts w:ascii="Arial" w:eastAsia="Arial" w:hAnsi="Arial" w:cs="Arial"/>
        </w:rPr>
        <w:t>ible only through settler-sanctioned roles: as environmental stewards, cultural ambassadors, or beneficiaries of sustainable development (Sultana 2022).</w:t>
      </w:r>
    </w:p>
    <w:p w14:paraId="57B36392" w14:textId="77777777" w:rsidR="009F0C56" w:rsidRDefault="00653842">
      <w:pPr>
        <w:spacing w:before="280" w:after="280" w:line="240" w:lineRule="auto"/>
        <w:rPr>
          <w:rFonts w:ascii="Arial" w:eastAsia="Arial" w:hAnsi="Arial" w:cs="Arial"/>
        </w:rPr>
      </w:pPr>
      <w:r>
        <w:rPr>
          <w:rFonts w:ascii="Arial" w:eastAsia="Arial" w:hAnsi="Arial" w:cs="Arial"/>
        </w:rPr>
        <w:t>What this literature fails to grasp, and what this project insists upon, is that representation is not merely descriptive. It is productive. It produces the very terms by which Indigenous people are seen, engaged, and controlled. This is the core of the problem: settler societies create and circulate curated images of Indigenous people not out of benign interest, but to sustain their own sense of moral legitimacy, futurity, and territorial entitlement (Aldred 2000). This is not merely cultural appropriation</w:t>
      </w:r>
      <w:r>
        <w:rPr>
          <w:rFonts w:ascii="Arial" w:eastAsia="Arial" w:hAnsi="Arial" w:cs="Arial"/>
        </w:rPr>
        <w:t>; it is a form of symbolic governance that enables material dispossession.</w:t>
      </w:r>
    </w:p>
    <w:p w14:paraId="17FFABF6"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Thus, while the language of sustainability appears to be ethical and restorative, it often functions as a discursive camouflage for deeply colonial operations. Through sustainable tourism, settler societies reassert their authority to determine the future of Indigenous lands, economies, and identities. This is what I argue constitutes a representational regime: a system through which visibility, legibility, and cultural value are granted or withheld according to settler desires. Crucially, these regimes ope</w:t>
      </w:r>
      <w:r>
        <w:rPr>
          <w:rFonts w:ascii="Arial" w:eastAsia="Arial" w:hAnsi="Arial" w:cs="Arial"/>
          <w:color w:val="000000"/>
        </w:rPr>
        <w:t>rate within a broader colonial matrix of power (Quijano, 2007) in which epistemology, economy, and representation intersect to preserve the dominance of Western modernity.</w:t>
      </w:r>
    </w:p>
    <w:p w14:paraId="4674C0A0" w14:textId="77777777" w:rsidR="009F0C56" w:rsidRDefault="00653842">
      <w:pPr>
        <w:spacing w:before="280" w:after="280" w:line="240" w:lineRule="auto"/>
        <w:rPr>
          <w:rFonts w:ascii="Arial" w:eastAsia="Arial" w:hAnsi="Arial" w:cs="Arial"/>
        </w:rPr>
      </w:pPr>
      <w:r>
        <w:rPr>
          <w:rFonts w:ascii="Arial" w:eastAsia="Arial" w:hAnsi="Arial" w:cs="Arial"/>
        </w:rPr>
        <w:t xml:space="preserve">This thesis, therefore, adopts a radical decolonial imperative. It does not aim to make sustainable tourism more inclusive or more ethical within its current structure. Rather, it seeks to dismantle the very epistemic and visual foundations that allow </w:t>
      </w:r>
      <w:r>
        <w:rPr>
          <w:rFonts w:ascii="Arial" w:eastAsia="Arial" w:hAnsi="Arial" w:cs="Arial"/>
        </w:rPr>
        <w:lastRenderedPageBreak/>
        <w:t>settler societies to construct, consume, and control Indigenous representations in the first place.</w:t>
      </w:r>
    </w:p>
    <w:p w14:paraId="080EA62D" w14:textId="115A3DE2" w:rsidR="009F0C56" w:rsidRDefault="00653842">
      <w:pPr>
        <w:spacing w:before="280" w:after="280" w:line="240" w:lineRule="auto"/>
        <w:rPr>
          <w:rFonts w:ascii="Arial" w:eastAsia="Arial" w:hAnsi="Arial" w:cs="Arial"/>
        </w:rPr>
      </w:pPr>
      <w:r>
        <w:rPr>
          <w:rFonts w:ascii="Arial" w:eastAsia="Arial" w:hAnsi="Arial" w:cs="Arial"/>
        </w:rPr>
        <w:t>In contrast to liberal multicultural frameworks that promote diversity within settler systems, this project is aligned with anti-colonial and abolitionist thought, recognising that true decolonisation is not about reform or recognition</w:t>
      </w:r>
      <w:r w:rsidR="00CF2C48">
        <w:rPr>
          <w:rFonts w:ascii="Arial" w:eastAsia="Arial" w:hAnsi="Arial" w:cs="Arial"/>
        </w:rPr>
        <w:t>;</w:t>
      </w:r>
      <w:r>
        <w:rPr>
          <w:rFonts w:ascii="Arial" w:eastAsia="Arial" w:hAnsi="Arial" w:cs="Arial"/>
        </w:rPr>
        <w:t xml:space="preserve"> it is about disruption, refusal, and sovereignty (Barker 2021). I aim to expose the representational infrastructures that condition how Indigenous communities are seen in sustainable tourism and to unsettle the visual, discursive, and epistemological mechanisms through which settler legitimacy is secured.</w:t>
      </w:r>
    </w:p>
    <w:p w14:paraId="3509BCFA" w14:textId="77777777" w:rsidR="009F0C56" w:rsidRDefault="00653842">
      <w:pPr>
        <w:spacing w:before="280" w:after="280" w:line="240" w:lineRule="auto"/>
        <w:rPr>
          <w:rFonts w:ascii="Arial" w:eastAsia="Arial" w:hAnsi="Arial" w:cs="Arial"/>
        </w:rPr>
      </w:pPr>
      <w:r>
        <w:rPr>
          <w:rFonts w:ascii="Arial" w:eastAsia="Arial" w:hAnsi="Arial" w:cs="Arial"/>
        </w:rPr>
        <w:t>In doing so, this research contributes not just a cultural critique, but a structural and ontological intervention. It insists that we must interrogate not only who speaks and who is seen, but who is authorised to define the terms of visibility, value, and authenticity. Only through such a decolonial analysis can we begin to imagine alternative futures, futures not predicated on Indigenous legibility to the settler gaze, but on Indigenous autonomy, resurgence, and self-determined representation.</w:t>
      </w:r>
    </w:p>
    <w:p w14:paraId="51A3983D" w14:textId="77777777" w:rsidR="009F0C56" w:rsidRDefault="00653842">
      <w:pPr>
        <w:spacing w:before="280" w:after="280" w:line="240" w:lineRule="auto"/>
        <w:rPr>
          <w:rFonts w:ascii="Arial" w:eastAsia="Arial" w:hAnsi="Arial" w:cs="Arial"/>
        </w:rPr>
      </w:pPr>
      <w:r>
        <w:rPr>
          <w:rFonts w:ascii="Arial" w:eastAsia="Arial" w:hAnsi="Arial" w:cs="Arial"/>
        </w:rPr>
        <w:t>This is not a question of inclusion within sustainable tourism; it is a question of what must be dismantled for Indigenous freedom to be possible.</w:t>
      </w:r>
    </w:p>
    <w:p w14:paraId="0C1438B3" w14:textId="77777777" w:rsidR="009F0C56" w:rsidRDefault="009F0C56">
      <w:pPr>
        <w:spacing w:line="240" w:lineRule="auto"/>
        <w:rPr>
          <w:rFonts w:ascii="Arial" w:eastAsia="Arial" w:hAnsi="Arial" w:cs="Arial"/>
          <w:color w:val="000000"/>
          <w:u w:val="single"/>
        </w:rPr>
      </w:pPr>
    </w:p>
    <w:p w14:paraId="7ECFEB03" w14:textId="77777777" w:rsidR="009F0C56" w:rsidRDefault="00653842">
      <w:pPr>
        <w:pStyle w:val="Heading2"/>
        <w:rPr>
          <w:rFonts w:ascii="Arial" w:eastAsia="Arial" w:hAnsi="Arial" w:cs="Arial"/>
        </w:rPr>
      </w:pPr>
      <w:bookmarkStart w:id="57" w:name="_Toc240965988"/>
      <w:r>
        <w:rPr>
          <w:rFonts w:ascii="Arial" w:eastAsia="Arial" w:hAnsi="Arial" w:cs="Arial"/>
        </w:rPr>
        <w:t>4.14 Race: What Is It Good For?</w:t>
      </w:r>
      <w:bookmarkEnd w:id="57"/>
      <w:r>
        <w:rPr>
          <w:rFonts w:ascii="Arial" w:eastAsia="Arial" w:hAnsi="Arial" w:cs="Arial"/>
        </w:rPr>
        <w:t xml:space="preserve"> </w:t>
      </w:r>
    </w:p>
    <w:p w14:paraId="0977D6F1" w14:textId="0D830898" w:rsidR="009F0C56" w:rsidRDefault="00653842">
      <w:pPr>
        <w:spacing w:before="280" w:after="280" w:line="240" w:lineRule="auto"/>
        <w:rPr>
          <w:rFonts w:ascii="Arial" w:eastAsia="Arial" w:hAnsi="Arial" w:cs="Arial"/>
          <w:color w:val="000000"/>
        </w:rPr>
      </w:pPr>
      <w:r>
        <w:rPr>
          <w:rFonts w:ascii="Arial" w:eastAsia="Arial" w:hAnsi="Arial" w:cs="Arial"/>
          <w:color w:val="000000"/>
        </w:rPr>
        <w:t xml:space="preserve">If </w:t>
      </w:r>
      <w:r w:rsidR="00CF2C48">
        <w:rPr>
          <w:rFonts w:ascii="Arial" w:eastAsia="Arial" w:hAnsi="Arial" w:cs="Arial"/>
          <w:color w:val="000000"/>
        </w:rPr>
        <w:t>sustainable</w:t>
      </w:r>
      <w:r>
        <w:rPr>
          <w:rFonts w:ascii="Arial" w:eastAsia="Arial" w:hAnsi="Arial" w:cs="Arial"/>
          <w:color w:val="000000"/>
        </w:rPr>
        <w:t xml:space="preserve"> tourism is the spatial logic of settler colonialism, then race is its temporal and ontological substrate. To understand the representational and material production of Indigenous peoples in sustainable tourism, we must also understand race as a historically specific discourse that underpins how Indigeneity is seen, known, and governed. While often underexplored in sustainability studies, race functions as a crucial regime of visibility and value, one that codes the “Other” in ways that authorise Western pr</w:t>
      </w:r>
      <w:r>
        <w:rPr>
          <w:rFonts w:ascii="Arial" w:eastAsia="Arial" w:hAnsi="Arial" w:cs="Arial"/>
          <w:color w:val="000000"/>
        </w:rPr>
        <w:t>esence, dominance, and exploitation (Francis 2023).</w:t>
      </w:r>
    </w:p>
    <w:p w14:paraId="557D90F9" w14:textId="77777777" w:rsidR="009F0C56" w:rsidRDefault="00653842">
      <w:pPr>
        <w:spacing w:before="280" w:after="280" w:line="240" w:lineRule="auto"/>
        <w:rPr>
          <w:rFonts w:ascii="Arial" w:eastAsia="Arial" w:hAnsi="Arial" w:cs="Arial"/>
        </w:rPr>
      </w:pPr>
      <w:r>
        <w:rPr>
          <w:rFonts w:ascii="Arial" w:eastAsia="Arial" w:hAnsi="Arial" w:cs="Arial"/>
        </w:rPr>
        <w:t>In this sense, this section expands the field of sustainability and tourism studies by grounding its critique not merely in cultural misrepresentation, but in the racialised colonial logics that structure those representations. Drawing on critical race theory, decolonial thought, and Indigenous critique, this section asks:</w:t>
      </w:r>
    </w:p>
    <w:p w14:paraId="4D2F8DDA" w14:textId="77777777" w:rsidR="009F0C56" w:rsidRDefault="00653842">
      <w:pPr>
        <w:numPr>
          <w:ilvl w:val="0"/>
          <w:numId w:val="5"/>
        </w:numPr>
        <w:spacing w:before="280" w:after="0" w:line="240" w:lineRule="auto"/>
        <w:rPr>
          <w:rFonts w:ascii="Arial" w:eastAsia="Arial" w:hAnsi="Arial" w:cs="Arial"/>
        </w:rPr>
      </w:pPr>
      <w:r>
        <w:rPr>
          <w:rFonts w:ascii="Arial" w:eastAsia="Arial" w:hAnsi="Arial" w:cs="Arial"/>
        </w:rPr>
        <w:t>What is race?</w:t>
      </w:r>
    </w:p>
    <w:p w14:paraId="3461C587" w14:textId="77777777" w:rsidR="009F0C56" w:rsidRDefault="00653842">
      <w:pPr>
        <w:numPr>
          <w:ilvl w:val="0"/>
          <w:numId w:val="5"/>
        </w:numPr>
        <w:spacing w:after="0" w:line="240" w:lineRule="auto"/>
        <w:rPr>
          <w:rFonts w:ascii="Arial" w:eastAsia="Arial" w:hAnsi="Arial" w:cs="Arial"/>
        </w:rPr>
      </w:pPr>
      <w:r>
        <w:rPr>
          <w:rFonts w:ascii="Arial" w:eastAsia="Arial" w:hAnsi="Arial" w:cs="Arial"/>
        </w:rPr>
        <w:t>How does race operate within the colonial matrix of power?</w:t>
      </w:r>
    </w:p>
    <w:p w14:paraId="25E3A403" w14:textId="77777777" w:rsidR="009F0C56" w:rsidRDefault="00653842">
      <w:pPr>
        <w:numPr>
          <w:ilvl w:val="0"/>
          <w:numId w:val="5"/>
        </w:numPr>
        <w:spacing w:after="280" w:line="240" w:lineRule="auto"/>
        <w:rPr>
          <w:rFonts w:ascii="Arial" w:eastAsia="Arial" w:hAnsi="Arial" w:cs="Arial"/>
        </w:rPr>
      </w:pPr>
      <w:r>
        <w:rPr>
          <w:rFonts w:ascii="Arial" w:eastAsia="Arial" w:hAnsi="Arial" w:cs="Arial"/>
        </w:rPr>
        <w:t>How is race mediated, mobilised, and maintained through tourism?</w:t>
      </w:r>
    </w:p>
    <w:p w14:paraId="2917C402" w14:textId="77777777" w:rsidR="009F0C56" w:rsidRDefault="00653842">
      <w:pPr>
        <w:pStyle w:val="Heading2"/>
        <w:rPr>
          <w:rFonts w:ascii="Arial" w:eastAsia="Arial" w:hAnsi="Arial" w:cs="Arial"/>
        </w:rPr>
      </w:pPr>
      <w:bookmarkStart w:id="58" w:name="_Toc240965989"/>
      <w:r>
        <w:rPr>
          <w:rFonts w:ascii="Arial" w:eastAsia="Arial" w:hAnsi="Arial" w:cs="Arial"/>
        </w:rPr>
        <w:t>4.15 What is Race? A Genealogy of Violence</w:t>
      </w:r>
      <w:bookmarkEnd w:id="58"/>
    </w:p>
    <w:p w14:paraId="0FC74E0E" w14:textId="77777777" w:rsidR="009F0C56" w:rsidRDefault="00653842">
      <w:pPr>
        <w:spacing w:before="280" w:after="280" w:line="240" w:lineRule="auto"/>
        <w:rPr>
          <w:rFonts w:ascii="Arial" w:eastAsia="Arial" w:hAnsi="Arial" w:cs="Arial"/>
        </w:rPr>
      </w:pPr>
      <w:r>
        <w:rPr>
          <w:rFonts w:ascii="Arial" w:eastAsia="Arial" w:hAnsi="Arial" w:cs="Arial"/>
        </w:rPr>
        <w:t>Race, particularly when examined through a decolonial lens, is not a stable biological fact but a material-discursive formation built from the intersecting histories of genocide, slavery, rape, epistemicide, and territorial conquest (Mills 1999). These histories coalesce around what Mignolo (2011) calls the colonial matrix of power: a grid of control in which race, capital, knowledge, and territory are interlocked.</w:t>
      </w:r>
    </w:p>
    <w:p w14:paraId="6C0A33F1" w14:textId="77777777" w:rsidR="009F0C56" w:rsidRDefault="00653842">
      <w:pPr>
        <w:spacing w:before="280" w:after="280" w:line="240" w:lineRule="auto"/>
        <w:rPr>
          <w:rFonts w:ascii="Arial" w:eastAsia="Arial" w:hAnsi="Arial" w:cs="Arial"/>
        </w:rPr>
      </w:pPr>
      <w:r>
        <w:rPr>
          <w:rFonts w:ascii="Arial" w:eastAsia="Arial" w:hAnsi="Arial" w:cs="Arial"/>
        </w:rPr>
        <w:lastRenderedPageBreak/>
        <w:t>Scientific racism, developed during the Enlightenment by figures such as Kant and De Gobineau, provided the intellectual foundation for the racial ordering of the world. While the biological basis of race has been discredited, its social and ontological consequences persist. Race functions today as both a material condition and an epistemological apparatus, creating hierarchies of worth, legitimacy, and belonging (Sengar 2023).</w:t>
      </w:r>
    </w:p>
    <w:p w14:paraId="5E77A1FB" w14:textId="77777777" w:rsidR="009F0C56" w:rsidRDefault="00653842">
      <w:pPr>
        <w:spacing w:before="280" w:after="280" w:line="240" w:lineRule="auto"/>
        <w:rPr>
          <w:rFonts w:ascii="Arial" w:eastAsia="Arial" w:hAnsi="Arial" w:cs="Arial"/>
        </w:rPr>
      </w:pPr>
      <w:r>
        <w:rPr>
          <w:rFonts w:ascii="Arial" w:eastAsia="Arial" w:hAnsi="Arial" w:cs="Arial"/>
        </w:rPr>
        <w:t xml:space="preserve">Race is thus ontologically structured into the modern world system. As Charles Mills’ </w:t>
      </w:r>
      <w:r>
        <w:rPr>
          <w:rFonts w:ascii="Arial" w:eastAsia="Arial" w:hAnsi="Arial" w:cs="Arial"/>
          <w:i/>
          <w:iCs/>
        </w:rPr>
        <w:t>Racial Contract</w:t>
      </w:r>
      <w:r>
        <w:rPr>
          <w:rFonts w:ascii="Arial" w:eastAsia="Arial" w:hAnsi="Arial" w:cs="Arial"/>
        </w:rPr>
        <w:t xml:space="preserve"> (1999) argues, race, like class in Marxist thought, is not merely ideological but structural, determining access to rights, resources, and recognisability. Gonzalez (1979) furthers this by exposing how institutions reproduce racial borders under the guise of order and security, producing legal and epistemic architectures that define who can be seen as civilised, safe, or sovereign (Noxolo 2022).</w:t>
      </w:r>
    </w:p>
    <w:p w14:paraId="2E8DF6B9" w14:textId="77777777" w:rsidR="009F0C56" w:rsidRDefault="00653842">
      <w:pPr>
        <w:spacing w:before="280" w:after="280" w:line="240" w:lineRule="auto"/>
        <w:rPr>
          <w:rFonts w:ascii="Arial" w:eastAsia="Arial" w:hAnsi="Arial" w:cs="Arial"/>
        </w:rPr>
      </w:pPr>
      <w:r>
        <w:rPr>
          <w:rFonts w:ascii="Arial" w:eastAsia="Arial" w:hAnsi="Arial" w:cs="Arial"/>
        </w:rPr>
        <w:t>Hence, the concept of race is not abstract. It is concrete, institutional, and spatial, forming the very boundaries through which certain bodies, cultures, and communities are racialised into legibility or invisibility.</w:t>
      </w:r>
    </w:p>
    <w:p w14:paraId="173ED733" w14:textId="77777777" w:rsidR="009F0C56" w:rsidRDefault="009F0C56">
      <w:pPr>
        <w:spacing w:after="0" w:line="240" w:lineRule="auto"/>
        <w:rPr>
          <w:rFonts w:ascii="Arial" w:eastAsia="Arial" w:hAnsi="Arial" w:cs="Arial"/>
        </w:rPr>
      </w:pPr>
    </w:p>
    <w:p w14:paraId="60D277A6" w14:textId="77777777" w:rsidR="009F0C56" w:rsidRDefault="00653842">
      <w:pPr>
        <w:pStyle w:val="Heading2"/>
        <w:rPr>
          <w:rFonts w:ascii="Arial" w:eastAsia="Arial" w:hAnsi="Arial" w:cs="Arial"/>
        </w:rPr>
      </w:pPr>
      <w:bookmarkStart w:id="59" w:name="_Toc240965990"/>
      <w:r>
        <w:rPr>
          <w:rFonts w:ascii="Arial" w:eastAsia="Arial" w:hAnsi="Arial" w:cs="Arial"/>
        </w:rPr>
        <w:t>4.16 Institutionalised Racism and Epistemic Violence</w:t>
      </w:r>
      <w:bookmarkEnd w:id="59"/>
    </w:p>
    <w:p w14:paraId="0544F705" w14:textId="77777777" w:rsidR="009F0C56" w:rsidRDefault="00653842">
      <w:pPr>
        <w:spacing w:before="280" w:after="280" w:line="240" w:lineRule="auto"/>
        <w:rPr>
          <w:rFonts w:ascii="Arial" w:eastAsia="Arial" w:hAnsi="Arial" w:cs="Arial"/>
        </w:rPr>
      </w:pPr>
      <w:r>
        <w:rPr>
          <w:rFonts w:ascii="Arial" w:eastAsia="Arial" w:hAnsi="Arial" w:cs="Arial"/>
        </w:rPr>
        <w:t>The ongoing materiality of race can be seen in the work of Weiss (2022), who invokes settler-colonial tropes to deny the Seminole people's ancestral claims. Arguing that their culture was inherently violent and primitive, Weiss echoes 19th-century racial science to justify continued Western academic control over Indigenous remains (Fanshel 2024).</w:t>
      </w:r>
    </w:p>
    <w:p w14:paraId="41C53AE1" w14:textId="77777777" w:rsidR="009F0C56" w:rsidRDefault="00653842">
      <w:pPr>
        <w:spacing w:before="280" w:after="280" w:line="240" w:lineRule="auto"/>
        <w:rPr>
          <w:rFonts w:ascii="Arial" w:eastAsia="Arial" w:hAnsi="Arial" w:cs="Arial"/>
        </w:rPr>
      </w:pPr>
      <w:r>
        <w:rPr>
          <w:rFonts w:ascii="Arial" w:eastAsia="Arial" w:hAnsi="Arial" w:cs="Arial"/>
        </w:rPr>
        <w:t xml:space="preserve">This discourse is not isolated. It represents a continuity of racialised knowledge production, where institutions, including universities and museums, </w:t>
      </w:r>
      <w:r>
        <w:rPr>
          <w:rFonts w:ascii="Arial" w:eastAsia="Arial" w:hAnsi="Arial" w:cs="Arial"/>
          <w:color w:val="000000"/>
        </w:rPr>
        <w:t xml:space="preserve">maintain colonial authority by objectifying Indigenous bodies and cultures as data. In this sense, race becomes a technology of settler-colonial governance, one that rationalises exclusion, erasure, and exploitation in the name of progress and science </w:t>
      </w:r>
      <w:r>
        <w:rPr>
          <w:rFonts w:ascii="Arial" w:eastAsia="Arial" w:hAnsi="Arial" w:cs="Arial"/>
        </w:rPr>
        <w:t>(Weiss 2022).</w:t>
      </w:r>
    </w:p>
    <w:p w14:paraId="4670AF31" w14:textId="0C03C2B7" w:rsidR="009F0C56" w:rsidRDefault="00653842">
      <w:pPr>
        <w:spacing w:before="280" w:after="280" w:line="240" w:lineRule="auto"/>
        <w:rPr>
          <w:rFonts w:ascii="Arial" w:eastAsia="Arial" w:hAnsi="Arial" w:cs="Arial"/>
        </w:rPr>
      </w:pPr>
      <w:r>
        <w:rPr>
          <w:rFonts w:ascii="Arial" w:eastAsia="Arial" w:hAnsi="Arial" w:cs="Arial"/>
        </w:rPr>
        <w:t xml:space="preserve">This links directly to the sustainability discourse, where Indigenous communities are frequently depicted through racialised, </w:t>
      </w:r>
      <w:r w:rsidR="00CF2C48">
        <w:rPr>
          <w:rFonts w:ascii="Arial" w:eastAsia="Arial" w:hAnsi="Arial" w:cs="Arial"/>
        </w:rPr>
        <w:t>temporalised</w:t>
      </w:r>
      <w:r>
        <w:rPr>
          <w:rFonts w:ascii="Arial" w:eastAsia="Arial" w:hAnsi="Arial" w:cs="Arial"/>
        </w:rPr>
        <w:t xml:space="preserve"> imaginaries: as “ancient,” “close to nature,” or “guardians of the Earth.” These tropes, while seemingly positive, function as fetishised forms of control that reduce Indigeneity to static representations and deny Indigenous peoples the full complexity of political, economic, and ontological self-determination (Aldred 2000).</w:t>
      </w:r>
    </w:p>
    <w:p w14:paraId="6BFDC264" w14:textId="77777777" w:rsidR="009F0C56" w:rsidRDefault="009F0C56">
      <w:pPr>
        <w:spacing w:after="0" w:line="240" w:lineRule="auto"/>
        <w:rPr>
          <w:rFonts w:ascii="Arial" w:eastAsia="Arial" w:hAnsi="Arial" w:cs="Arial"/>
        </w:rPr>
      </w:pPr>
    </w:p>
    <w:p w14:paraId="01175D22" w14:textId="77777777" w:rsidR="009F0C56" w:rsidRDefault="00653842">
      <w:pPr>
        <w:pStyle w:val="Heading2"/>
        <w:rPr>
          <w:rFonts w:ascii="Arial" w:eastAsia="Arial" w:hAnsi="Arial" w:cs="Arial"/>
        </w:rPr>
      </w:pPr>
      <w:bookmarkStart w:id="60" w:name="_Toc240965991"/>
      <w:r>
        <w:rPr>
          <w:rFonts w:ascii="Arial" w:eastAsia="Arial" w:hAnsi="Arial" w:cs="Arial"/>
        </w:rPr>
        <w:t>4.17 Settler Memory and the Racialised Past</w:t>
      </w:r>
      <w:bookmarkEnd w:id="60"/>
    </w:p>
    <w:p w14:paraId="785C9CEB" w14:textId="77777777" w:rsidR="009F0C56" w:rsidRDefault="00653842">
      <w:pPr>
        <w:spacing w:before="280" w:after="280" w:line="240" w:lineRule="auto"/>
        <w:rPr>
          <w:rFonts w:ascii="Arial" w:eastAsia="Arial" w:hAnsi="Arial" w:cs="Arial"/>
        </w:rPr>
      </w:pPr>
      <w:r>
        <w:rPr>
          <w:rFonts w:ascii="Arial" w:eastAsia="Arial" w:hAnsi="Arial" w:cs="Arial"/>
        </w:rPr>
        <w:t xml:space="preserve">Race is also mediated through what Bruyneel (2021) calls settler memory: how settler states mythologise the past to sanitise the present. In </w:t>
      </w:r>
      <w:r>
        <w:rPr>
          <w:rFonts w:ascii="Arial" w:eastAsia="Arial" w:hAnsi="Arial" w:cs="Arial"/>
          <w:i/>
          <w:iCs/>
        </w:rPr>
        <w:t>Settler Memory</w:t>
      </w:r>
      <w:r>
        <w:rPr>
          <w:rFonts w:ascii="Arial" w:eastAsia="Arial" w:hAnsi="Arial" w:cs="Arial"/>
        </w:rPr>
        <w:t xml:space="preserve">, Bruyneel explores how the racialisation of Indigenous peoples is not only institutional </w:t>
      </w:r>
      <w:r>
        <w:rPr>
          <w:rFonts w:ascii="Arial" w:eastAsia="Arial" w:hAnsi="Arial" w:cs="Arial"/>
        </w:rPr>
        <w:lastRenderedPageBreak/>
        <w:t>and epistemic but also narrative and affective. Settler memory reconfigures genocide into progress, turning massacres into milestones of nation-building.</w:t>
      </w:r>
    </w:p>
    <w:p w14:paraId="13FCCCB9" w14:textId="77777777" w:rsidR="009F0C56" w:rsidRDefault="00653842">
      <w:pPr>
        <w:spacing w:before="280" w:after="280" w:line="240" w:lineRule="auto"/>
        <w:rPr>
          <w:rFonts w:ascii="Arial" w:eastAsia="Arial" w:hAnsi="Arial" w:cs="Arial"/>
          <w:color w:val="000000"/>
        </w:rPr>
      </w:pPr>
      <w:r>
        <w:rPr>
          <w:rFonts w:ascii="Arial" w:eastAsia="Arial" w:hAnsi="Arial" w:cs="Arial"/>
        </w:rPr>
        <w:t xml:space="preserve">Through examples such as Manifest Destiny and Trump’s mockery of Elizabeth Warren’s Indigenous claims, Bruyneel (2021) highlights how race operates as a narrative technology. Through transforming the trauma and diversity of Indigenous experience into a singular, consumable story, </w:t>
      </w:r>
      <w:r>
        <w:rPr>
          <w:rFonts w:ascii="Arial" w:eastAsia="Arial" w:hAnsi="Arial" w:cs="Arial"/>
          <w:color w:val="000000"/>
        </w:rPr>
        <w:t>a story that always centres settler futurity. This memory politics does more than erase. It actively inverts Indigenous presence by reinscribing settler claims to land and legitimacy (Fanshel 2024).</w:t>
      </w:r>
    </w:p>
    <w:p w14:paraId="6446A30E" w14:textId="7E790FD7" w:rsidR="009F0C56" w:rsidRDefault="00653842">
      <w:pPr>
        <w:spacing w:before="280" w:after="280" w:line="240" w:lineRule="auto"/>
        <w:rPr>
          <w:rFonts w:ascii="Arial" w:eastAsia="Arial" w:hAnsi="Arial" w:cs="Arial"/>
        </w:rPr>
      </w:pPr>
      <w:r>
        <w:rPr>
          <w:rFonts w:ascii="Arial" w:eastAsia="Arial" w:hAnsi="Arial" w:cs="Arial"/>
        </w:rPr>
        <w:t xml:space="preserve">This racialised settler memory seeps into tourism, where Indigenous peoples are presented not as subjects of sovereign histories, but as </w:t>
      </w:r>
      <w:r w:rsidR="00CF2C48">
        <w:rPr>
          <w:rFonts w:ascii="Arial" w:eastAsia="Arial" w:hAnsi="Arial" w:cs="Arial"/>
        </w:rPr>
        <w:t>aestheticised</w:t>
      </w:r>
      <w:r>
        <w:rPr>
          <w:rFonts w:ascii="Arial" w:eastAsia="Arial" w:hAnsi="Arial" w:cs="Arial"/>
        </w:rPr>
        <w:t xml:space="preserve"> remnants of a pre-modern past (Bruyneel 2021). Race, then, is not simply a descriptor of difference; it is a temporal and spatial instrument of control.</w:t>
      </w:r>
    </w:p>
    <w:p w14:paraId="04EA45BA" w14:textId="77777777" w:rsidR="009F0C56" w:rsidRDefault="009F0C56">
      <w:pPr>
        <w:spacing w:after="0" w:line="240" w:lineRule="auto"/>
        <w:rPr>
          <w:rFonts w:ascii="Arial" w:eastAsia="Arial" w:hAnsi="Arial" w:cs="Arial"/>
        </w:rPr>
      </w:pPr>
    </w:p>
    <w:p w14:paraId="2A81AACB" w14:textId="77777777" w:rsidR="009F0C56" w:rsidRDefault="00653842">
      <w:pPr>
        <w:pStyle w:val="Heading2"/>
        <w:rPr>
          <w:rFonts w:ascii="Arial" w:eastAsia="Arial" w:hAnsi="Arial" w:cs="Arial"/>
        </w:rPr>
      </w:pPr>
      <w:bookmarkStart w:id="61" w:name="_Toc240965992"/>
      <w:r>
        <w:rPr>
          <w:rFonts w:ascii="Arial" w:eastAsia="Arial" w:hAnsi="Arial" w:cs="Arial"/>
        </w:rPr>
        <w:t>4.18 Race and Tourism: Performing the Other</w:t>
      </w:r>
      <w:bookmarkEnd w:id="61"/>
    </w:p>
    <w:p w14:paraId="4B81E664" w14:textId="77777777" w:rsidR="009F0C56" w:rsidRDefault="00653842">
      <w:pPr>
        <w:spacing w:before="280" w:after="280" w:line="240" w:lineRule="auto"/>
        <w:rPr>
          <w:rFonts w:ascii="Arial" w:eastAsia="Arial" w:hAnsi="Arial" w:cs="Arial"/>
        </w:rPr>
      </w:pPr>
      <w:r>
        <w:rPr>
          <w:rFonts w:ascii="Arial" w:eastAsia="Arial" w:hAnsi="Arial" w:cs="Arial"/>
        </w:rPr>
        <w:t xml:space="preserve">In tourism studies, the concept of the racialised “Other” is indispensable. Drawing on Edward Said’s </w:t>
      </w:r>
      <w:r>
        <w:rPr>
          <w:rFonts w:ascii="Arial" w:eastAsia="Arial" w:hAnsi="Arial" w:cs="Arial"/>
          <w:i/>
          <w:iCs/>
        </w:rPr>
        <w:t>Orientalism</w:t>
      </w:r>
      <w:r>
        <w:rPr>
          <w:rFonts w:ascii="Arial" w:eastAsia="Arial" w:hAnsi="Arial" w:cs="Arial"/>
        </w:rPr>
        <w:t xml:space="preserve"> (1978), we understand the Other not as a neutral category but as a racialised figuration produced to stabilise Western superiority. Said exposed how colonial powers used representational systems, literature, science, and art to construct the East as irrational, backward, and inferior.</w:t>
      </w:r>
    </w:p>
    <w:p w14:paraId="51707074" w14:textId="77777777" w:rsidR="009F0C56" w:rsidRDefault="00653842">
      <w:pPr>
        <w:spacing w:before="280" w:after="280" w:line="240" w:lineRule="auto"/>
        <w:rPr>
          <w:rFonts w:ascii="Arial" w:eastAsia="Arial" w:hAnsi="Arial" w:cs="Arial"/>
        </w:rPr>
      </w:pPr>
      <w:r>
        <w:rPr>
          <w:rFonts w:ascii="Arial" w:eastAsia="Arial" w:hAnsi="Arial" w:cs="Arial"/>
        </w:rPr>
        <w:t>Ndlovu (2018) applies Said’s logic to African tourism, showing how Indigenous communities are staged as living museums. They are offered to tourists as a spectacle of difference, where culture and race are collapsed into each other. These performances function as racial scripts, designed to confirm colonial stereotypes and sustain the moral legitimacy of settler engagement (Wolfe 2016).</w:t>
      </w:r>
    </w:p>
    <w:p w14:paraId="61970215" w14:textId="77777777" w:rsidR="009F0C56" w:rsidRDefault="00653842">
      <w:pPr>
        <w:spacing w:before="280" w:after="280" w:line="240" w:lineRule="auto"/>
        <w:rPr>
          <w:rFonts w:ascii="Arial" w:eastAsia="Arial" w:hAnsi="Arial" w:cs="Arial"/>
        </w:rPr>
      </w:pPr>
      <w:r>
        <w:rPr>
          <w:rFonts w:ascii="Arial" w:eastAsia="Arial" w:hAnsi="Arial" w:cs="Arial"/>
        </w:rPr>
        <w:t xml:space="preserve">As Ngũgĩ wa Thiong’o (1986) warned in </w:t>
      </w:r>
      <w:r>
        <w:rPr>
          <w:rFonts w:ascii="Arial" w:eastAsia="Arial" w:hAnsi="Arial" w:cs="Arial"/>
          <w:i/>
          <w:iCs/>
        </w:rPr>
        <w:t>Decolonising the Mind</w:t>
      </w:r>
      <w:r>
        <w:rPr>
          <w:rFonts w:ascii="Arial" w:eastAsia="Arial" w:hAnsi="Arial" w:cs="Arial"/>
        </w:rPr>
        <w:t>, such representations produce a “cultural bomb”, an internalisation of inferiority that alienates Indigenous peoples from their own languages, histories, and cosmologies. In the context of tourism, this cultural bomb is detonated daily, as Indigenous peoples are forced to perform curated versions of themselves to remain visible, valuable, and economically viable within a settler-defined system (Ndlovu 2018).</w:t>
      </w:r>
    </w:p>
    <w:p w14:paraId="7937C7B3" w14:textId="77777777" w:rsidR="009F0C56" w:rsidRDefault="009F0C56">
      <w:pPr>
        <w:spacing w:after="0" w:line="240" w:lineRule="auto"/>
        <w:rPr>
          <w:rFonts w:ascii="Arial" w:eastAsia="Arial" w:hAnsi="Arial" w:cs="Arial"/>
        </w:rPr>
      </w:pPr>
    </w:p>
    <w:p w14:paraId="6BF529B1" w14:textId="77777777" w:rsidR="009F0C56" w:rsidRDefault="00653842">
      <w:pPr>
        <w:pStyle w:val="Heading2"/>
        <w:rPr>
          <w:rFonts w:ascii="Arial" w:eastAsia="Arial" w:hAnsi="Arial" w:cs="Arial"/>
        </w:rPr>
      </w:pPr>
      <w:bookmarkStart w:id="62" w:name="_Toc240965993"/>
      <w:r>
        <w:rPr>
          <w:rFonts w:ascii="Arial" w:eastAsia="Arial" w:hAnsi="Arial" w:cs="Arial"/>
        </w:rPr>
        <w:t>4.19 Linking Race and Sustainability: Expanding the Field</w:t>
      </w:r>
      <w:bookmarkEnd w:id="62"/>
    </w:p>
    <w:p w14:paraId="374D5B52" w14:textId="0561B700" w:rsidR="009F0C56" w:rsidRDefault="00653842">
      <w:pPr>
        <w:spacing w:before="280" w:after="280" w:line="240" w:lineRule="auto"/>
        <w:rPr>
          <w:rFonts w:ascii="Arial" w:eastAsia="Arial" w:hAnsi="Arial" w:cs="Arial"/>
        </w:rPr>
      </w:pPr>
      <w:r>
        <w:rPr>
          <w:rFonts w:ascii="Arial" w:eastAsia="Arial" w:hAnsi="Arial" w:cs="Arial"/>
          <w:color w:val="000000"/>
        </w:rPr>
        <w:t>Sustainable tourism, as explored earlier, hinges on curated representations of Indigenous communities as ecologically pure and culturally authentic (Zhang et al</w:t>
      </w:r>
      <w:r w:rsidR="00CF2C48">
        <w:rPr>
          <w:rFonts w:ascii="Arial" w:eastAsia="Arial" w:hAnsi="Arial" w:cs="Arial"/>
          <w:color w:val="000000"/>
        </w:rPr>
        <w:t>.</w:t>
      </w:r>
      <w:r>
        <w:rPr>
          <w:rFonts w:ascii="Arial" w:eastAsia="Arial" w:hAnsi="Arial" w:cs="Arial"/>
          <w:color w:val="000000"/>
        </w:rPr>
        <w:t xml:space="preserve"> 2019). But what enables such representations to circulate as “truth” or “value” is the racial coding of Indigeneity. Sustainability relies on a racialised framework that defines Indigenous peoples through their proximity to land, tradition, and nature, </w:t>
      </w:r>
      <w:r>
        <w:rPr>
          <w:rFonts w:ascii="Arial" w:eastAsia="Arial" w:hAnsi="Arial" w:cs="Arial"/>
        </w:rPr>
        <w:t>always in contrast to the modern, mobile, and progressive (white) tourist (Fanshel 2024).</w:t>
      </w:r>
    </w:p>
    <w:p w14:paraId="2DB5218C" w14:textId="77777777" w:rsidR="009F0C56" w:rsidRDefault="00653842">
      <w:pPr>
        <w:spacing w:before="280" w:after="280" w:line="240" w:lineRule="auto"/>
        <w:rPr>
          <w:rFonts w:ascii="Arial" w:eastAsia="Arial" w:hAnsi="Arial" w:cs="Arial"/>
        </w:rPr>
      </w:pPr>
      <w:r>
        <w:rPr>
          <w:rFonts w:ascii="Arial" w:eastAsia="Arial" w:hAnsi="Arial" w:cs="Arial"/>
        </w:rPr>
        <w:lastRenderedPageBreak/>
        <w:t>This thesis, therefore, expands the field of sustainability studies by foregrounding race not as a secondary factor but as a foundational organising principle. Without understanding how race shapes visibility, value, and voice, critiques of sustainability remain superficial. They fail to grasp how Indigenous representation in tourism is not merely about aesthetics or economics; it is about colonial ontologies that structure who can be seen, known, and empowered (Sengar 2023).</w:t>
      </w:r>
    </w:p>
    <w:p w14:paraId="18D4B9A6" w14:textId="77777777" w:rsidR="009F0C56" w:rsidRDefault="00653842">
      <w:pPr>
        <w:spacing w:before="280" w:after="280" w:line="240" w:lineRule="auto"/>
        <w:rPr>
          <w:rFonts w:ascii="Arial" w:eastAsia="Arial" w:hAnsi="Arial" w:cs="Arial"/>
        </w:rPr>
      </w:pPr>
      <w:r>
        <w:rPr>
          <w:rFonts w:ascii="Arial" w:eastAsia="Arial" w:hAnsi="Arial" w:cs="Arial"/>
        </w:rPr>
        <w:t>This research thus bridges sustainability and critical race theory to expose the deep structural logics that undergird both. It treats sustainability not as an apolitical good but as a racialised and colonial discourse, one that must be unpacked if decolonisation is to be taken seriously.</w:t>
      </w:r>
    </w:p>
    <w:p w14:paraId="33E2DB37" w14:textId="77777777" w:rsidR="009F0C56" w:rsidRDefault="00653842">
      <w:pPr>
        <w:pStyle w:val="Heading2"/>
        <w:rPr>
          <w:rFonts w:ascii="Arial" w:eastAsia="Arial" w:hAnsi="Arial" w:cs="Arial"/>
        </w:rPr>
      </w:pPr>
      <w:bookmarkStart w:id="63" w:name="_Toc240965994"/>
      <w:r>
        <w:rPr>
          <w:rFonts w:ascii="Arial" w:eastAsia="Arial" w:hAnsi="Arial" w:cs="Arial"/>
        </w:rPr>
        <w:t>4.20 Conclusion: From Representation to Erasure, Race, Indigeneity, and the Fetishism of the "Native"</w:t>
      </w:r>
      <w:bookmarkEnd w:id="63"/>
    </w:p>
    <w:p w14:paraId="21009284" w14:textId="52A935EA" w:rsidR="009F0C56" w:rsidRDefault="00653842">
      <w:pPr>
        <w:spacing w:before="280" w:after="280" w:line="240" w:lineRule="auto"/>
        <w:rPr>
          <w:rFonts w:ascii="Arial" w:eastAsia="Arial" w:hAnsi="Arial" w:cs="Arial"/>
        </w:rPr>
      </w:pPr>
      <w:r>
        <w:rPr>
          <w:rFonts w:ascii="Arial" w:eastAsia="Arial" w:hAnsi="Arial" w:cs="Arial"/>
        </w:rPr>
        <w:t xml:space="preserve">As this section has demonstrated, race is not a historical </w:t>
      </w:r>
      <w:r w:rsidR="00CF2C48">
        <w:rPr>
          <w:rFonts w:ascii="Arial" w:eastAsia="Arial" w:hAnsi="Arial" w:cs="Arial"/>
        </w:rPr>
        <w:t>artefact</w:t>
      </w:r>
      <w:r>
        <w:rPr>
          <w:rFonts w:ascii="Arial" w:eastAsia="Arial" w:hAnsi="Arial" w:cs="Arial"/>
        </w:rPr>
        <w:t xml:space="preserve"> but an active structuring force in the present, particularly in the production and circulation of Indigenous identities. The racialisation of Indigeneity is not accidental or peripheral; it is a foundational component of settler-colonial power (Fanshel 2024). Race enables the settler state to determine who counts as Indigenous, how Indigeneity is recognised, and under what conditions Indigenous life is rendered visible or valuable.</w:t>
      </w:r>
    </w:p>
    <w:p w14:paraId="2E019B02" w14:textId="77777777" w:rsidR="009F0C56" w:rsidRDefault="00653842">
      <w:pPr>
        <w:spacing w:before="280" w:after="280" w:line="240" w:lineRule="auto"/>
        <w:rPr>
          <w:rFonts w:ascii="Arial" w:eastAsia="Arial" w:hAnsi="Arial" w:cs="Arial"/>
        </w:rPr>
      </w:pPr>
      <w:r>
        <w:rPr>
          <w:rFonts w:ascii="Arial" w:eastAsia="Arial" w:hAnsi="Arial" w:cs="Arial"/>
          <w:color w:val="000000"/>
        </w:rPr>
        <w:t xml:space="preserve">Crucially, this racial logic is not content with misrepresentation alone. It demands ontological erasure. The settler-colonial project works through the simultaneous disappearance and hypervisibility of Indigenous peoples: disappearance in legal, spatial, and political terms, and hypervisibility in aesthetic, cultural, and touristic ones. Indigeneity, in this regime, is not allowed to exist on its terms; </w:t>
      </w:r>
      <w:r>
        <w:rPr>
          <w:rFonts w:ascii="Arial" w:eastAsia="Arial" w:hAnsi="Arial" w:cs="Arial"/>
        </w:rPr>
        <w:t>it must be curated, simplified, and commodified for settler consumption (Brasher 2021).</w:t>
      </w:r>
    </w:p>
    <w:p w14:paraId="0EA47964" w14:textId="77777777" w:rsidR="009F0C56" w:rsidRDefault="00653842">
      <w:pPr>
        <w:spacing w:before="280" w:after="280" w:line="240" w:lineRule="auto"/>
        <w:rPr>
          <w:rFonts w:ascii="Arial" w:eastAsia="Arial" w:hAnsi="Arial" w:cs="Arial"/>
        </w:rPr>
      </w:pPr>
      <w:r>
        <w:rPr>
          <w:rFonts w:ascii="Arial" w:eastAsia="Arial" w:hAnsi="Arial" w:cs="Arial"/>
        </w:rPr>
        <w:t>This is not just a distortion; it is a fetishisation. Indigenous tourism operates through what can be called a colonial fetish economy, where Indigeneity is consumed as a product, an image, or an experience. The Indigenous subject becomes a surface upon which settler desires for authenticity, nature, and escape are projected. Tourists do not encounter living, political communities with histories and futures; they consume stylised fragments of Indigeneity, rituals, costumes, dances, and crafts that have been</w:t>
      </w:r>
      <w:r>
        <w:rPr>
          <w:rFonts w:ascii="Arial" w:eastAsia="Arial" w:hAnsi="Arial" w:cs="Arial"/>
        </w:rPr>
        <w:t xml:space="preserve"> repackaged into digestible spectacles (Brasher 2021).</w:t>
      </w:r>
    </w:p>
    <w:p w14:paraId="56D1A6C0" w14:textId="77777777" w:rsidR="009F0C56" w:rsidRDefault="00653842">
      <w:pPr>
        <w:spacing w:before="280" w:after="280" w:line="240" w:lineRule="auto"/>
        <w:rPr>
          <w:rFonts w:ascii="Arial" w:eastAsia="Arial" w:hAnsi="Arial" w:cs="Arial"/>
        </w:rPr>
      </w:pPr>
      <w:r>
        <w:rPr>
          <w:rFonts w:ascii="Arial" w:eastAsia="Arial" w:hAnsi="Arial" w:cs="Arial"/>
        </w:rPr>
        <w:t>This process is not innocent. It is violent. The fetish object is valued not for its own meaning, but for what it does for the consumer. In tourism, this means that Indigeneity is stripped of complexity, struggle, and sovereignty, and reconstituted as a performance of pre-modernity, tailored to the moral and affective economies of the Global North (Grimwood 2024). The Indigenous subject becomes a proxy for settler redemption, a symbolic figure that restores a sense of harmony or connection to nature for tho</w:t>
      </w:r>
      <w:r>
        <w:rPr>
          <w:rFonts w:ascii="Arial" w:eastAsia="Arial" w:hAnsi="Arial" w:cs="Arial"/>
        </w:rPr>
        <w:t>se who have historically disrupted both.</w:t>
      </w:r>
    </w:p>
    <w:p w14:paraId="43F70125" w14:textId="115F8B81" w:rsidR="009F0C56" w:rsidRDefault="00653842">
      <w:pPr>
        <w:spacing w:before="280" w:after="280" w:line="240" w:lineRule="auto"/>
        <w:rPr>
          <w:rFonts w:ascii="Arial" w:eastAsia="Arial" w:hAnsi="Arial" w:cs="Arial"/>
          <w:color w:val="000000"/>
        </w:rPr>
      </w:pPr>
      <w:r>
        <w:rPr>
          <w:rFonts w:ascii="Arial" w:eastAsia="Arial" w:hAnsi="Arial" w:cs="Arial"/>
        </w:rPr>
        <w:t>Thus, race and tourism do not merely intersect</w:t>
      </w:r>
      <w:r>
        <w:rPr>
          <w:rFonts w:ascii="Arial" w:eastAsia="Arial" w:hAnsi="Arial" w:cs="Arial"/>
          <w:color w:val="008000"/>
        </w:rPr>
        <w:t xml:space="preserve">; </w:t>
      </w:r>
      <w:r>
        <w:rPr>
          <w:rFonts w:ascii="Arial" w:eastAsia="Arial" w:hAnsi="Arial" w:cs="Arial"/>
          <w:color w:val="000000"/>
        </w:rPr>
        <w:t xml:space="preserve">they collaborate in the work of erasure and control. Through tourism, race functions as a mode of governance that </w:t>
      </w:r>
      <w:r w:rsidR="00CF2C48">
        <w:rPr>
          <w:rFonts w:ascii="Arial" w:eastAsia="Arial" w:hAnsi="Arial" w:cs="Arial"/>
          <w:color w:val="000000"/>
        </w:rPr>
        <w:t>aestheticises</w:t>
      </w:r>
      <w:r>
        <w:rPr>
          <w:rFonts w:ascii="Arial" w:eastAsia="Arial" w:hAnsi="Arial" w:cs="Arial"/>
          <w:color w:val="000000"/>
        </w:rPr>
        <w:t xml:space="preserve"> colonial violence and transforms structural inequality into a marketable </w:t>
      </w:r>
      <w:r>
        <w:rPr>
          <w:rFonts w:ascii="Arial" w:eastAsia="Arial" w:hAnsi="Arial" w:cs="Arial"/>
          <w:color w:val="000000"/>
        </w:rPr>
        <w:lastRenderedPageBreak/>
        <w:t xml:space="preserve">experience. This is why Indigeneity, in tourism, is not just misrepresented; it is </w:t>
      </w:r>
      <w:r w:rsidR="00CF2C48">
        <w:rPr>
          <w:rFonts w:ascii="Arial" w:eastAsia="Arial" w:hAnsi="Arial" w:cs="Arial"/>
          <w:color w:val="000000"/>
        </w:rPr>
        <w:t>fetishised</w:t>
      </w:r>
      <w:r>
        <w:rPr>
          <w:rFonts w:ascii="Arial" w:eastAsia="Arial" w:hAnsi="Arial" w:cs="Arial"/>
          <w:color w:val="000000"/>
        </w:rPr>
        <w:t>, fixed, and frozen in time (Virk 2024).</w:t>
      </w:r>
    </w:p>
    <w:p w14:paraId="75F3C9C5"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This thesis challenges these logics by refusing the terms of settler recognition and representation. It seeks not to make Indigenous communities more legible to dominant frameworks but to critically examine the epistemological and racial structures that demand their legibility in the first place. The work to follow will therefore turn explicitly to the literature on Indigenous tourism, asking how the commodification of Indigeneity operates as a form of fetishism, and what this tells us about the persistence</w:t>
      </w:r>
      <w:r>
        <w:rPr>
          <w:rFonts w:ascii="Arial" w:eastAsia="Arial" w:hAnsi="Arial" w:cs="Arial"/>
          <w:color w:val="000000"/>
        </w:rPr>
        <w:t xml:space="preserve"> of settler-colonial logics under the guise of cultural celebration and sustainability.</w:t>
      </w:r>
    </w:p>
    <w:p w14:paraId="249088E6" w14:textId="77777777" w:rsidR="009F0C56" w:rsidRDefault="00653842">
      <w:pPr>
        <w:spacing w:before="280" w:after="280" w:line="240" w:lineRule="auto"/>
        <w:rPr>
          <w:rFonts w:ascii="Arial" w:eastAsia="Arial" w:hAnsi="Arial" w:cs="Arial"/>
        </w:rPr>
      </w:pPr>
      <w:r>
        <w:rPr>
          <w:rFonts w:ascii="Arial" w:eastAsia="Arial" w:hAnsi="Arial" w:cs="Arial"/>
        </w:rPr>
        <w:t>The next section will explore how Indigenous tourism industries, far from offering a space of mutual cultural exchange, often reproduce the very racial and colonial frameworks they purport to transcend. It will interrogate the economics of authenticity, the scripting of identity for settler spectatorship, and the affective labour Indigenous communities are compelled to perform to remain seen, valued, and funded in a settler-defined world.</w:t>
      </w:r>
    </w:p>
    <w:p w14:paraId="57E09C9F" w14:textId="77777777" w:rsidR="009F0C56" w:rsidRDefault="00653842">
      <w:pPr>
        <w:pStyle w:val="Heading2"/>
        <w:rPr>
          <w:rFonts w:ascii="Arial" w:eastAsia="Arial" w:hAnsi="Arial" w:cs="Arial"/>
        </w:rPr>
      </w:pPr>
      <w:bookmarkStart w:id="64" w:name="_Toc240965995"/>
      <w:r>
        <w:rPr>
          <w:rFonts w:ascii="Arial" w:eastAsia="Arial" w:hAnsi="Arial" w:cs="Arial"/>
        </w:rPr>
        <w:t>4.21 Looking to the past, to look forward</w:t>
      </w:r>
      <w:bookmarkEnd w:id="64"/>
    </w:p>
    <w:p w14:paraId="5EE55B06"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The final part of this literature review focuses on the work of Deloria and Cordova, whose work challenged the colonial foundations of settler states. Both authors examined how settler societies create and use ontologies, epistemologies, and cosmologies when engaging with Indigenous communities. Their work offered ongoing critiques of dominant settler narratives on history, progress, education, and knowledge. </w:t>
      </w:r>
    </w:p>
    <w:p w14:paraId="1FE1D82A" w14:textId="0363822D"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Importantly, Deloria and Cordova promote a form of scholarship that rejects strict empiricism favoured by Western academia, instead emphasising genealogical histories, stories, and family knowledge as valid truths (Daigle 2024). Although this approach is often marginalised or dismissed for not adhering to Western standards of reproducibility and verification, it is precisely this divergence that imbues their work with decolonial power (Smith 2012). </w:t>
      </w:r>
      <w:r w:rsidR="00CF2C48">
        <w:rPr>
          <w:rFonts w:ascii="Arial" w:eastAsia="Arial" w:hAnsi="Arial" w:cs="Arial"/>
          <w:color w:val="000000"/>
        </w:rPr>
        <w:t>By</w:t>
      </w:r>
      <w:r>
        <w:rPr>
          <w:rFonts w:ascii="Arial" w:eastAsia="Arial" w:hAnsi="Arial" w:cs="Arial"/>
          <w:color w:val="000000"/>
        </w:rPr>
        <w:t xml:space="preserve"> rejecting the notion that only Western methods can produce valid knowledge, they enable Indigenous epistemologies to be </w:t>
      </w:r>
      <w:r w:rsidR="00CF2C48">
        <w:rPr>
          <w:rFonts w:ascii="Arial" w:eastAsia="Arial" w:hAnsi="Arial" w:cs="Arial"/>
          <w:color w:val="000000"/>
        </w:rPr>
        <w:t>recognised</w:t>
      </w:r>
      <w:r>
        <w:rPr>
          <w:rFonts w:ascii="Arial" w:eastAsia="Arial" w:hAnsi="Arial" w:cs="Arial"/>
          <w:color w:val="000000"/>
        </w:rPr>
        <w:t xml:space="preserve"> on their own terms (Smiles 2024). </w:t>
      </w:r>
    </w:p>
    <w:p w14:paraId="362E74B6"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In this, their combined contributions emphasise that knowledge itself is an active space for decolonisation (Mignolo 1993). Their advocacy for alternative ways of knowing challenges settler-colonial hierarchies and affirms Indigenous sovereignty in both intellectual and political realms (Goeman 2011). Thus, their work is central to this thesis: as they provide the methodological basis to analyse how Indigenous representations in Florida are challenged, manipulated, and resisted, highlighting why Indigenous </w:t>
      </w:r>
      <w:r>
        <w:rPr>
          <w:rFonts w:ascii="Arial" w:eastAsia="Arial" w:hAnsi="Arial" w:cs="Arial"/>
          <w:color w:val="000000"/>
        </w:rPr>
        <w:t>epistemologies must lie at the core of decolonial efforts.</w:t>
      </w:r>
    </w:p>
    <w:p w14:paraId="2F403F76" w14:textId="77777777" w:rsidR="009F0C56" w:rsidRDefault="009F0C56">
      <w:pPr>
        <w:pStyle w:val="Heading2"/>
      </w:pPr>
    </w:p>
    <w:p w14:paraId="4ECF676F" w14:textId="77777777" w:rsidR="009F0C56" w:rsidRDefault="00653842">
      <w:pPr>
        <w:pStyle w:val="Heading2"/>
        <w:rPr>
          <w:rFonts w:ascii="Arial" w:eastAsia="Arial" w:hAnsi="Arial" w:cs="Arial"/>
        </w:rPr>
      </w:pPr>
      <w:bookmarkStart w:id="65" w:name="_Toc240965996"/>
      <w:r>
        <w:rPr>
          <w:rFonts w:ascii="Arial" w:eastAsia="Arial" w:hAnsi="Arial" w:cs="Arial"/>
        </w:rPr>
        <w:t>4.22 Ancestral stories and epistemologies as an academic tool</w:t>
      </w:r>
      <w:bookmarkEnd w:id="65"/>
    </w:p>
    <w:p w14:paraId="05BFF7CD" w14:textId="45DAB70B"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At the centre of critiques against Indigenous uses of knowledge, stories, and creative expression as academic tools lies the mechanism of structural racism, which </w:t>
      </w:r>
      <w:r>
        <w:rPr>
          <w:rFonts w:ascii="Arial" w:eastAsia="Arial" w:hAnsi="Arial" w:cs="Arial"/>
          <w:color w:val="000000"/>
        </w:rPr>
        <w:lastRenderedPageBreak/>
        <w:t xml:space="preserve">operates to suppress any counter-rhetorics of world-building that threaten the colonial matrix of power (Quijano 2007). Wildcat (2006) illuminates this exclusion when recalling, </w:t>
      </w:r>
      <w:r>
        <w:rPr>
          <w:rFonts w:ascii="Arial" w:eastAsia="Arial" w:hAnsi="Arial" w:cs="Arial"/>
          <w:i/>
          <w:iCs/>
          <w:color w:val="000000"/>
        </w:rPr>
        <w:t xml:space="preserve">“that a major publisher rejected the title of their work Metaphysics of Modern Existence ‘because no one will buy a </w:t>
      </w:r>
      <w:r w:rsidR="00CF2C48">
        <w:rPr>
          <w:rFonts w:ascii="Arial" w:eastAsia="Arial" w:hAnsi="Arial" w:cs="Arial"/>
          <w:i/>
          <w:iCs/>
          <w:color w:val="000000"/>
        </w:rPr>
        <w:t>metaphysics book</w:t>
      </w:r>
      <w:r>
        <w:rPr>
          <w:rFonts w:ascii="Arial" w:eastAsia="Arial" w:hAnsi="Arial" w:cs="Arial"/>
          <w:i/>
          <w:iCs/>
          <w:color w:val="000000"/>
        </w:rPr>
        <w:t xml:space="preserve"> written by an Indian’”</w:t>
      </w:r>
      <w:r>
        <w:rPr>
          <w:rFonts w:ascii="Arial" w:eastAsia="Arial" w:hAnsi="Arial" w:cs="Arial"/>
          <w:color w:val="000000"/>
        </w:rPr>
        <w:t xml:space="preserve"> (p. 5). He continues, noting how Western academic disciplines have built </w:t>
      </w:r>
      <w:r>
        <w:rPr>
          <w:rFonts w:ascii="Arial" w:eastAsia="Arial" w:hAnsi="Arial" w:cs="Arial"/>
          <w:i/>
          <w:iCs/>
          <w:color w:val="000000"/>
        </w:rPr>
        <w:t>“defensive borders… against anomalies, critiques, or ‘ramblings of madmen’”</w:t>
      </w:r>
      <w:r>
        <w:rPr>
          <w:rFonts w:ascii="Arial" w:eastAsia="Arial" w:hAnsi="Arial" w:cs="Arial"/>
          <w:color w:val="000000"/>
        </w:rPr>
        <w:t xml:space="preserve"> (Wildcat 2006, p. 107). Wildcat</w:t>
      </w:r>
      <w:r w:rsidR="00CF2C48">
        <w:rPr>
          <w:rFonts w:ascii="Arial" w:eastAsia="Arial" w:hAnsi="Arial" w:cs="Arial"/>
          <w:color w:val="000000"/>
        </w:rPr>
        <w:t>,</w:t>
      </w:r>
      <w:r>
        <w:rPr>
          <w:rFonts w:ascii="Arial" w:eastAsia="Arial" w:hAnsi="Arial" w:cs="Arial"/>
          <w:color w:val="000000"/>
        </w:rPr>
        <w:t xml:space="preserve"> in this</w:t>
      </w:r>
      <w:r w:rsidR="00CF2C48">
        <w:rPr>
          <w:rFonts w:ascii="Arial" w:eastAsia="Arial" w:hAnsi="Arial" w:cs="Arial"/>
          <w:color w:val="000000"/>
        </w:rPr>
        <w:t>,</w:t>
      </w:r>
      <w:r>
        <w:rPr>
          <w:rFonts w:ascii="Arial" w:eastAsia="Arial" w:hAnsi="Arial" w:cs="Arial"/>
          <w:color w:val="000000"/>
        </w:rPr>
        <w:t xml:space="preserve"> reveals how the academic policy of knowledge production functions in dismissing Indigenous epistemologies as illegitimate, irrational, or unserious. Thereby reproducing colonial hierarchies of thought, in effect, academic publishing functions as a gatekeeper, reinforcing epistemic violence by privileging settler categories of reason while excluding Indigenous modes of thought (Daigle 2024).</w:t>
      </w:r>
    </w:p>
    <w:p w14:paraId="30922B38"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This refusal to engage with such literature is especially present in the academic reception of Deloria’s work (Wildcat 2006). What some critics label as “ramblings” or mere storytelling is, in fact, a misrecognition of the philosophical weight of his academic contributions. This is because Deloria’s writing actively challenges colonial world-ordering by refusing the linearity and hierarchy of Western epistemology (Deloria 2012). Instead, he calls for a multi-polar ontological ordering, not one premised on s</w:t>
      </w:r>
      <w:r>
        <w:rPr>
          <w:rFonts w:ascii="Arial" w:eastAsia="Arial" w:hAnsi="Arial" w:cs="Arial"/>
          <w:color w:val="000000"/>
        </w:rPr>
        <w:t xml:space="preserve">uperiority or universality, but on the coexistence and negotiation of different frameworks of knowing (Castro-Gomez 2007). As Wildcat highlights, </w:t>
      </w:r>
      <w:r>
        <w:rPr>
          <w:rFonts w:ascii="Arial" w:eastAsia="Arial" w:hAnsi="Arial" w:cs="Arial"/>
          <w:i/>
          <w:iCs/>
          <w:color w:val="000000"/>
        </w:rPr>
        <w:t>“it is good to ask how one’s own frames of space and time are accepted as given, universal, and natural but actually exclude other shapes of space-time and block access to sources of knowledge”</w:t>
      </w:r>
      <w:r>
        <w:rPr>
          <w:rFonts w:ascii="Arial" w:eastAsia="Arial" w:hAnsi="Arial" w:cs="Arial"/>
          <w:color w:val="000000"/>
        </w:rPr>
        <w:t xml:space="preserve"> (Wildcat 2006, p. 107). </w:t>
      </w:r>
    </w:p>
    <w:p w14:paraId="7290E293"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In this, Deloria’s methodology, from drawing on stories, histories, and Indigenous intellectual traditions, operates as a mirror to Western research practices, exposing their selective silences on bias and their dependence on erasure to claim objectivity. In this, through the settler societies' insistence that Indigenous knowledge is not peripheral but central to scholarly inquiry, Deloria destabilises the epistemic monopoly of Western science, revealing how its universalism masks colonial violence (Daigle </w:t>
      </w:r>
      <w:r>
        <w:rPr>
          <w:rFonts w:ascii="Arial" w:eastAsia="Arial" w:hAnsi="Arial" w:cs="Arial"/>
          <w:color w:val="000000"/>
        </w:rPr>
        <w:t>2024).</w:t>
      </w:r>
    </w:p>
    <w:p w14:paraId="3B511C6F" w14:textId="57CA888F"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Cordova (2007) extends this critique through poetry, which she deploys not as a secondary literary form but as a legitimate epistemological research and academic practice. </w:t>
      </w:r>
      <w:r w:rsidR="00CF2C48">
        <w:rPr>
          <w:rFonts w:ascii="Arial" w:eastAsia="Arial" w:hAnsi="Arial" w:cs="Arial"/>
          <w:color w:val="000000"/>
        </w:rPr>
        <w:t>Cordova's</w:t>
      </w:r>
      <w:r>
        <w:rPr>
          <w:rFonts w:ascii="Arial" w:eastAsia="Arial" w:hAnsi="Arial" w:cs="Arial"/>
          <w:color w:val="000000"/>
        </w:rPr>
        <w:t xml:space="preserve"> writing draws attention to how colonial research frames Indigenous peoples as problems to be solved, this being through education reforms, alcoholism studies, or employment programs. However, always </w:t>
      </w:r>
      <w:r w:rsidR="00CF2C48">
        <w:rPr>
          <w:rFonts w:ascii="Arial" w:eastAsia="Arial" w:hAnsi="Arial" w:cs="Arial"/>
          <w:color w:val="000000"/>
        </w:rPr>
        <w:t>assumes</w:t>
      </w:r>
      <w:r>
        <w:rPr>
          <w:rFonts w:ascii="Arial" w:eastAsia="Arial" w:hAnsi="Arial" w:cs="Arial"/>
          <w:color w:val="000000"/>
        </w:rPr>
        <w:t xml:space="preserve"> that Western progress is the corrective solution. In these approaches, as history has shown, manifest violent practices such as boarding schools, language suppression, and forced relocation, all of which attempted to “fix” Indigenous life by reshaping it in the image of settler modernity (Smith 2012). </w:t>
      </w:r>
    </w:p>
    <w:p w14:paraId="31BCB20E" w14:textId="2F1D6E0D"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In this, Cordova’s (2007) </w:t>
      </w:r>
      <w:r w:rsidR="00CF2C48">
        <w:rPr>
          <w:rFonts w:ascii="Arial" w:eastAsia="Arial" w:hAnsi="Arial" w:cs="Arial"/>
          <w:color w:val="000000"/>
        </w:rPr>
        <w:t>folk-esque</w:t>
      </w:r>
      <w:r>
        <w:rPr>
          <w:rFonts w:ascii="Arial" w:eastAsia="Arial" w:hAnsi="Arial" w:cs="Arial"/>
          <w:color w:val="000000"/>
        </w:rPr>
        <w:t xml:space="preserve"> poetic styles of research expose these settler colonial structures for what they are: settler-colonial strategies of assimilation that function to simultaneously erase Indigenous epistemologies while reasserting settler supremacy (Daigle 2024). What appears to the academy as “incoherence” or “non-academic writing” is not a lack of </w:t>
      </w:r>
      <w:r w:rsidR="00CF2C48">
        <w:rPr>
          <w:rFonts w:ascii="Arial" w:eastAsia="Arial" w:hAnsi="Arial" w:cs="Arial"/>
          <w:color w:val="000000"/>
        </w:rPr>
        <w:t>rigour</w:t>
      </w:r>
      <w:r>
        <w:rPr>
          <w:rFonts w:ascii="Arial" w:eastAsia="Arial" w:hAnsi="Arial" w:cs="Arial"/>
          <w:color w:val="000000"/>
        </w:rPr>
        <w:t>, but a refusal to conform to colonial modes of knowledge. As Mignolo (1993) observes, such refusals are threatening precisely because they dismantle the belief that progress must follow a singular, Eurocentric trajectory (Lloyd Wolfe 2016).</w:t>
      </w:r>
    </w:p>
    <w:p w14:paraId="2F0793DC"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lastRenderedPageBreak/>
        <w:t>Deloria and Cordova's importance lies not only in their opposition to colonial narratives but also in their support of Indigenous knowledge as a dynamic, relational, and decolonial force (Daigle 2024). Their use of stories, metaphors, and poems is more than decorative; it signifies a methodological change that recognises multiple centres of knowledge (Smiles 2024). This multi-polar perspective challenges settler society by breaking down the hierarchy that elevates Western knowledge as the ultimate truth. In</w:t>
      </w:r>
      <w:r>
        <w:rPr>
          <w:rFonts w:ascii="Arial" w:eastAsia="Arial" w:hAnsi="Arial" w:cs="Arial"/>
          <w:color w:val="000000"/>
        </w:rPr>
        <w:t xml:space="preserve"> showing that there are numerous worlds of meaning, all equally valid, Deloria and Cordova present a radical challenge: if Indigenous epistemologies are legitimate, then the authority of settler colonial institutions, whether academic, political, or legal, cannot be considered absolute (Goeman 2011).</w:t>
      </w:r>
    </w:p>
    <w:p w14:paraId="50C0316B"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Their work, therefore, is fundamental to the decolonial focus of this thesis, addressing both the physical violence of settler colonialism and the underlying metaphysical violence in academic knowledge. Through highlighting Indigenous voices as the primary theorists of their own histories, epistemologies, and ontologies, Deloria and Cordova establish a methodological foundation for critically examining how settler colonialism manifests through representations (Goeman 2012). Their insights enable analysis of</w:t>
      </w:r>
      <w:r>
        <w:rPr>
          <w:rFonts w:ascii="Arial" w:eastAsia="Arial" w:hAnsi="Arial" w:cs="Arial"/>
          <w:color w:val="000000"/>
        </w:rPr>
        <w:t xml:space="preserve"> how Seminole and Miccosukee identities are mediated, erased, or commodified, while also providing Indigenous perspectives that challenge assimilation and support sovereignty, and have been the building block for authors such as Smiles (2024) to use their ancestral epistemologies not as anecdotes but as pivotal research that is extending and moving geography and all studies further.  </w:t>
      </w:r>
    </w:p>
    <w:p w14:paraId="7834AF2F" w14:textId="77777777" w:rsidR="009F0C56" w:rsidRDefault="00653842">
      <w:pPr>
        <w:pStyle w:val="Heading2"/>
        <w:rPr>
          <w:rFonts w:ascii="Arial" w:eastAsia="Arial" w:hAnsi="Arial" w:cs="Arial"/>
        </w:rPr>
      </w:pPr>
      <w:bookmarkStart w:id="66" w:name="_Toc240965997"/>
      <w:r>
        <w:rPr>
          <w:rFonts w:ascii="Arial" w:eastAsia="Arial" w:hAnsi="Arial" w:cs="Arial"/>
        </w:rPr>
        <w:t>4.23 Conclusion</w:t>
      </w:r>
      <w:bookmarkEnd w:id="66"/>
    </w:p>
    <w:p w14:paraId="18318BB2" w14:textId="10C66D7A"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In analysing existing literature, it is clear that significant gaps remain within the field, particularly around the representational and epistemic dimensions of sustainable tourism and Indigenous identity </w:t>
      </w:r>
      <w:r>
        <w:rPr>
          <w:rFonts w:ascii="Arial" w:eastAsia="Arial" w:hAnsi="Arial" w:cs="Arial"/>
          <w:color w:val="000000"/>
        </w:rPr>
        <w:t>(Zhang et al</w:t>
      </w:r>
      <w:r w:rsidR="00CF2C48">
        <w:rPr>
          <w:rFonts w:ascii="Arial" w:eastAsia="Arial" w:hAnsi="Arial" w:cs="Arial"/>
          <w:color w:val="000000"/>
        </w:rPr>
        <w:t>.</w:t>
      </w:r>
      <w:r>
        <w:rPr>
          <w:rFonts w:ascii="Arial" w:eastAsia="Arial" w:hAnsi="Arial" w:cs="Arial"/>
          <w:color w:val="000000"/>
        </w:rPr>
        <w:t xml:space="preserve"> 2019). Where much of the scholarship around sustainable tourism is preoccupied with material questions, such as economic growth, infrastructure development, or environmental management, a neglect of the deeper settler-colonial structures that organise how Indigenous peoples are represented, framed, and engaged with is not addressed. Even community-based Tourism (CBT), </w:t>
      </w:r>
      <w:r>
        <w:rPr>
          <w:rFonts w:ascii="Arial" w:eastAsia="Arial" w:hAnsi="Arial" w:cs="Arial"/>
          <w:color w:val="000000"/>
        </w:rPr>
        <w:t>while often heralded as an alternative model that promises empowerment and local control, similarly tends to privilege economic sustainability as its primary goal.</w:t>
      </w:r>
    </w:p>
    <w:p w14:paraId="3FC8FB9D" w14:textId="624715B5" w:rsidR="009F0C56" w:rsidRDefault="00CF2C48">
      <w:pPr>
        <w:pBdr>
          <w:top w:val="nil"/>
          <w:left w:val="nil"/>
          <w:bottom w:val="nil"/>
          <w:right w:val="nil"/>
          <w:between w:val="nil"/>
        </w:pBdr>
        <w:shd w:val="clear" w:color="auto" w:fill="FFFFFF"/>
        <w:spacing w:after="0" w:line="240" w:lineRule="auto"/>
        <w:rPr>
          <w:rFonts w:ascii="Arial" w:eastAsia="Arial" w:hAnsi="Arial" w:cs="Arial"/>
          <w:color w:val="000000"/>
          <w:sz w:val="27"/>
          <w:szCs w:val="27"/>
        </w:rPr>
      </w:pPr>
      <w:r>
        <w:rPr>
          <w:rFonts w:ascii="Arial" w:eastAsia="Arial" w:hAnsi="Arial" w:cs="Arial"/>
          <w:color w:val="000000"/>
          <w:sz w:val="22"/>
          <w:szCs w:val="22"/>
        </w:rPr>
        <w:t>Taken</w:t>
      </w:r>
      <w:r w:rsidR="00653842">
        <w:rPr>
          <w:rFonts w:ascii="Arial" w:eastAsia="Arial" w:hAnsi="Arial" w:cs="Arial"/>
          <w:color w:val="000000"/>
          <w:sz w:val="22"/>
          <w:szCs w:val="22"/>
        </w:rPr>
        <w:t xml:space="preserve"> together, the literature reviewed in this chapter highlights that the problems of sustainable tourism, Indigenous representation, race, and </w:t>
      </w:r>
      <w:r w:rsidR="00653842">
        <w:rPr>
          <w:rFonts w:ascii="Arial" w:eastAsia="Arial" w:hAnsi="Arial" w:cs="Arial"/>
          <w:color w:val="000000"/>
          <w:sz w:val="22"/>
          <w:szCs w:val="22"/>
        </w:rPr>
        <w:t xml:space="preserve">settler colonialism cannot be separated into distinct economic, environmental, or cultural questions. Cave and Dredge (2018) on community-based tourism and Gibson-Graham on diverse economies distinguish challenges of purely extractive models by asking how tourism can redistribute value and create alternative economic relations. However, the discussion developed by Bin (2018), Wolfe (2016), and LaDuke (2016) demonstrates the limits of approaching these alternatives through economic relations alone. In this, </w:t>
      </w:r>
      <w:r w:rsidR="00653842">
        <w:rPr>
          <w:rFonts w:ascii="Arial" w:eastAsia="Arial" w:hAnsi="Arial" w:cs="Arial"/>
          <w:color w:val="000000"/>
          <w:sz w:val="22"/>
          <w:szCs w:val="22"/>
        </w:rPr>
        <w:t>Wolfe's understanding of settler colonialism as an ongoing structure of elimination shifts attention from accumulation towards assimilation, erasure, and control, while LaDuke's concept of Wendigo capitalism develops this further by showing how capitalist consumption can destroy the land, relationships, and lifeways upon which it depends. Pasternak (2020)</w:t>
      </w:r>
      <w:r w:rsidR="00653842">
        <w:rPr>
          <w:rFonts w:ascii="Arial" w:eastAsia="Arial" w:hAnsi="Arial" w:cs="Arial"/>
          <w:color w:val="000000"/>
          <w:sz w:val="22"/>
          <w:szCs w:val="22"/>
        </w:rPr>
        <w:t xml:space="preserve"> also similarly connects land to Indigenous relational ways of knowing, demonstrating how land cannot be reduced to an economic resource within the analysis of tourism. The literature therefore moves from a question of whether tourism can produce economic benefit towards a deeper question of the conditions under which Indigenous people are permitted to participate, represent themselves, and maintain sovereignty within a settler economic system.</w:t>
      </w:r>
    </w:p>
    <w:p w14:paraId="1C69889C" w14:textId="77777777" w:rsidR="009F0C56" w:rsidRDefault="009F0C56">
      <w:pPr>
        <w:pBdr>
          <w:top w:val="nil"/>
          <w:left w:val="nil"/>
          <w:bottom w:val="nil"/>
          <w:right w:val="nil"/>
          <w:between w:val="nil"/>
        </w:pBdr>
        <w:shd w:val="clear" w:color="auto" w:fill="FFFFFF"/>
        <w:spacing w:after="0" w:line="240" w:lineRule="auto"/>
        <w:rPr>
          <w:rFonts w:ascii="Arial" w:eastAsia="Arial" w:hAnsi="Arial" w:cs="Arial"/>
          <w:color w:val="000000"/>
          <w:sz w:val="27"/>
          <w:szCs w:val="27"/>
        </w:rPr>
      </w:pPr>
    </w:p>
    <w:p w14:paraId="17AA8298" w14:textId="77777777" w:rsidR="009F0C56" w:rsidRDefault="00653842">
      <w:pPr>
        <w:pBdr>
          <w:top w:val="nil"/>
          <w:left w:val="nil"/>
          <w:bottom w:val="nil"/>
          <w:right w:val="nil"/>
          <w:between w:val="nil"/>
        </w:pBdr>
        <w:shd w:val="clear" w:color="auto" w:fill="FFFFFF"/>
        <w:spacing w:after="0" w:line="240" w:lineRule="auto"/>
        <w:rPr>
          <w:rFonts w:ascii="Arial" w:eastAsia="Arial" w:hAnsi="Arial" w:cs="Arial"/>
          <w:color w:val="000000"/>
          <w:sz w:val="27"/>
          <w:szCs w:val="27"/>
        </w:rPr>
      </w:pPr>
      <w:r>
        <w:rPr>
          <w:rFonts w:ascii="Arial" w:eastAsia="Arial" w:hAnsi="Arial" w:cs="Arial"/>
          <w:color w:val="000000"/>
          <w:sz w:val="22"/>
          <w:szCs w:val="22"/>
        </w:rPr>
        <w:t>This economic critique becomes inseparable from the literature on representation and racialisation. Aldred's (2000) analysis of the 'Plastic Shaman' demonstrates how Indigenous cultural forms can be emptied of their original meanings and reassembled as settler-friendly commodities, while Coulthard's (2014) discussion of the politics of recognition helps explain why apparent inclusion does not necessarily challenge the colonial relations that determine the terms of that inclusion. Quijano's (2000) colonialit</w:t>
      </w:r>
      <w:r>
        <w:rPr>
          <w:rFonts w:ascii="Arial" w:eastAsia="Arial" w:hAnsi="Arial" w:cs="Arial"/>
          <w:color w:val="000000"/>
          <w:sz w:val="22"/>
          <w:szCs w:val="22"/>
        </w:rPr>
        <w:t>y of power provides a broader explanation for these processes by connecting race, knowledge, capital, and power within a continuing colonial structure. Mignolo's (2018) work on the colonial matrix of power similarly helps explain why knowledge and representation are not neutral: they determine which identities, histories, and ways of knowing become legible and authoritative. Bruyneel's (2021) work on settler memory extends this argument into time, showing how racialised representations can transform Indigen</w:t>
      </w:r>
      <w:r>
        <w:rPr>
          <w:rFonts w:ascii="Arial" w:eastAsia="Arial" w:hAnsi="Arial" w:cs="Arial"/>
          <w:color w:val="000000"/>
          <w:sz w:val="22"/>
          <w:szCs w:val="22"/>
        </w:rPr>
        <w:t>ous histories into a consumable past while centring settler futurity. Said's concept of the racialised 'Other', together with Ndlovu's (2019) application of this framework to tourism, demonstrates how these processes are performed for an audience, turning Indigenous difference into spectacle. The work of Deloria (2012), Cordova (2008), Wildcat (2006), Goeman (2013), and Smiles (2024) provides an important counterpoint to these critiques by challenging the assumption that Western academic knowledge should re</w:t>
      </w:r>
      <w:r>
        <w:rPr>
          <w:rFonts w:ascii="Arial" w:eastAsia="Arial" w:hAnsi="Arial" w:cs="Arial"/>
          <w:color w:val="000000"/>
          <w:sz w:val="22"/>
          <w:szCs w:val="22"/>
        </w:rPr>
        <w:t>main the dominant authority. Their emphasis on Indigenous stories, epistemologies, and ontologies makes clear that challenging representation also requires challenging the structures of knowledge through which Indigenous life is interpreted.</w:t>
      </w:r>
    </w:p>
    <w:p w14:paraId="0360C45C" w14:textId="77777777" w:rsidR="009F0C56" w:rsidRDefault="009F0C56">
      <w:pPr>
        <w:pBdr>
          <w:top w:val="nil"/>
          <w:left w:val="nil"/>
          <w:bottom w:val="nil"/>
          <w:right w:val="nil"/>
          <w:between w:val="nil"/>
        </w:pBdr>
        <w:shd w:val="clear" w:color="auto" w:fill="FFFFFF"/>
        <w:spacing w:after="0" w:line="240" w:lineRule="auto"/>
        <w:rPr>
          <w:rFonts w:ascii="Arial" w:eastAsia="Arial" w:hAnsi="Arial" w:cs="Arial"/>
          <w:color w:val="000000"/>
          <w:sz w:val="22"/>
          <w:szCs w:val="22"/>
        </w:rPr>
      </w:pPr>
    </w:p>
    <w:p w14:paraId="3259A74F" w14:textId="06C88CB0" w:rsidR="009F0C56" w:rsidRDefault="00653842">
      <w:pPr>
        <w:pBdr>
          <w:top w:val="nil"/>
          <w:left w:val="nil"/>
          <w:bottom w:val="nil"/>
          <w:right w:val="nil"/>
          <w:between w:val="nil"/>
        </w:pBdr>
        <w:shd w:val="clear" w:color="auto" w:fill="FFFFFF"/>
        <w:spacing w:after="0" w:line="240" w:lineRule="auto"/>
        <w:rPr>
          <w:rFonts w:ascii="Arial" w:eastAsia="Arial" w:hAnsi="Arial" w:cs="Arial"/>
          <w:color w:val="000000"/>
          <w:sz w:val="22"/>
          <w:szCs w:val="22"/>
        </w:rPr>
      </w:pPr>
      <w:r>
        <w:rPr>
          <w:rFonts w:ascii="Arial" w:eastAsia="Arial" w:hAnsi="Arial" w:cs="Arial"/>
          <w:color w:val="000000"/>
          <w:sz w:val="22"/>
          <w:szCs w:val="22"/>
        </w:rPr>
        <w:t xml:space="preserve">These links highlight and display the conceptual foundation for the empirical chapters which will follow. </w:t>
      </w:r>
      <w:r w:rsidR="00CF2C48">
        <w:rPr>
          <w:rFonts w:ascii="Arial" w:eastAsia="Arial" w:hAnsi="Arial" w:cs="Arial"/>
          <w:color w:val="000000"/>
          <w:sz w:val="22"/>
          <w:szCs w:val="22"/>
        </w:rPr>
        <w:t>The</w:t>
      </w:r>
      <w:r>
        <w:rPr>
          <w:rFonts w:ascii="Arial" w:eastAsia="Arial" w:hAnsi="Arial" w:cs="Arial"/>
          <w:color w:val="000000"/>
          <w:sz w:val="22"/>
          <w:szCs w:val="22"/>
        </w:rPr>
        <w:t xml:space="preserve"> literature on settler colonialism, racialisation, representation, and Indigenous knowledge establishes the basis for examining how Indigenous difference is made visible and controlled, while the tourism literature demonstrates the economic and institutional spaces through which these representations circulate. In this, the first empirical chapter develops this literature through homogenisation, examining how the racialised 'Other', the politics of recognition, and colonial forms of knowledge production con</w:t>
      </w:r>
      <w:r>
        <w:rPr>
          <w:rFonts w:ascii="Arial" w:eastAsia="Arial" w:hAnsi="Arial" w:cs="Arial"/>
          <w:color w:val="000000"/>
          <w:sz w:val="22"/>
          <w:szCs w:val="22"/>
        </w:rPr>
        <w:t xml:space="preserve">tribute to the reduction of diverse Indigenous identities into a singular and legible representation. </w:t>
      </w:r>
    </w:p>
    <w:p w14:paraId="347449C8" w14:textId="77777777" w:rsidR="009F0C56" w:rsidRDefault="009F0C56">
      <w:pPr>
        <w:pBdr>
          <w:top w:val="nil"/>
          <w:left w:val="nil"/>
          <w:bottom w:val="nil"/>
          <w:right w:val="nil"/>
          <w:between w:val="nil"/>
        </w:pBdr>
        <w:shd w:val="clear" w:color="auto" w:fill="FFFFFF"/>
        <w:spacing w:after="0" w:line="240" w:lineRule="auto"/>
        <w:rPr>
          <w:rFonts w:ascii="Arial" w:eastAsia="Arial" w:hAnsi="Arial" w:cs="Arial"/>
          <w:color w:val="000000"/>
          <w:sz w:val="22"/>
          <w:szCs w:val="22"/>
        </w:rPr>
      </w:pPr>
    </w:p>
    <w:p w14:paraId="6C3F4D74" w14:textId="6F8BD712" w:rsidR="009F0C56" w:rsidRDefault="00653842">
      <w:pPr>
        <w:pBdr>
          <w:top w:val="nil"/>
          <w:left w:val="nil"/>
          <w:bottom w:val="nil"/>
          <w:right w:val="nil"/>
          <w:between w:val="nil"/>
        </w:pBdr>
        <w:shd w:val="clear" w:color="auto" w:fill="FFFFFF"/>
        <w:spacing w:after="0" w:line="240" w:lineRule="auto"/>
        <w:rPr>
          <w:rFonts w:ascii="Arial" w:eastAsia="Arial" w:hAnsi="Arial" w:cs="Arial"/>
          <w:color w:val="000000"/>
          <w:sz w:val="22"/>
          <w:szCs w:val="22"/>
        </w:rPr>
      </w:pPr>
      <w:r>
        <w:rPr>
          <w:rFonts w:ascii="Arial" w:eastAsia="Arial" w:hAnsi="Arial" w:cs="Arial"/>
          <w:color w:val="000000"/>
          <w:sz w:val="22"/>
          <w:szCs w:val="22"/>
        </w:rPr>
        <w:t xml:space="preserve">The second chapter builds from Aldred's (2000) analysis of cultural commodification and the political-economic critiques of tourism to examine how Indigenous representations become marketable objects and experiences. The third chapter develops the literature on settler memory, racialised temporality, and the production of the Indigenous 'past' to examine historization and the displacement of contemporary Indigenous presence. </w:t>
      </w:r>
      <w:r w:rsidR="00CF2C48">
        <w:rPr>
          <w:rFonts w:ascii="Arial" w:eastAsia="Arial" w:hAnsi="Arial" w:cs="Arial"/>
          <w:color w:val="000000"/>
          <w:sz w:val="22"/>
          <w:szCs w:val="22"/>
        </w:rPr>
        <w:t>The</w:t>
      </w:r>
      <w:r>
        <w:rPr>
          <w:rFonts w:ascii="Arial" w:eastAsia="Arial" w:hAnsi="Arial" w:cs="Arial"/>
          <w:color w:val="000000"/>
          <w:sz w:val="22"/>
          <w:szCs w:val="22"/>
        </w:rPr>
        <w:t xml:space="preserve"> final empirical chapter analyses the discourse of literature on land, sustainability, settler colonialism, and Indigenous epistemologies as intertwined </w:t>
      </w:r>
      <w:r w:rsidR="00CF2C48">
        <w:rPr>
          <w:rFonts w:ascii="Arial" w:eastAsia="Arial" w:hAnsi="Arial" w:cs="Arial"/>
          <w:color w:val="000000"/>
          <w:sz w:val="22"/>
          <w:szCs w:val="22"/>
        </w:rPr>
        <w:t>concepts</w:t>
      </w:r>
      <w:r>
        <w:rPr>
          <w:rFonts w:ascii="Arial" w:eastAsia="Arial" w:hAnsi="Arial" w:cs="Arial"/>
          <w:color w:val="000000"/>
          <w:sz w:val="22"/>
          <w:szCs w:val="22"/>
        </w:rPr>
        <w:t xml:space="preserve"> </w:t>
      </w:r>
      <w:r>
        <w:rPr>
          <w:rFonts w:ascii="Arial" w:eastAsia="Arial" w:hAnsi="Arial" w:cs="Arial"/>
          <w:color w:val="000000"/>
          <w:sz w:val="22"/>
          <w:szCs w:val="22"/>
        </w:rPr>
        <w:t>to examine territorialization and the spatial consequences of representational control. Through this, the empirical chapters do not introduce four unrelated themes; they extend the conceptual problems established in this literature review by tracing how economic, racial, epistemic, temporal, and spatial forms of power work together in the representation of Seminole and Miccosukee peoples in South Florida.</w:t>
      </w:r>
    </w:p>
    <w:p w14:paraId="538B4623" w14:textId="77777777" w:rsidR="009F0C56" w:rsidRDefault="009F0C56">
      <w:pPr>
        <w:pBdr>
          <w:top w:val="nil"/>
          <w:left w:val="nil"/>
          <w:bottom w:val="nil"/>
          <w:right w:val="nil"/>
          <w:between w:val="nil"/>
        </w:pBdr>
        <w:shd w:val="clear" w:color="auto" w:fill="FFFFFF"/>
        <w:spacing w:after="0" w:line="240" w:lineRule="auto"/>
        <w:rPr>
          <w:rFonts w:ascii="Arial" w:eastAsia="Arial" w:hAnsi="Arial" w:cs="Arial"/>
          <w:color w:val="000000"/>
          <w:sz w:val="22"/>
          <w:szCs w:val="22"/>
        </w:rPr>
      </w:pPr>
    </w:p>
    <w:p w14:paraId="210E953E" w14:textId="7A8E8AD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In doing so, it risks reproducing what Deloria and Cordova critique as the colonial reduction of Indigenous life to a series of problems to be solved through externally imposed frameworks of progress. This economic focus also fosters a homogenisation of Indigenous identity, where diverse cultural practices, epistemologies, and ontologies are flattened into a marketable product for settler and tourist consumption, as will be analysed </w:t>
      </w:r>
      <w:r w:rsidR="00CF2C48">
        <w:rPr>
          <w:rFonts w:ascii="Arial" w:eastAsia="Arial" w:hAnsi="Arial" w:cs="Arial"/>
          <w:color w:val="000000"/>
        </w:rPr>
        <w:t>in</w:t>
      </w:r>
      <w:r>
        <w:rPr>
          <w:rFonts w:ascii="Arial" w:eastAsia="Arial" w:hAnsi="Arial" w:cs="Arial"/>
          <w:color w:val="000000"/>
        </w:rPr>
        <w:t xml:space="preserve"> the analysis chapters.</w:t>
      </w:r>
    </w:p>
    <w:p w14:paraId="47802DE9"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The consequence is that while tourism studies frequently analyse material outcomes such as revenue generation or ecological conservation, they leave unexamined the representational systems that underpin and legitimise settler-colonial dominance. </w:t>
      </w:r>
      <w:r>
        <w:rPr>
          <w:rFonts w:ascii="Arial" w:eastAsia="Arial" w:hAnsi="Arial" w:cs="Arial"/>
          <w:color w:val="000000"/>
        </w:rPr>
        <w:lastRenderedPageBreak/>
        <w:t>Creating the unresearched critique of how sustainable tourism, even in its most “progressive” forms, continues to erase Indigenous epistemologies and reinforce settler notions of authenticity, tradition, and value.</w:t>
      </w:r>
    </w:p>
    <w:p w14:paraId="1B6E1AF0"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This thesis, therefore, addresses this gap by shifting the focus from the material to the representational, from economic outcomes to epistemic structures. Situating sustainable tourism not merely as an industry of travel, but as a settler-colonial project of meaning-making that works through homogenisation, commodification, temporal framing, and territorial erasure. In doing so, this work positions itself as a unique intervention within both tourism and decolonial studies, demonstrating how Indigenous iden</w:t>
      </w:r>
      <w:r>
        <w:rPr>
          <w:rFonts w:ascii="Arial" w:eastAsia="Arial" w:hAnsi="Arial" w:cs="Arial"/>
          <w:color w:val="000000"/>
        </w:rPr>
        <w:t>tity in South Florida is continuously mediated through settler narratives and how Indigenous knowledge challenges and unsettles those narratives.</w:t>
      </w:r>
    </w:p>
    <w:p w14:paraId="6A0C341D" w14:textId="77777777" w:rsidR="009F0C56" w:rsidRDefault="009F0C56">
      <w:pPr>
        <w:pBdr>
          <w:top w:val="nil"/>
          <w:left w:val="nil"/>
          <w:bottom w:val="nil"/>
          <w:right w:val="nil"/>
          <w:between w:val="nil"/>
        </w:pBdr>
        <w:spacing w:line="240" w:lineRule="auto"/>
        <w:rPr>
          <w:rFonts w:ascii="Arial" w:eastAsia="Arial" w:hAnsi="Arial" w:cs="Arial"/>
          <w:color w:val="000000"/>
        </w:rPr>
      </w:pPr>
    </w:p>
    <w:p w14:paraId="71382EF3" w14:textId="77777777" w:rsidR="009F0C56" w:rsidRDefault="009F0C56">
      <w:pPr>
        <w:pBdr>
          <w:top w:val="nil"/>
          <w:left w:val="nil"/>
          <w:bottom w:val="nil"/>
          <w:right w:val="nil"/>
          <w:between w:val="nil"/>
        </w:pBdr>
        <w:spacing w:line="240" w:lineRule="auto"/>
        <w:rPr>
          <w:rFonts w:ascii="Arial" w:eastAsia="Arial" w:hAnsi="Arial" w:cs="Arial"/>
          <w:color w:val="000000"/>
        </w:rPr>
      </w:pPr>
    </w:p>
    <w:p w14:paraId="136E0822" w14:textId="77777777" w:rsidR="009F0C56" w:rsidRDefault="009F0C56">
      <w:pPr>
        <w:pBdr>
          <w:top w:val="nil"/>
          <w:left w:val="nil"/>
          <w:bottom w:val="nil"/>
          <w:right w:val="nil"/>
          <w:between w:val="nil"/>
        </w:pBdr>
        <w:spacing w:line="240" w:lineRule="auto"/>
        <w:rPr>
          <w:rFonts w:ascii="Arial" w:eastAsia="Arial" w:hAnsi="Arial" w:cs="Arial"/>
          <w:color w:val="000000"/>
        </w:rPr>
      </w:pPr>
    </w:p>
    <w:p w14:paraId="7F3AAA88" w14:textId="77777777" w:rsidR="009F0C56" w:rsidRDefault="009F0C56"/>
    <w:p w14:paraId="08AD2DBA" w14:textId="77777777" w:rsidR="009F0C56" w:rsidRDefault="009F0C56"/>
    <w:p w14:paraId="76BFF808" w14:textId="77777777" w:rsidR="009F0C56" w:rsidRDefault="009F0C56"/>
    <w:p w14:paraId="3D9B4557" w14:textId="77777777" w:rsidR="009F0C56" w:rsidRDefault="009F0C56"/>
    <w:p w14:paraId="08BFECF5" w14:textId="77777777" w:rsidR="009F0C56" w:rsidRDefault="009F0C56"/>
    <w:p w14:paraId="45F21805" w14:textId="77777777" w:rsidR="009F0C56" w:rsidRDefault="009F0C56">
      <w:pPr>
        <w:pStyle w:val="Heading1"/>
        <w:rPr>
          <w:rFonts w:ascii="Arial" w:eastAsia="Arial" w:hAnsi="Arial" w:cs="Arial"/>
        </w:rPr>
      </w:pPr>
    </w:p>
    <w:p w14:paraId="73904750" w14:textId="77777777" w:rsidR="009F0C56" w:rsidRDefault="009F0C56"/>
    <w:p w14:paraId="010CBD8E" w14:textId="77777777" w:rsidR="009F0C56" w:rsidRDefault="009F0C56"/>
    <w:p w14:paraId="60D09CDE" w14:textId="77777777" w:rsidR="009F0C56" w:rsidRDefault="00653842">
      <w:r>
        <w:br w:type="page"/>
      </w:r>
    </w:p>
    <w:p w14:paraId="3E1ED7E7" w14:textId="77777777" w:rsidR="009F0C56" w:rsidRDefault="00653842">
      <w:pPr>
        <w:pStyle w:val="Heading1"/>
        <w:rPr>
          <w:rFonts w:ascii="Arial" w:eastAsia="Arial" w:hAnsi="Arial" w:cs="Arial"/>
        </w:rPr>
      </w:pPr>
      <w:bookmarkStart w:id="67" w:name="_Toc240965998"/>
      <w:r>
        <w:rPr>
          <w:rFonts w:ascii="Arial" w:eastAsia="Arial" w:hAnsi="Arial" w:cs="Arial"/>
        </w:rPr>
        <w:lastRenderedPageBreak/>
        <w:t>5.0 Theoretical positioning, a decolonial analysis</w:t>
      </w:r>
      <w:bookmarkEnd w:id="67"/>
    </w:p>
    <w:p w14:paraId="404D8366" w14:textId="77777777" w:rsidR="009F0C56" w:rsidRDefault="00653842">
      <w:pPr>
        <w:pStyle w:val="Heading2"/>
        <w:rPr>
          <w:rFonts w:ascii="Arial" w:eastAsia="Arial" w:hAnsi="Arial" w:cs="Arial"/>
        </w:rPr>
      </w:pPr>
      <w:bookmarkStart w:id="68" w:name="_Toc240965999"/>
      <w:r>
        <w:rPr>
          <w:rFonts w:ascii="Arial" w:eastAsia="Arial" w:hAnsi="Arial" w:cs="Arial"/>
        </w:rPr>
        <w:t>Introduction</w:t>
      </w:r>
      <w:bookmarkEnd w:id="68"/>
    </w:p>
    <w:p w14:paraId="78B6A8A8" w14:textId="77777777" w:rsidR="009F0C56" w:rsidRDefault="00653842">
      <w:pPr>
        <w:spacing w:line="240" w:lineRule="auto"/>
        <w:rPr>
          <w:rFonts w:ascii="Arial" w:eastAsia="Arial" w:hAnsi="Arial" w:cs="Arial"/>
          <w:color w:val="000000"/>
        </w:rPr>
      </w:pPr>
      <w:r>
        <w:rPr>
          <w:rFonts w:ascii="Arial" w:eastAsia="Arial" w:hAnsi="Arial" w:cs="Arial"/>
          <w:color w:val="000000"/>
        </w:rPr>
        <w:t xml:space="preserve">This thesis contributes to the ongoing anti-colonial critique by focusing on an underexplored aspect of settler colonialism: the political manipulation of Indigenous representation in settler spaces. Specifically, it examines how Indigenous identities, particularly those of the Seminole and Miccosukee Nations in South Florida, have been constructed, controlled, and mediated through settler frameworks in creating the ideal visual Indian. </w:t>
      </w:r>
    </w:p>
    <w:p w14:paraId="1271359C" w14:textId="77777777" w:rsidR="009F0C56" w:rsidRDefault="00653842">
      <w:pPr>
        <w:spacing w:line="240" w:lineRule="auto"/>
        <w:rPr>
          <w:rFonts w:ascii="Arial" w:eastAsia="Arial" w:hAnsi="Arial" w:cs="Arial"/>
          <w:color w:val="000000"/>
        </w:rPr>
      </w:pPr>
      <w:r>
        <w:rPr>
          <w:rFonts w:ascii="Arial" w:eastAsia="Arial" w:hAnsi="Arial" w:cs="Arial"/>
          <w:color w:val="000000"/>
        </w:rPr>
        <w:t>Through using a multidisciplinary theoretical lens that incorporates settler colonial theory, Indigenous geographies, and elements of psychoanalysis and Marxism, this work interrogates how the settler state positions itself as the curator and epistemological authority over Indigenous identity. Through analysing settler control over visual, spatial, and cultural representations of Seminole and Miccosukee peoples, this thesis explores how these communities have been systematically misrepresented to serve sett</w:t>
      </w:r>
      <w:r>
        <w:rPr>
          <w:rFonts w:ascii="Arial" w:eastAsia="Arial" w:hAnsi="Arial" w:cs="Arial"/>
          <w:color w:val="000000"/>
        </w:rPr>
        <w:t>ler interests. In doing so, it builds on and bridges the work of key Indigenous and decolonial scholars to expose the epistemological and ontological violence embedded in settler narratives (Daigle 2025).</w:t>
      </w:r>
    </w:p>
    <w:p w14:paraId="1C226FD3" w14:textId="46D103A9" w:rsidR="009F0C56" w:rsidRDefault="00653842">
      <w:pPr>
        <w:spacing w:line="240" w:lineRule="auto"/>
        <w:rPr>
          <w:rFonts w:ascii="Arial" w:eastAsia="Arial" w:hAnsi="Arial" w:cs="Arial"/>
          <w:color w:val="000000"/>
        </w:rPr>
      </w:pPr>
      <w:r>
        <w:rPr>
          <w:rFonts w:ascii="Arial" w:eastAsia="Arial" w:hAnsi="Arial" w:cs="Arial"/>
          <w:color w:val="000000"/>
        </w:rPr>
        <w:t xml:space="preserve">Ultimately, this research places a decolonial critique of representation at the centre of its analysis. This builds on previous literature to illuminate how, within the urbanised and rural landscape of South Florida, settler society continues to use representation as a tool of domination, </w:t>
      </w:r>
      <w:r>
        <w:rPr>
          <w:rFonts w:ascii="Arial" w:eastAsia="Arial" w:hAnsi="Arial" w:cs="Arial"/>
          <w:color w:val="000000"/>
        </w:rPr>
        <w:t>distorting Indigenous realities to secure settler legitimacy. While at the same time, highlighting how the Seminole and Miccosukee continue to resist these imposed identities, in asserting alternative ways of being and knowing that challenge settler hegemony at its core.</w:t>
      </w:r>
    </w:p>
    <w:p w14:paraId="7028B66F" w14:textId="7DF667FA" w:rsidR="009F0C56" w:rsidRDefault="00653842">
      <w:pPr>
        <w:rPr>
          <w:rFonts w:ascii="Arial" w:eastAsia="Arial" w:hAnsi="Arial" w:cs="Arial"/>
        </w:rPr>
      </w:pPr>
      <w:r>
        <w:rPr>
          <w:rFonts w:ascii="Arial" w:eastAsia="Arial" w:hAnsi="Arial" w:cs="Arial"/>
        </w:rPr>
        <w:t>Theoretically</w:t>
      </w:r>
      <w:r w:rsidR="00CF2C48">
        <w:rPr>
          <w:rFonts w:ascii="Arial" w:eastAsia="Arial" w:hAnsi="Arial" w:cs="Arial"/>
        </w:rPr>
        <w:t>,</w:t>
      </w:r>
      <w:r>
        <w:rPr>
          <w:rFonts w:ascii="Arial" w:eastAsia="Arial" w:hAnsi="Arial" w:cs="Arial"/>
        </w:rPr>
        <w:t xml:space="preserve"> this </w:t>
      </w:r>
      <w:r w:rsidR="00CF2C48">
        <w:rPr>
          <w:rFonts w:ascii="Arial" w:eastAsia="Arial" w:hAnsi="Arial" w:cs="Arial"/>
        </w:rPr>
        <w:t>work's</w:t>
      </w:r>
      <w:r>
        <w:rPr>
          <w:rFonts w:ascii="Arial" w:eastAsia="Arial" w:hAnsi="Arial" w:cs="Arial"/>
        </w:rPr>
        <w:t xml:space="preserve"> framework is an amalgamation of theorists rather than a collection of separate concepts. Wolfe and Veracini help in establishing a structural basis of the thesis by engaging with settler colonialism as an ongoing project of elimination, displacement, and replacement. Barker develops a structural account through settler bricolage, explaining how fragments of Indigenous culture can be rearranged into coherent settler narratives. Bruyneel’s work on settler memory extends this insight into the temporal field, </w:t>
      </w:r>
      <w:r>
        <w:rPr>
          <w:rFonts w:ascii="Arial" w:eastAsia="Arial" w:hAnsi="Arial" w:cs="Arial"/>
        </w:rPr>
        <w:t xml:space="preserve">showing how selective remembrance and disavowal can contain Indigenous presence within settler accounts of the past. </w:t>
      </w:r>
    </w:p>
    <w:p w14:paraId="64EBB6C9" w14:textId="77777777" w:rsidR="009F0C56" w:rsidRDefault="00653842">
      <w:pPr>
        <w:rPr>
          <w:rFonts w:ascii="Arial" w:eastAsia="Arial" w:hAnsi="Arial" w:cs="Arial"/>
        </w:rPr>
      </w:pPr>
      <w:r>
        <w:rPr>
          <w:rFonts w:ascii="Arial" w:eastAsia="Arial" w:hAnsi="Arial" w:cs="Arial"/>
        </w:rPr>
        <w:t>Aldred and Lightfoot develop the analysis of appropriation and selective recognition, showing how Indigenous symbols may be celebrated precisely because they have been detached from Indigenous authority. Dorries’ work on colonial urbanism connects representation to the material organisation of cities, showing how space itself can become an infrastructure through which recognition, containment, and erasure are managed.</w:t>
      </w:r>
    </w:p>
    <w:p w14:paraId="41D01D9A" w14:textId="078CD6E8" w:rsidR="009F0C56" w:rsidRDefault="00653842">
      <w:pPr>
        <w:rPr>
          <w:rFonts w:ascii="Arial" w:eastAsia="Arial" w:hAnsi="Arial" w:cs="Arial"/>
        </w:rPr>
      </w:pPr>
      <w:r>
        <w:rPr>
          <w:rFonts w:ascii="Arial" w:eastAsia="Arial" w:hAnsi="Arial" w:cs="Arial"/>
        </w:rPr>
        <w:t>In this</w:t>
      </w:r>
      <w:r w:rsidR="00CF2C48">
        <w:rPr>
          <w:rFonts w:ascii="Arial" w:eastAsia="Arial" w:hAnsi="Arial" w:cs="Arial"/>
        </w:rPr>
        <w:t>,</w:t>
      </w:r>
      <w:r>
        <w:rPr>
          <w:rFonts w:ascii="Arial" w:eastAsia="Arial" w:hAnsi="Arial" w:cs="Arial"/>
        </w:rPr>
        <w:t xml:space="preserve"> these scholars</w:t>
      </w:r>
      <w:r w:rsidR="00CF2C48">
        <w:rPr>
          <w:rFonts w:ascii="Arial" w:eastAsia="Arial" w:hAnsi="Arial" w:cs="Arial"/>
        </w:rPr>
        <w:t>,</w:t>
      </w:r>
      <w:r>
        <w:rPr>
          <w:rFonts w:ascii="Arial" w:eastAsia="Arial" w:hAnsi="Arial" w:cs="Arial"/>
        </w:rPr>
        <w:t xml:space="preserve"> as well as </w:t>
      </w:r>
      <w:r w:rsidR="00CF2C48">
        <w:rPr>
          <w:rFonts w:ascii="Arial" w:eastAsia="Arial" w:hAnsi="Arial" w:cs="Arial"/>
        </w:rPr>
        <w:t>others,</w:t>
      </w:r>
      <w:r>
        <w:rPr>
          <w:rFonts w:ascii="Arial" w:eastAsia="Arial" w:hAnsi="Arial" w:cs="Arial"/>
        </w:rPr>
        <w:t xml:space="preserve"> provide complementary theoretical discourses for different stages of the same colonial process. Wolfe and Veracini explain why representational erasure </w:t>
      </w:r>
      <w:r w:rsidR="00CF2C48">
        <w:rPr>
          <w:rFonts w:ascii="Arial" w:eastAsia="Arial" w:hAnsi="Arial" w:cs="Arial"/>
        </w:rPr>
        <w:t>matters</w:t>
      </w:r>
      <w:r>
        <w:rPr>
          <w:rFonts w:ascii="Arial" w:eastAsia="Arial" w:hAnsi="Arial" w:cs="Arial"/>
        </w:rPr>
        <w:t xml:space="preserve"> to settler sovereignty; Barker explains how the settler imaginary assembles and stabilises its preferred image of </w:t>
      </w:r>
      <w:r>
        <w:rPr>
          <w:rFonts w:ascii="Arial" w:eastAsia="Arial" w:hAnsi="Arial" w:cs="Arial"/>
        </w:rPr>
        <w:lastRenderedPageBreak/>
        <w:t xml:space="preserve">Indigeneity; Bruyneel explains how memory and temporality sustain that image; Aldred and Lightfoot show how appropriation and selective endorsement make it culturally acceptable; and Dorries demonstrates how these representational practices become spatially organised within urban and tourism </w:t>
      </w:r>
      <w:r w:rsidR="00CF2C48">
        <w:rPr>
          <w:rFonts w:ascii="Arial" w:eastAsia="Arial" w:hAnsi="Arial" w:cs="Arial"/>
        </w:rPr>
        <w:t>environments</w:t>
      </w:r>
      <w:r>
        <w:rPr>
          <w:rFonts w:ascii="Arial" w:eastAsia="Arial" w:hAnsi="Arial" w:cs="Arial"/>
        </w:rPr>
        <w:t xml:space="preserve">. </w:t>
      </w:r>
    </w:p>
    <w:p w14:paraId="680C7BF4" w14:textId="77777777" w:rsidR="009F0C56" w:rsidRDefault="00653842">
      <w:pPr>
        <w:rPr>
          <w:rFonts w:ascii="Arial" w:eastAsia="Arial" w:hAnsi="Arial" w:cs="Arial"/>
        </w:rPr>
      </w:pPr>
      <w:r>
        <w:rPr>
          <w:rFonts w:ascii="Arial" w:eastAsia="Arial" w:hAnsi="Arial" w:cs="Arial"/>
        </w:rPr>
        <w:t>Furthermore, the concepts of racial capitalism, coloniality, and reification connect the cultural and economic dimensions by showing how representations can be transformed into commodities and how meanings can be detached from their original epistemological and ontological contexts.</w:t>
      </w:r>
    </w:p>
    <w:p w14:paraId="41FC25C5" w14:textId="77777777" w:rsidR="009F0C56" w:rsidRDefault="009F0C56">
      <w:pPr>
        <w:keepNext/>
        <w:keepLines/>
        <w:spacing w:before="160" w:after="80" w:line="276" w:lineRule="auto"/>
        <w:rPr>
          <w:rFonts w:ascii="Play" w:eastAsia="Play" w:hAnsi="Play" w:cs="Play"/>
          <w:color w:val="0F4761"/>
          <w:sz w:val="32"/>
          <w:szCs w:val="32"/>
        </w:rPr>
      </w:pPr>
    </w:p>
    <w:p w14:paraId="0141C026" w14:textId="77777777" w:rsidR="009F0C56" w:rsidRDefault="00653842">
      <w:pPr>
        <w:pStyle w:val="Heading2"/>
        <w:rPr>
          <w:rFonts w:ascii="Arial" w:eastAsia="Arial" w:hAnsi="Arial" w:cs="Arial"/>
          <w:sz w:val="36"/>
          <w:szCs w:val="36"/>
        </w:rPr>
      </w:pPr>
      <w:bookmarkStart w:id="69" w:name="_Toc240966000"/>
      <w:r>
        <w:rPr>
          <w:rFonts w:ascii="Arial" w:eastAsia="Arial" w:hAnsi="Arial" w:cs="Arial"/>
          <w:sz w:val="36"/>
          <w:szCs w:val="36"/>
        </w:rPr>
        <w:t>5.1 Settler colonialism and the unmasking of colonial power</w:t>
      </w:r>
      <w:bookmarkEnd w:id="69"/>
    </w:p>
    <w:p w14:paraId="52753384" w14:textId="77777777" w:rsidR="009F0C56" w:rsidRDefault="009F0C56">
      <w:pPr>
        <w:spacing w:line="276" w:lineRule="auto"/>
        <w:rPr>
          <w:rFonts w:ascii="Arial" w:eastAsia="Arial" w:hAnsi="Arial" w:cs="Arial"/>
          <w:color w:val="000000"/>
        </w:rPr>
      </w:pPr>
    </w:p>
    <w:p w14:paraId="75463441" w14:textId="77777777" w:rsidR="009F0C56" w:rsidRDefault="00653842">
      <w:pPr>
        <w:spacing w:line="240" w:lineRule="auto"/>
        <w:rPr>
          <w:rFonts w:ascii="Arial" w:eastAsia="Arial" w:hAnsi="Arial" w:cs="Arial"/>
          <w:color w:val="000000"/>
        </w:rPr>
      </w:pPr>
      <w:r>
        <w:rPr>
          <w:rFonts w:ascii="Arial" w:eastAsia="Arial" w:hAnsi="Arial" w:cs="Arial"/>
          <w:color w:val="000000"/>
        </w:rPr>
        <w:t>This thesis uses settler colonial theory as its primary theoretical framework. Developed in the 1990s, particularly in geography and Indigenous studies, settler colonial theory offers a perspective on colonialism as an ongoing system of power, rather than a past event. A key figure in this movement was Patrick Wolfe, whose work challenges earlier views that saw colonialism mainly as an economic project driven by capital accumulation. Instead, Wolfe argues that settler colonialism is a continuous process aim</w:t>
      </w:r>
      <w:r>
        <w:rPr>
          <w:rFonts w:ascii="Arial" w:eastAsia="Arial" w:hAnsi="Arial" w:cs="Arial"/>
          <w:color w:val="000000"/>
        </w:rPr>
        <w:t xml:space="preserve">ed at assimilating, displacing, or eliminating Indigenous peoples to secure settler dominance (Wolfe 2016). His famous phrase, "settler colonialism is a structure, not an event," highlights the central idea that defines this framework: the "logic of elimination." </w:t>
      </w:r>
    </w:p>
    <w:p w14:paraId="214F9D19" w14:textId="77777777" w:rsidR="009F0C56" w:rsidRDefault="00653842">
      <w:pPr>
        <w:spacing w:line="240" w:lineRule="auto"/>
        <w:rPr>
          <w:rFonts w:ascii="Arial" w:eastAsia="Arial" w:hAnsi="Arial" w:cs="Arial"/>
          <w:color w:val="000000"/>
        </w:rPr>
      </w:pPr>
      <w:r>
        <w:rPr>
          <w:rFonts w:ascii="Arial" w:eastAsia="Arial" w:hAnsi="Arial" w:cs="Arial"/>
          <w:color w:val="000000"/>
        </w:rPr>
        <w:t>This logic refers to the various strategies settler societies use to remove Indigenous peoples from their land and erase their presence, whether through genocide, assimilation, spatial displacement, or destroying Indigenous worldviews. As another key theorist, Lorenzo Veracini, explains, settler colonialism is not just a violent moment in history but a lasting system that shapes institutions, identities, and representations. It persists over time and adapts to new contexts while maintaining its core goal of</w:t>
      </w:r>
      <w:r>
        <w:rPr>
          <w:rFonts w:ascii="Arial" w:eastAsia="Arial" w:hAnsi="Arial" w:cs="Arial"/>
          <w:color w:val="000000"/>
        </w:rPr>
        <w:t xml:space="preserve"> Indigenous erasure and settler legitimacy (Veracini 2010). </w:t>
      </w:r>
    </w:p>
    <w:p w14:paraId="064A88C0" w14:textId="24E94443" w:rsidR="009F0C56" w:rsidRDefault="00653842">
      <w:pPr>
        <w:spacing w:before="280" w:after="280" w:line="240" w:lineRule="auto"/>
        <w:rPr>
          <w:rFonts w:ascii="Arial" w:eastAsia="Arial" w:hAnsi="Arial" w:cs="Arial"/>
          <w:color w:val="000000"/>
        </w:rPr>
      </w:pPr>
      <w:r>
        <w:rPr>
          <w:rFonts w:ascii="Arial" w:eastAsia="Arial" w:hAnsi="Arial" w:cs="Arial"/>
          <w:color w:val="000000"/>
        </w:rPr>
        <w:t xml:space="preserve">This thesis views settler colonialism as a persistent, adaptable system that functions through material and non-material means, including those of visual, discursive, pedagogical, and epistemological mechanisms. Where the primary role is to marginalise Indigenous voices and representations, positioning them on the periphery of settler society unless used as symbolic diversity tokens (Veracini 2010). This understanding further posits </w:t>
      </w:r>
      <w:r w:rsidR="00CF2C48">
        <w:rPr>
          <w:rFonts w:ascii="Arial" w:eastAsia="Arial" w:hAnsi="Arial" w:cs="Arial"/>
          <w:color w:val="000000"/>
        </w:rPr>
        <w:t>that</w:t>
      </w:r>
      <w:r>
        <w:rPr>
          <w:rFonts w:ascii="Arial" w:eastAsia="Arial" w:hAnsi="Arial" w:cs="Arial"/>
          <w:color w:val="000000"/>
        </w:rPr>
        <w:t xml:space="preserve"> settler colonialism's control over Indigenous representation is an important yet underexplored aspect of settler colonial studies. While many studies focus on land dispossession, political marginalisation, and cultural suppression, less attention has been paid to how settler societies influence public and institutional depictions of Indigenous peoples. This is especially true in urban settler contexts like South Florida, where Seminole and Miccosukee are both commodified and erased, becoming visible only i</w:t>
      </w:r>
      <w:r>
        <w:rPr>
          <w:rFonts w:ascii="Arial" w:eastAsia="Arial" w:hAnsi="Arial" w:cs="Arial"/>
          <w:color w:val="000000"/>
        </w:rPr>
        <w:t xml:space="preserve">n ways that support settler narratives. </w:t>
      </w:r>
    </w:p>
    <w:p w14:paraId="746CD7DB" w14:textId="5EDB3485" w:rsidR="009F0C56" w:rsidRDefault="00653842">
      <w:pPr>
        <w:spacing w:before="280" w:after="280" w:line="240" w:lineRule="auto"/>
        <w:rPr>
          <w:rFonts w:ascii="Arial" w:eastAsia="Arial" w:hAnsi="Arial" w:cs="Arial"/>
          <w:color w:val="000000"/>
        </w:rPr>
      </w:pPr>
      <w:r>
        <w:rPr>
          <w:rFonts w:ascii="Arial" w:eastAsia="Arial" w:hAnsi="Arial" w:cs="Arial"/>
          <w:color w:val="000000"/>
        </w:rPr>
        <w:lastRenderedPageBreak/>
        <w:t xml:space="preserve">Thus, using settler colonial theory as a foundation, this thesis offers an original approach: </w:t>
      </w:r>
      <w:r>
        <w:rPr>
          <w:rFonts w:ascii="Arial" w:eastAsia="Arial" w:hAnsi="Arial" w:cs="Arial"/>
          <w:color w:val="000000"/>
        </w:rPr>
        <w:t>examining Indigenous representation as a site of settler control in settler South Florida through the use of visual representations often curated from settler society. Highlighting that these representations, in tourism, museums, education, or media, are intentionally designed to reinforce settler identities, suppress Indigenous agency, and uphold colonial knowledge hierarchies (Tuck Yung 2012). Where such representations act as a form of epistemological violence, contributing to the ontological and materia</w:t>
      </w:r>
      <w:r>
        <w:rPr>
          <w:rFonts w:ascii="Arial" w:eastAsia="Arial" w:hAnsi="Arial" w:cs="Arial"/>
          <w:color w:val="000000"/>
        </w:rPr>
        <w:t xml:space="preserve">l marginalisation of Indigenous peoples. In this, this analysis of settler colonialism is integrated with other perspectives to form a multi-faceted critique of how settler society constructs and sustains control over Indigenous visibility, knowledge, and future-making. </w:t>
      </w:r>
    </w:p>
    <w:p w14:paraId="0EA1EFE9"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However, one of the ways settler and other oppressive discourses reproduce themselves is through unintentional practices. This is not to say settler colonialism isn't a thought, but it highlights how it's naturalised to the point that many or even most people aren't necessarily aware of their complicity. In this, settler populations can engage with settler colonial practices unconsciously through the purchasing of goods, language, and tourism, all of which will be further analysed during the empirical chapt</w:t>
      </w:r>
      <w:r>
        <w:rPr>
          <w:rFonts w:ascii="Arial" w:eastAsia="Arial" w:hAnsi="Arial" w:cs="Arial"/>
          <w:color w:val="000000"/>
        </w:rPr>
        <w:t xml:space="preserve">ers. </w:t>
      </w:r>
    </w:p>
    <w:p w14:paraId="757D8127" w14:textId="05468C2B" w:rsidR="009F0C56" w:rsidRDefault="00653842">
      <w:pPr>
        <w:spacing w:line="240" w:lineRule="auto"/>
        <w:rPr>
          <w:rFonts w:ascii="Arial" w:eastAsia="Arial" w:hAnsi="Arial" w:cs="Arial"/>
          <w:color w:val="000000"/>
        </w:rPr>
      </w:pPr>
      <w:r>
        <w:rPr>
          <w:rFonts w:ascii="Arial" w:eastAsia="Arial" w:hAnsi="Arial" w:cs="Arial"/>
          <w:color w:val="000000"/>
        </w:rPr>
        <w:t>In this, by applying settler colonial theory</w:t>
      </w:r>
      <w:r w:rsidR="00CF2C48">
        <w:rPr>
          <w:rFonts w:ascii="Arial" w:eastAsia="Arial" w:hAnsi="Arial" w:cs="Arial"/>
          <w:color w:val="000000"/>
        </w:rPr>
        <w:t xml:space="preserve"> and drawing on</w:t>
      </w:r>
      <w:r>
        <w:rPr>
          <w:rFonts w:ascii="Arial" w:eastAsia="Arial" w:hAnsi="Arial" w:cs="Arial"/>
          <w:color w:val="000000"/>
        </w:rPr>
        <w:t xml:space="preserve"> more specific theoretical analysis from authors such as Veracini, Barker, </w:t>
      </w:r>
      <w:r w:rsidR="00CF2C48">
        <w:rPr>
          <w:rFonts w:ascii="Arial" w:eastAsia="Arial" w:hAnsi="Arial" w:cs="Arial"/>
          <w:color w:val="000000"/>
        </w:rPr>
        <w:t xml:space="preserve">and </w:t>
      </w:r>
      <w:r>
        <w:rPr>
          <w:rFonts w:ascii="Arial" w:eastAsia="Arial" w:hAnsi="Arial" w:cs="Arial"/>
          <w:color w:val="000000"/>
        </w:rPr>
        <w:t>Coulthard</w:t>
      </w:r>
      <w:r>
        <w:rPr>
          <w:rFonts w:ascii="Arial" w:eastAsia="Arial" w:hAnsi="Arial" w:cs="Arial"/>
          <w:color w:val="000000"/>
        </w:rPr>
        <w:t xml:space="preserve">, this thesis aims to shed light on an underexplored yet vitally important aspect of settler colonialism: the representational domain. Through focusing on the Seminole and Miccosukee in South Florida, it contributes to both Indigenous studies and settler colonial discourse by revealing how everyday cultural and institutional practices continue to perform the work of erasure, even in spaces where Indigenous presence appears most visible. The following sections will analyse more specifically </w:t>
      </w:r>
      <w:r>
        <w:rPr>
          <w:rFonts w:ascii="Arial" w:eastAsia="Arial" w:hAnsi="Arial" w:cs="Arial"/>
          <w:color w:val="000000"/>
        </w:rPr>
        <w:t>the settler colonial theories applied in this work and why.</w:t>
      </w:r>
    </w:p>
    <w:p w14:paraId="6AD0A841" w14:textId="77777777" w:rsidR="009F0C56" w:rsidRDefault="009F0C56">
      <w:pPr>
        <w:spacing w:line="240" w:lineRule="auto"/>
        <w:rPr>
          <w:rFonts w:ascii="Arial" w:eastAsia="Arial" w:hAnsi="Arial" w:cs="Arial"/>
          <w:color w:val="000000"/>
        </w:rPr>
      </w:pPr>
    </w:p>
    <w:p w14:paraId="61D3C5D0" w14:textId="77777777" w:rsidR="009F0C56" w:rsidRDefault="00653842">
      <w:pPr>
        <w:keepNext/>
        <w:keepLines/>
        <w:spacing w:before="160" w:after="80" w:line="276" w:lineRule="auto"/>
        <w:rPr>
          <w:rFonts w:ascii="Arial" w:eastAsia="Arial" w:hAnsi="Arial" w:cs="Arial"/>
          <w:color w:val="0F4761"/>
          <w:sz w:val="32"/>
          <w:szCs w:val="32"/>
        </w:rPr>
      </w:pPr>
      <w:r>
        <w:rPr>
          <w:rFonts w:ascii="Arial" w:eastAsia="Arial" w:hAnsi="Arial" w:cs="Arial"/>
          <w:color w:val="0F4761"/>
          <w:sz w:val="32"/>
          <w:szCs w:val="32"/>
        </w:rPr>
        <w:t xml:space="preserve">5.2 Veracini; Screen memory, non-encounter, historylessness </w:t>
      </w:r>
    </w:p>
    <w:p w14:paraId="1458B4AD" w14:textId="77777777" w:rsidR="009F0C56" w:rsidRDefault="00653842">
      <w:pPr>
        <w:spacing w:line="240" w:lineRule="auto"/>
        <w:rPr>
          <w:rFonts w:ascii="Arial" w:eastAsia="Arial" w:hAnsi="Arial" w:cs="Arial"/>
          <w:color w:val="000000"/>
        </w:rPr>
      </w:pPr>
      <w:r>
        <w:rPr>
          <w:rFonts w:ascii="Arial" w:eastAsia="Arial" w:hAnsi="Arial" w:cs="Arial"/>
          <w:color w:val="000000"/>
        </w:rPr>
        <w:t>Veracini is a pivotal figure in settler colonial studies, with his work providing key theoretical tools for this thesis. His scholarship has been instrumental in exposing the continuing ambitions of settler colonialism, which are often disguised through seemingly benign or progressive settler assemblages (Veracini 2021). While Veracini’s work frequently focuses on historical and literary dimensions of settler colonialism, it offers a uniquely valuable lens for this research, particularly concerning visual a</w:t>
      </w:r>
      <w:r>
        <w:rPr>
          <w:rFonts w:ascii="Arial" w:eastAsia="Arial" w:hAnsi="Arial" w:cs="Arial"/>
          <w:color w:val="000000"/>
        </w:rPr>
        <w:t>nd spatial geographies. In the context of South Florida, Veracini’s frameworks help to unpack how settler representations, especially visual and symbolic ones, are embedded into the landscape, shaping public consciousness and actively distorting the presence of Indigenous nations like the Seminole and Miccosukee.</w:t>
      </w:r>
    </w:p>
    <w:p w14:paraId="2A180AD8" w14:textId="4122FA4F" w:rsidR="009F0C56" w:rsidRDefault="00653842">
      <w:pPr>
        <w:spacing w:line="240" w:lineRule="auto"/>
        <w:rPr>
          <w:rFonts w:ascii="Arial" w:eastAsia="Arial" w:hAnsi="Arial" w:cs="Arial"/>
          <w:color w:val="000000"/>
        </w:rPr>
      </w:pPr>
      <w:r>
        <w:rPr>
          <w:rFonts w:ascii="Arial" w:eastAsia="Arial" w:hAnsi="Arial" w:cs="Arial"/>
          <w:color w:val="000000"/>
        </w:rPr>
        <w:t xml:space="preserve">One key concept Veracini offers is that of screen memory, which draws from psychoanalytic theories of Freud and Lacan. Screen memory, as adapted into settler colonial discourse, refers to the way settler societies construct inaccurate and selective historical narratives that obscure the realities of colonial violence (Veracini 2008). These representations do not simply reflect distorted memories; they actively </w:t>
      </w:r>
      <w:r>
        <w:rPr>
          <w:rFonts w:ascii="Arial" w:eastAsia="Arial" w:hAnsi="Arial" w:cs="Arial"/>
          <w:color w:val="000000"/>
        </w:rPr>
        <w:lastRenderedPageBreak/>
        <w:t xml:space="preserve">produce false historical consciousness that supports settler legitimacy. Thus, in the context of South Florida and this research project, screen memory helps </w:t>
      </w:r>
      <w:r w:rsidR="00CF2C48">
        <w:rPr>
          <w:rFonts w:ascii="Arial" w:eastAsia="Arial" w:hAnsi="Arial" w:cs="Arial"/>
          <w:color w:val="000000"/>
        </w:rPr>
        <w:t>highlight</w:t>
      </w:r>
      <w:r>
        <w:rPr>
          <w:rFonts w:ascii="Arial" w:eastAsia="Arial" w:hAnsi="Arial" w:cs="Arial"/>
          <w:color w:val="000000"/>
        </w:rPr>
        <w:t xml:space="preserve"> how settler-controlled visual culture is abundant and where heritage sites serve as screen memories. In this</w:t>
      </w:r>
      <w:r w:rsidR="00CF2C48">
        <w:rPr>
          <w:rFonts w:ascii="Arial" w:eastAsia="Arial" w:hAnsi="Arial" w:cs="Arial"/>
          <w:color w:val="000000"/>
        </w:rPr>
        <w:t>,</w:t>
      </w:r>
      <w:r>
        <w:rPr>
          <w:rFonts w:ascii="Arial" w:eastAsia="Arial" w:hAnsi="Arial" w:cs="Arial"/>
          <w:color w:val="000000"/>
        </w:rPr>
        <w:t xml:space="preserve"> screen memory works in displacing Indigenous histories and replacing them with sanitised or commodified narratives that sustain settler innocence and erase the foundational violence of colonisation (Veracini 2008).</w:t>
      </w:r>
    </w:p>
    <w:p w14:paraId="7764CA92" w14:textId="77777777" w:rsidR="009F0C56" w:rsidRDefault="00653842">
      <w:pPr>
        <w:spacing w:line="240" w:lineRule="auto"/>
        <w:rPr>
          <w:rFonts w:ascii="Arial" w:eastAsia="Arial" w:hAnsi="Arial" w:cs="Arial"/>
          <w:color w:val="000000"/>
        </w:rPr>
      </w:pPr>
      <w:r>
        <w:rPr>
          <w:rFonts w:ascii="Arial" w:eastAsia="Arial" w:hAnsi="Arial" w:cs="Arial"/>
          <w:color w:val="000000"/>
        </w:rPr>
        <w:t>The second theoretical tool is Veracini’s theory of the non-encounter. Veracini</w:t>
      </w:r>
      <w:r>
        <w:rPr>
          <w:rFonts w:ascii="Arial" w:eastAsia="Arial" w:hAnsi="Arial" w:cs="Arial"/>
        </w:rPr>
        <w:t>’s</w:t>
      </w:r>
      <w:r>
        <w:rPr>
          <w:rFonts w:ascii="Arial" w:eastAsia="Arial" w:hAnsi="Arial" w:cs="Arial"/>
          <w:color w:val="000000"/>
        </w:rPr>
        <w:t xml:space="preserve"> (2011) theory of non-encounter </w:t>
      </w:r>
      <w:r>
        <w:rPr>
          <w:rFonts w:ascii="Arial" w:eastAsia="Arial" w:hAnsi="Arial" w:cs="Arial"/>
        </w:rPr>
        <w:t xml:space="preserve">explores </w:t>
      </w:r>
      <w:r>
        <w:rPr>
          <w:rFonts w:ascii="Arial" w:eastAsia="Arial" w:hAnsi="Arial" w:cs="Arial"/>
          <w:color w:val="000000"/>
        </w:rPr>
        <w:t xml:space="preserve">not </w:t>
      </w:r>
      <w:r>
        <w:rPr>
          <w:rFonts w:ascii="Arial" w:eastAsia="Arial" w:hAnsi="Arial" w:cs="Arial"/>
        </w:rPr>
        <w:t xml:space="preserve">the </w:t>
      </w:r>
      <w:r>
        <w:rPr>
          <w:rFonts w:ascii="Arial" w:eastAsia="Arial" w:hAnsi="Arial" w:cs="Arial"/>
          <w:color w:val="000000"/>
        </w:rPr>
        <w:t>engagement with Indigenous peoples, but the transportation and implementation, and imposition of settler societies that seek to eliminate the need for Indigenous presence. In this, rather than encountering Indigenous nations on reciprocal or relational terms, settlers construct systems and narratives that functionally exclude them from contemporary life. This process will become particularly evident in how the Seminole and Miccosukee have been positioned as “others” within Florida’s settler imaginary during</w:t>
      </w:r>
      <w:r>
        <w:rPr>
          <w:rFonts w:ascii="Arial" w:eastAsia="Arial" w:hAnsi="Arial" w:cs="Arial"/>
          <w:color w:val="000000"/>
        </w:rPr>
        <w:t xml:space="preserve"> the empirical chapters, where they are not only excluded from the settler present but also from the very image of the “ideal Indian” that settler society has constructed. This non-encounter contributes to their symbolic marginalisation in both historical narratives and contemporary representation, reinforcing the ideological distance between Indigenous communities and settler norms (Veracini 2011).</w:t>
      </w:r>
    </w:p>
    <w:p w14:paraId="70BC3587" w14:textId="77777777" w:rsidR="009F0C56" w:rsidRDefault="00653842">
      <w:pPr>
        <w:spacing w:line="240" w:lineRule="auto"/>
        <w:rPr>
          <w:rFonts w:ascii="Arial" w:eastAsia="Arial" w:hAnsi="Arial" w:cs="Arial"/>
          <w:color w:val="000000"/>
        </w:rPr>
      </w:pPr>
      <w:r>
        <w:rPr>
          <w:rFonts w:ascii="Arial" w:eastAsia="Arial" w:hAnsi="Arial" w:cs="Arial"/>
          <w:color w:val="000000"/>
        </w:rPr>
        <w:t xml:space="preserve">The final concept this thesis utilises from Veracini, which is central to this thesis, is historylessness. In his analysis, historylessness refers to the process by which Indigenous peoples are denied historical continuity and presence within settler narratives. Here, their histories, stories, and myths are overwritten, interrupted, or excluded, and replaced with settler origin stories that begin with conquest, expansion, and industrialisation (Veracini 2007, 2008). This is evident in Miami and other parts </w:t>
      </w:r>
      <w:r>
        <w:rPr>
          <w:rFonts w:ascii="Arial" w:eastAsia="Arial" w:hAnsi="Arial" w:cs="Arial"/>
          <w:color w:val="000000"/>
        </w:rPr>
        <w:t>of South Florida, where public narratives often start with settler development, omitting the long-standing histories of the Seminole and Miccosukee as citizens of the land. As Veracini identifies, this process involves both the rhetorical erasure of Indigenous history and a simultaneous settler effort to claim historical legitimacy for themselves.  Ensuring a “rhetorical reference to lack of history coexists with a competing and equally recurring reclamation of history, and an enhanced attention to the mark</w:t>
      </w:r>
      <w:r>
        <w:rPr>
          <w:rFonts w:ascii="Arial" w:eastAsia="Arial" w:hAnsi="Arial" w:cs="Arial"/>
          <w:color w:val="000000"/>
        </w:rPr>
        <w:t>ing of a new experience” (Veracini 2007, Pg 272). This results in a paradoxical situation in which Indigenous peoples are framed as lacking history, while settlers assert their historical authority through constructed narratives of progress and modernity, which in turn diminishes Indigenous historical presence.</w:t>
      </w:r>
    </w:p>
    <w:p w14:paraId="7F5E6ADC" w14:textId="77777777" w:rsidR="009F0C56" w:rsidRDefault="00653842">
      <w:pPr>
        <w:spacing w:line="240" w:lineRule="auto"/>
        <w:rPr>
          <w:rFonts w:ascii="Arial" w:eastAsia="Arial" w:hAnsi="Arial" w:cs="Arial"/>
          <w:color w:val="000000"/>
        </w:rPr>
      </w:pPr>
      <w:r>
        <w:rPr>
          <w:rFonts w:ascii="Arial" w:eastAsia="Arial" w:hAnsi="Arial" w:cs="Arial"/>
          <w:color w:val="000000"/>
        </w:rPr>
        <w:t>Together, these three theoretical concepts of screen memory, non-encounter, and historylessness provide a robust framework for analysing how settler colonial power operates beyond material domination (Veracini 2021). Ultimately, these settler colonial theories offer tools for understanding how representations of the Seminole and Miccosukee have been manipulated to justify dispossession, obscure violence, and maintain settler authority in the present. Therefore, by applying Veracini’s theories to visual cult</w:t>
      </w:r>
      <w:r>
        <w:rPr>
          <w:rFonts w:ascii="Arial" w:eastAsia="Arial" w:hAnsi="Arial" w:cs="Arial"/>
          <w:color w:val="000000"/>
        </w:rPr>
        <w:t>ure, public memory, and settler-controlled narratives in Florida, this thesis aims to reveal how the Seminole and Miccosukee have been systematically othered, not only through land theft and legal erasure but also through the representational strategies that structure settler consciousness (Veracini 2021). Veracini’s work thus enables a deeper engagement with the subtle, often invisible operations of settler colonialism that permeate cultural, spatial, and epistemological domains.</w:t>
      </w:r>
    </w:p>
    <w:p w14:paraId="64366CA3" w14:textId="77777777" w:rsidR="009F0C56" w:rsidRDefault="00653842">
      <w:pPr>
        <w:pStyle w:val="Heading2"/>
        <w:rPr>
          <w:rFonts w:ascii="Arial" w:eastAsia="Arial" w:hAnsi="Arial" w:cs="Arial"/>
        </w:rPr>
      </w:pPr>
      <w:bookmarkStart w:id="70" w:name="_Toc240966001"/>
      <w:r>
        <w:rPr>
          <w:rFonts w:ascii="Arial" w:eastAsia="Arial" w:hAnsi="Arial" w:cs="Arial"/>
        </w:rPr>
        <w:lastRenderedPageBreak/>
        <w:t>5.3 Barker: settler colonial bricolage and the move to a romantic bricolage</w:t>
      </w:r>
      <w:bookmarkEnd w:id="70"/>
      <w:r>
        <w:rPr>
          <w:rFonts w:ascii="Arial" w:eastAsia="Arial" w:hAnsi="Arial" w:cs="Arial"/>
        </w:rPr>
        <w:t xml:space="preserve"> </w:t>
      </w:r>
    </w:p>
    <w:p w14:paraId="16F286A7" w14:textId="77777777" w:rsidR="009F0C56" w:rsidRDefault="00653842">
      <w:pPr>
        <w:spacing w:line="240" w:lineRule="auto"/>
        <w:rPr>
          <w:rFonts w:ascii="Arial" w:eastAsia="Arial" w:hAnsi="Arial" w:cs="Arial"/>
          <w:color w:val="000000"/>
        </w:rPr>
      </w:pPr>
      <w:r>
        <w:rPr>
          <w:rFonts w:ascii="Arial" w:eastAsia="Arial" w:hAnsi="Arial" w:cs="Arial"/>
          <w:color w:val="000000"/>
        </w:rPr>
        <w:t>Barker’s concept of settler colonial bricolage offers a significant advancement in settler colonial theory, playing a crucial role in this thesis's theoretical framework (Barker 2021). However, unlike Claude Lévi-Strauss’s (1967) original anthropological framework for bricolage, which emphasised the creative use of existing materials to construct new cultural forms, Barker redefines the concept to reveal the settler colonial appropriation of Indigenous culture, both materially and conceptually. In their for</w:t>
      </w:r>
      <w:r>
        <w:rPr>
          <w:rFonts w:ascii="Arial" w:eastAsia="Arial" w:hAnsi="Arial" w:cs="Arial"/>
          <w:color w:val="000000"/>
        </w:rPr>
        <w:t xml:space="preserve">mulation, bricolage is not a neutral or organic cultural process, but a colonial mechanism of erasure and dominance. </w:t>
      </w:r>
    </w:p>
    <w:p w14:paraId="71247B8C" w14:textId="03C8BC4D" w:rsidR="009F0C56" w:rsidRDefault="00653842">
      <w:pPr>
        <w:spacing w:line="240" w:lineRule="auto"/>
        <w:rPr>
          <w:rFonts w:ascii="Arial" w:eastAsia="Arial" w:hAnsi="Arial" w:cs="Arial"/>
          <w:color w:val="000000"/>
        </w:rPr>
      </w:pPr>
      <w:r>
        <w:rPr>
          <w:rFonts w:ascii="Arial" w:eastAsia="Arial" w:hAnsi="Arial" w:cs="Arial"/>
          <w:color w:val="000000"/>
        </w:rPr>
        <w:t xml:space="preserve">As Barker (2021: 108) argues, settler bricolage involves “both physical and conceptual elements. The appropriated works of art and cultural display that fill museums and private galleries are obvious, as is their use in reminding settler people of their cultural superiority and victorious condition with respect </w:t>
      </w:r>
      <w:r w:rsidR="00CF2C48">
        <w:rPr>
          <w:rFonts w:ascii="Arial" w:eastAsia="Arial" w:hAnsi="Arial" w:cs="Arial"/>
          <w:color w:val="000000"/>
        </w:rPr>
        <w:t>to</w:t>
      </w:r>
      <w:r>
        <w:rPr>
          <w:rFonts w:ascii="Arial" w:eastAsia="Arial" w:hAnsi="Arial" w:cs="Arial"/>
          <w:color w:val="000000"/>
        </w:rPr>
        <w:t xml:space="preserve"> Indigeneity”. Under this framework, settler bricolage operates to remove and dislocate Indigenous cultural materials from their original meanings and embed them within settler logics of power, property, and modernity. Therefore, by reframing Indigenous </w:t>
      </w:r>
      <w:r w:rsidR="00CF2C48">
        <w:rPr>
          <w:rFonts w:ascii="Arial" w:eastAsia="Arial" w:hAnsi="Arial" w:cs="Arial"/>
          <w:color w:val="000000"/>
        </w:rPr>
        <w:t>artefacts</w:t>
      </w:r>
      <w:r>
        <w:rPr>
          <w:rFonts w:ascii="Arial" w:eastAsia="Arial" w:hAnsi="Arial" w:cs="Arial"/>
          <w:color w:val="000000"/>
        </w:rPr>
        <w:t xml:space="preserve">, images, and performances through settler-colonial narratives, this process strips Indigenous knowledge of its spiritual, historical, and epistemological significance (Barker 2021). </w:t>
      </w:r>
    </w:p>
    <w:p w14:paraId="1FA4A39F" w14:textId="1440A3B1" w:rsidR="009F0C56" w:rsidRDefault="00653842">
      <w:pPr>
        <w:spacing w:line="240" w:lineRule="auto"/>
        <w:rPr>
          <w:rFonts w:ascii="Arial" w:eastAsia="Arial" w:hAnsi="Arial" w:cs="Arial"/>
          <w:color w:val="000000"/>
        </w:rPr>
      </w:pPr>
      <w:r>
        <w:rPr>
          <w:rFonts w:ascii="Arial" w:eastAsia="Arial" w:hAnsi="Arial" w:cs="Arial"/>
          <w:color w:val="000000"/>
        </w:rPr>
        <w:t xml:space="preserve">Leaving a curated simulacrum in the context of this research from the visual images provided, </w:t>
      </w:r>
      <w:r w:rsidR="00CF2C48">
        <w:rPr>
          <w:rFonts w:ascii="Arial" w:eastAsia="Arial" w:hAnsi="Arial" w:cs="Arial"/>
          <w:color w:val="000000"/>
        </w:rPr>
        <w:t>which</w:t>
      </w:r>
      <w:r>
        <w:rPr>
          <w:rFonts w:ascii="Arial" w:eastAsia="Arial" w:hAnsi="Arial" w:cs="Arial"/>
          <w:color w:val="000000"/>
        </w:rPr>
        <w:t xml:space="preserve"> in turn operates to serve and reinforce settler superiority</w:t>
      </w:r>
      <w:r>
        <w:rPr>
          <w:rFonts w:ascii="Arial" w:eastAsia="Arial" w:hAnsi="Arial" w:cs="Arial"/>
          <w:color w:val="000000"/>
        </w:rPr>
        <w:t xml:space="preserve"> through cultural dominance</w:t>
      </w:r>
      <w:r>
        <w:rPr>
          <w:rFonts w:ascii="Arial" w:eastAsia="Arial" w:hAnsi="Arial" w:cs="Arial"/>
          <w:color w:val="000000"/>
        </w:rPr>
        <w:t xml:space="preserve"> and the myth of inevitable progress that has been curated from settler society</w:t>
      </w:r>
      <w:r w:rsidR="00CF2C48">
        <w:rPr>
          <w:rFonts w:ascii="Arial" w:eastAsia="Arial" w:hAnsi="Arial" w:cs="Arial"/>
          <w:color w:val="000000"/>
        </w:rPr>
        <w:t>,</w:t>
      </w:r>
      <w:r>
        <w:rPr>
          <w:rFonts w:ascii="Arial" w:eastAsia="Arial" w:hAnsi="Arial" w:cs="Arial"/>
          <w:color w:val="000000"/>
        </w:rPr>
        <w:t xml:space="preserve"> as can be seen in art such as Manifest Destiny</w:t>
      </w:r>
      <w:r>
        <w:rPr>
          <w:rFonts w:ascii="Arial" w:eastAsia="Arial" w:hAnsi="Arial" w:cs="Arial"/>
          <w:color w:val="008000"/>
        </w:rPr>
        <w:t xml:space="preserve">. </w:t>
      </w:r>
      <w:r>
        <w:rPr>
          <w:rFonts w:ascii="Arial" w:eastAsia="Arial" w:hAnsi="Arial" w:cs="Arial"/>
          <w:color w:val="000000"/>
        </w:rPr>
        <w:t>In this way, settler bricolage contributes to a broader project of recontextualization that not only distorts Indigenous identity but legitimates settler claims to land, knowledge, and cultural authority (Barker 2021). This thesis builds on Barker’s framework by extending their insights into the domain of Indigenous representation, particularly as it relates to visual culture, tourism, and public memory in South Florida.</w:t>
      </w:r>
      <w:r>
        <w:rPr>
          <w:rFonts w:ascii="Arial" w:eastAsia="Arial" w:hAnsi="Arial" w:cs="Arial"/>
          <w:color w:val="008000"/>
        </w:rPr>
        <w:t xml:space="preserve"> </w:t>
      </w:r>
      <w:r>
        <w:rPr>
          <w:rFonts w:ascii="Arial" w:eastAsia="Arial" w:hAnsi="Arial" w:cs="Arial"/>
          <w:color w:val="000000"/>
        </w:rPr>
        <w:t xml:space="preserve">Here, settler bricolage is not simply an act of museum curation or gallery collection; it becomes a mode of storytelling that reshapes how the Seminole and Miccosukee are seen, understood, and positioned in the settler imagination (Barker 2021). </w:t>
      </w:r>
    </w:p>
    <w:p w14:paraId="0A25C4AF" w14:textId="0B386A1A" w:rsidR="009F0C56" w:rsidRDefault="00653842">
      <w:pPr>
        <w:spacing w:before="280" w:after="280" w:line="240" w:lineRule="auto"/>
        <w:rPr>
          <w:rFonts w:ascii="Arial" w:eastAsia="Arial" w:hAnsi="Arial" w:cs="Arial"/>
          <w:color w:val="000000"/>
        </w:rPr>
      </w:pPr>
      <w:r>
        <w:rPr>
          <w:rFonts w:ascii="Arial" w:eastAsia="Arial" w:hAnsi="Arial" w:cs="Arial"/>
        </w:rPr>
        <w:t>From this theoretical grounding, the thesis introduces a complementary concept: romantic bricolage</w:t>
      </w:r>
      <w:r>
        <w:rPr>
          <w:rFonts w:ascii="Arial" w:eastAsia="Arial" w:hAnsi="Arial" w:cs="Arial"/>
          <w:color w:val="008000"/>
        </w:rPr>
        <w:t xml:space="preserve">. </w:t>
      </w:r>
      <w:r>
        <w:rPr>
          <w:rFonts w:ascii="Arial" w:eastAsia="Arial" w:hAnsi="Arial" w:cs="Arial"/>
          <w:color w:val="000000"/>
        </w:rPr>
        <w:t xml:space="preserve">Building on Barker’s formulation, romantic bricolage emerges as a subcategory of settler bricolage and describes the process by which settler society assembles a palatable, </w:t>
      </w:r>
      <w:r w:rsidR="00CF2C48">
        <w:rPr>
          <w:rFonts w:ascii="Arial" w:eastAsia="Arial" w:hAnsi="Arial" w:cs="Arial"/>
          <w:color w:val="000000"/>
        </w:rPr>
        <w:t>aestheticised</w:t>
      </w:r>
      <w:r>
        <w:rPr>
          <w:rFonts w:ascii="Arial" w:eastAsia="Arial" w:hAnsi="Arial" w:cs="Arial"/>
          <w:color w:val="000000"/>
        </w:rPr>
        <w:t xml:space="preserve"> version of Indigeneity. This form of representation is built from selectively appropriated signifiers, feathers, beadwork, tipi motifs, and spiritual platitudes, detached from their original contexts and repurposed to satisfy settler fantasies of nostalgia, innocence, and authenticity (Barker 2021). These curated images are not neutral or benign; they erase the violent foundations of settler colonialism and replace them with consumable narratives that allow settlers to symbolically “purchase” proximity to </w:t>
      </w:r>
      <w:r>
        <w:rPr>
          <w:rFonts w:ascii="Arial" w:eastAsia="Arial" w:hAnsi="Arial" w:cs="Arial"/>
          <w:color w:val="000000"/>
        </w:rPr>
        <w:t>Indigeneity without engaging with its politics, histories, or demands for justice.</w:t>
      </w:r>
    </w:p>
    <w:p w14:paraId="65F730B5"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 xml:space="preserve">Romantic bricolage, then, performs a double erasure: it obscures the structural violence of settler colonialism by presenting Indigeneity as harmonious and depoliticised, while also displacing real, living Indigenous peoples by substituting </w:t>
      </w:r>
      <w:r>
        <w:rPr>
          <w:rFonts w:ascii="Arial" w:eastAsia="Arial" w:hAnsi="Arial" w:cs="Arial"/>
          <w:color w:val="000000"/>
        </w:rPr>
        <w:lastRenderedPageBreak/>
        <w:t>them with a symbolic “ideal Indian” who conforms to settler desires. In doing so, it facilitates settler belonging while actively denying Indigenous sovereignty and complexity.</w:t>
      </w:r>
    </w:p>
    <w:p w14:paraId="5714865D" w14:textId="77777777" w:rsidR="009F0C56" w:rsidRDefault="00653842">
      <w:pPr>
        <w:spacing w:before="280" w:after="280" w:line="240" w:lineRule="auto"/>
        <w:rPr>
          <w:rFonts w:ascii="Arial" w:eastAsia="Arial" w:hAnsi="Arial" w:cs="Arial"/>
          <w:color w:val="000000"/>
        </w:rPr>
      </w:pPr>
      <w:r>
        <w:rPr>
          <w:rFonts w:ascii="Arial" w:eastAsia="Arial" w:hAnsi="Arial" w:cs="Arial"/>
        </w:rPr>
        <w:t>Barker (2021) derived his concept of settler bricolage in the context of unmasking how settler society operates to manipulate Indigenous representations into palatable, settler-friendly objects that are devoid of and separated from authentic Indigenous signifiers. However, what happens to this concept when we use it to approach representations of the Seminole and Miccosukee in the very different context of South Florida</w:t>
      </w:r>
      <w:r>
        <w:rPr>
          <w:rFonts w:ascii="Arial" w:eastAsia="Arial" w:hAnsi="Arial" w:cs="Arial"/>
          <w:color w:val="000000"/>
        </w:rPr>
        <w:t>? Unlike Barker’s examination, which is more generalised and less location-specific, South Florida presents a highly urbanised and touristic settler space where Indigeneity is entangled not only with national settler myths but also with local economies of tourism, spectacle, and commodification. This raises conceptual questions about how romantic bricolage operates in contexts where Indigenous presence is simultaneously hyper-visible as a cultural commodity and obscured as a political reality.</w:t>
      </w:r>
    </w:p>
    <w:p w14:paraId="49738C3B" w14:textId="42A0B8DD" w:rsidR="009F0C56" w:rsidRDefault="00653842">
      <w:pPr>
        <w:spacing w:before="280" w:after="280" w:line="240" w:lineRule="auto"/>
        <w:rPr>
          <w:rFonts w:ascii="Arial" w:eastAsia="Arial" w:hAnsi="Arial" w:cs="Arial"/>
        </w:rPr>
      </w:pPr>
      <w:r>
        <w:rPr>
          <w:rFonts w:ascii="Arial" w:eastAsia="Arial" w:hAnsi="Arial" w:cs="Arial"/>
          <w:color w:val="000000"/>
        </w:rPr>
        <w:t>The remainder of this thesis engages these questions</w:t>
      </w:r>
      <w:r w:rsidR="00CF2C48">
        <w:rPr>
          <w:rFonts w:ascii="Arial" w:eastAsia="Arial" w:hAnsi="Arial" w:cs="Arial"/>
          <w:color w:val="000000"/>
        </w:rPr>
        <w:t>,</w:t>
      </w:r>
      <w:r>
        <w:rPr>
          <w:rFonts w:ascii="Arial" w:eastAsia="Arial" w:hAnsi="Arial" w:cs="Arial"/>
          <w:color w:val="000000"/>
        </w:rPr>
        <w:t xml:space="preserve"> tracing how romantic bricolage interacts with broader settler colonial structures to shape Indigenous representations in South Florida.</w:t>
      </w:r>
      <w:r>
        <w:rPr>
          <w:rFonts w:ascii="Arial" w:eastAsia="Arial" w:hAnsi="Arial" w:cs="Arial"/>
          <w:color w:val="008000"/>
        </w:rPr>
        <w:t xml:space="preserve"> </w:t>
      </w:r>
      <w:r>
        <w:rPr>
          <w:rFonts w:ascii="Arial" w:eastAsia="Arial" w:hAnsi="Arial" w:cs="Arial"/>
          <w:color w:val="000000"/>
        </w:rPr>
        <w:t>Through this lens, settler representations of the Seminole and Miccosukee can be critically understood not simply as distortions, but as calculated cultural projects designed to reinforce settler hegemony by hollowing out and repackaging Indigeneity for mass consumption in a romanticised assemblage of colonial signifiers.</w:t>
      </w:r>
    </w:p>
    <w:p w14:paraId="70D7833B" w14:textId="77777777" w:rsidR="009F0C56" w:rsidRDefault="00653842">
      <w:pPr>
        <w:pStyle w:val="Heading2"/>
        <w:rPr>
          <w:rFonts w:ascii="Arial" w:eastAsia="Arial" w:hAnsi="Arial" w:cs="Arial"/>
        </w:rPr>
      </w:pPr>
      <w:bookmarkStart w:id="71" w:name="_Toc240966002"/>
      <w:r>
        <w:rPr>
          <w:rFonts w:ascii="Arial" w:eastAsia="Arial" w:hAnsi="Arial" w:cs="Arial"/>
        </w:rPr>
        <w:t>5.4 Bruyneel: settler memory and the third space</w:t>
      </w:r>
      <w:bookmarkEnd w:id="71"/>
    </w:p>
    <w:p w14:paraId="16D2596F" w14:textId="77777777" w:rsidR="009F0C56" w:rsidRDefault="00653842">
      <w:pPr>
        <w:spacing w:line="240" w:lineRule="auto"/>
        <w:rPr>
          <w:rFonts w:ascii="Arial" w:eastAsia="Arial" w:hAnsi="Arial" w:cs="Arial"/>
          <w:color w:val="000000"/>
        </w:rPr>
      </w:pPr>
      <w:r>
        <w:rPr>
          <w:rFonts w:ascii="Arial" w:eastAsia="Arial" w:hAnsi="Arial" w:cs="Arial"/>
          <w:color w:val="000000"/>
        </w:rPr>
        <w:t>Another foundational theorist whose work is highly relevant to this thesis is Bruyneel. Like Veracini, Bruyneel’s research examines how settler colonialism operates not only through physical dispossession but also through the manipulation of symbolic and representational systems. He emphasises the importance of how signs and signifiers related to race, gender, class, and sexuality are not peripheral to the logics of settler colonialism, but deeply embedded within them. As Bruyneel argues, “race, gender, cla</w:t>
      </w:r>
      <w:r>
        <w:rPr>
          <w:rFonts w:ascii="Arial" w:eastAsia="Arial" w:hAnsi="Arial" w:cs="Arial"/>
          <w:color w:val="000000"/>
        </w:rPr>
        <w:t xml:space="preserve">ss, and sexuality are not add-ons to the place of Indigeneity and land dispossession in the structure of settler colonialism, but are fundamental components of it” (Bruyneel 2021, p. 8). Bruyneel’s framework provides a necessary intersectional perspective, showing how settler colonialism not only erases Indigenous presence through historical violence but also continually restructures it through intertwined systems of power and representation. </w:t>
      </w:r>
    </w:p>
    <w:p w14:paraId="1EBDB97D" w14:textId="77777777" w:rsidR="009F0C56" w:rsidRDefault="00653842">
      <w:pPr>
        <w:spacing w:line="240" w:lineRule="auto"/>
        <w:rPr>
          <w:rFonts w:ascii="Arial" w:eastAsia="Arial" w:hAnsi="Arial" w:cs="Arial"/>
          <w:color w:val="000000"/>
        </w:rPr>
      </w:pPr>
      <w:r>
        <w:rPr>
          <w:rFonts w:ascii="Arial" w:eastAsia="Arial" w:hAnsi="Arial" w:cs="Arial"/>
          <w:color w:val="000000"/>
        </w:rPr>
        <w:t>This thesis draws on two key theoretical contributions from Bruyneel’s work to analyse the distorted representations of the Seminole and Miccosukee in contemporary settler society. The first is his concept of settler memory, which describes how settler societies remember and invoke Indigeneity not to honour or centre Indigenous sovereignty, but to contain it within settler narratives. In this settler memory structure, Indigenous presence is acknowledged only in ways that affirm settler identity and ownershi</w:t>
      </w:r>
      <w:r>
        <w:rPr>
          <w:rFonts w:ascii="Arial" w:eastAsia="Arial" w:hAnsi="Arial" w:cs="Arial"/>
          <w:color w:val="000000"/>
        </w:rPr>
        <w:t xml:space="preserve">p of land and history (Bruyneel 2021). </w:t>
      </w:r>
    </w:p>
    <w:p w14:paraId="6F81B2CB" w14:textId="77777777" w:rsidR="009F0C56" w:rsidRDefault="00653842">
      <w:pPr>
        <w:spacing w:line="240" w:lineRule="auto"/>
        <w:rPr>
          <w:rFonts w:ascii="Arial" w:eastAsia="Arial" w:hAnsi="Arial" w:cs="Arial"/>
          <w:color w:val="000000"/>
        </w:rPr>
      </w:pPr>
      <w:r>
        <w:rPr>
          <w:rFonts w:ascii="Arial" w:eastAsia="Arial" w:hAnsi="Arial" w:cs="Arial"/>
          <w:color w:val="000000"/>
        </w:rPr>
        <w:t xml:space="preserve">As a result, settler memory allows for the symbolic inclusion of Indigenous references through sports mascots, military equipment, political rhetoric, and commercial products, while simultaneously erasing the actual political and legal </w:t>
      </w:r>
      <w:r>
        <w:rPr>
          <w:rFonts w:ascii="Arial" w:eastAsia="Arial" w:hAnsi="Arial" w:cs="Arial"/>
          <w:color w:val="000000"/>
        </w:rPr>
        <w:lastRenderedPageBreak/>
        <w:t xml:space="preserve">presence of Indigenous nations. Bruyneel’s theory of settler memory is particularly useful in examining how Indigeneity is filtered into U.S. racial and cultural discourse in ways that render Indigenous peoples invisible as contemporary actors (Bruyneel 2021). In this, I will use this approach to explore these questions through my analysis chapters, through the photos taken during the field research. </w:t>
      </w:r>
    </w:p>
    <w:p w14:paraId="5DB51366" w14:textId="77777777" w:rsidR="009F0C56" w:rsidRDefault="00653842">
      <w:pPr>
        <w:spacing w:line="240" w:lineRule="auto"/>
        <w:rPr>
          <w:rFonts w:ascii="Arial" w:eastAsia="Arial" w:hAnsi="Arial" w:cs="Arial"/>
          <w:color w:val="000000"/>
        </w:rPr>
      </w:pPr>
      <w:r>
        <w:rPr>
          <w:rFonts w:ascii="Arial" w:eastAsia="Arial" w:hAnsi="Arial" w:cs="Arial"/>
          <w:color w:val="000000"/>
        </w:rPr>
        <w:t>Bruyneel shows how traces of the Indigenous figure persist in American media, myths, and public memory, but only as a flattened signifier within the settler national story. In this, these settler colonial representations function to obscure the political reality of Indigenous sovereignty, rather than embedding Indigenous identity into the settler state’s narrative of progress, modernity, and multicultural inclusion. Furthermore, settler colonial whitewashing does not occur through overt coercion but through</w:t>
      </w:r>
      <w:r>
        <w:rPr>
          <w:rFonts w:ascii="Arial" w:eastAsia="Arial" w:hAnsi="Arial" w:cs="Arial"/>
          <w:color w:val="000000"/>
        </w:rPr>
        <w:t xml:space="preserve"> cultural and visual absorption, as Bruyneel identifies in the naming of football teams, the symbolic use of Apache helicopters, and settler politicians' false claims to Indigenous ancestry (Bruyneel 2021). </w:t>
      </w:r>
    </w:p>
    <w:p w14:paraId="06B6216D" w14:textId="7B9C2C17" w:rsidR="009F0C56" w:rsidRDefault="00653842">
      <w:pPr>
        <w:spacing w:line="240" w:lineRule="auto"/>
        <w:rPr>
          <w:rFonts w:ascii="Quattrocento Sans" w:eastAsia="Quattrocento Sans" w:hAnsi="Quattrocento Sans" w:cs="Quattrocento Sans"/>
          <w:color w:val="000000"/>
          <w:sz w:val="18"/>
          <w:szCs w:val="18"/>
        </w:rPr>
      </w:pPr>
      <w:r>
        <w:rPr>
          <w:rFonts w:ascii="Arial" w:eastAsia="Arial" w:hAnsi="Arial" w:cs="Arial"/>
          <w:color w:val="000000"/>
        </w:rPr>
        <w:t>This thesis applies Bruyneel’s concept of settler memory to the visual and symbolic landscape of settler South Florida, using the theory to interrogate how representations of the Seminole and Miccosukee have been transformed into the cultural and spatial imagination of South Florida in ways that affirm settler dominance while diminishing Indigenous presence. Through actions like tourism, architecture, branding, public art, and heritage institutions, settler memory constructs a version of Indigeneity that is</w:t>
      </w:r>
      <w:r>
        <w:rPr>
          <w:rFonts w:ascii="Arial" w:eastAsia="Arial" w:hAnsi="Arial" w:cs="Arial"/>
          <w:color w:val="000000"/>
        </w:rPr>
        <w:t xml:space="preserve"> both ever-present </w:t>
      </w:r>
      <w:r w:rsidR="00CF2C48">
        <w:rPr>
          <w:rFonts w:ascii="Arial" w:eastAsia="Arial" w:hAnsi="Arial" w:cs="Arial"/>
          <w:color w:val="000000"/>
        </w:rPr>
        <w:t>and</w:t>
      </w:r>
      <w:r>
        <w:rPr>
          <w:rFonts w:ascii="Arial" w:eastAsia="Arial" w:hAnsi="Arial" w:cs="Arial"/>
          <w:color w:val="000000"/>
        </w:rPr>
        <w:t xml:space="preserve"> completely depoliticised as a visible symbol, erasing Indigenous sovereignty.</w:t>
      </w:r>
      <w:r>
        <w:rPr>
          <w:rFonts w:ascii="Quattrocento Sans" w:eastAsia="Quattrocento Sans" w:hAnsi="Quattrocento Sans" w:cs="Quattrocento Sans"/>
          <w:color w:val="000000"/>
          <w:sz w:val="18"/>
          <w:szCs w:val="18"/>
        </w:rPr>
        <w:t xml:space="preserve"> </w:t>
      </w:r>
      <w:r>
        <w:rPr>
          <w:rFonts w:ascii="Arial" w:eastAsia="Arial" w:hAnsi="Arial" w:cs="Arial"/>
          <w:color w:val="000000"/>
        </w:rPr>
        <w:t>Therefore, I will use this theoretical concept to explore how settler colonialism is embedded in the aesthetic and ideological routines of everyday settler life.</w:t>
      </w:r>
    </w:p>
    <w:p w14:paraId="142CFF42" w14:textId="77777777" w:rsidR="009F0C56" w:rsidRDefault="00653842">
      <w:pPr>
        <w:spacing w:line="240" w:lineRule="auto"/>
        <w:rPr>
          <w:rFonts w:ascii="Arial" w:eastAsia="Arial" w:hAnsi="Arial" w:cs="Arial"/>
          <w:color w:val="000000"/>
        </w:rPr>
      </w:pPr>
      <w:r>
        <w:rPr>
          <w:rFonts w:ascii="Arial" w:eastAsia="Arial" w:hAnsi="Arial" w:cs="Arial"/>
          <w:color w:val="000000"/>
        </w:rPr>
        <w:t>In this work, I will apply the theoretical concept to investigate how settler colonialism is applied and ingrained in the aesthetic and ideological routines of daily life. This will be done through Bruyneel’s framework within a regional context where visual culture and memory are key to constructing settler identity. The thesis, therefore, extends his insights by analysing how settler memory functions spatially and visually, focusing on the built environment and consumer culture. This strategy helps uncover</w:t>
      </w:r>
      <w:r>
        <w:rPr>
          <w:rFonts w:ascii="Arial" w:eastAsia="Arial" w:hAnsi="Arial" w:cs="Arial"/>
          <w:color w:val="000000"/>
        </w:rPr>
        <w:t xml:space="preserve"> how settler tactics position Indigeneity as a background motif in American history, rather than a living, sovereign force. Therefore, by examining the Seminole and Miccosukee within this framework, the thesis demonstrates that settler memory involves not just forgetting but also strategic remembering of Indigeneity, which reshapes colonial violence as heritage and Indigenous identity as cultural ornament.</w:t>
      </w:r>
    </w:p>
    <w:p w14:paraId="1D494458" w14:textId="77777777" w:rsidR="009F0C56" w:rsidRDefault="00653842">
      <w:pPr>
        <w:spacing w:line="240" w:lineRule="auto"/>
        <w:rPr>
          <w:rFonts w:ascii="Arial" w:eastAsia="Arial" w:hAnsi="Arial" w:cs="Arial"/>
          <w:color w:val="000000"/>
        </w:rPr>
      </w:pPr>
      <w:r>
        <w:rPr>
          <w:rFonts w:ascii="Arial" w:eastAsia="Arial" w:hAnsi="Arial" w:cs="Arial"/>
          <w:color w:val="000000"/>
        </w:rPr>
        <w:t>Another key theoretical concept that informs this thesis, introduced by Bruyneel, is the idea of third space sovereignty. This concept challenges the binary logic used by the U.S. political system to define Indigenous identity and sovereignty as either fully within or entirely outside of American law and culture. Instead, third space sovereignty exists at the margins of this binary, representing a contested and liminal space where Indigenous nations assert their sovereignty on their terms, both within and b</w:t>
      </w:r>
      <w:r>
        <w:rPr>
          <w:rFonts w:ascii="Arial" w:eastAsia="Arial" w:hAnsi="Arial" w:cs="Arial"/>
          <w:color w:val="000000"/>
        </w:rPr>
        <w:t>eyond the boundaries of settler law and culture (Bruyneel 2007). In settler colonial discourse, Indigenous identity, land, and governance are often narrowly defined. Here, Indigenous peoples are portrayed as either assimilated citizens or as external, primitive others outside of modern politics. This binary logic tries to contain and control Indigenous sovereignty within categories that are understandable to settler governance (Bruyneel 2007).</w:t>
      </w:r>
    </w:p>
    <w:p w14:paraId="1ECFB4BE" w14:textId="3E268ADA" w:rsidR="009F0C56" w:rsidRDefault="00653842">
      <w:pPr>
        <w:spacing w:before="280" w:after="280" w:line="240" w:lineRule="auto"/>
        <w:rPr>
          <w:rFonts w:ascii="Arial" w:eastAsia="Arial" w:hAnsi="Arial" w:cs="Arial"/>
          <w:color w:val="000000"/>
        </w:rPr>
      </w:pPr>
      <w:r>
        <w:rPr>
          <w:rFonts w:ascii="Arial" w:eastAsia="Arial" w:hAnsi="Arial" w:cs="Arial"/>
        </w:rPr>
        <w:lastRenderedPageBreak/>
        <w:t xml:space="preserve">However, as Bruyneel argues, Indigenous peoples continually resist this containment, creating spaces, both physical and symbolic, where sovereignty is </w:t>
      </w:r>
      <w:r w:rsidR="00CF2C48">
        <w:rPr>
          <w:rFonts w:ascii="Arial" w:eastAsia="Arial" w:hAnsi="Arial" w:cs="Arial"/>
        </w:rPr>
        <w:t>practised</w:t>
      </w:r>
      <w:r>
        <w:rPr>
          <w:rFonts w:ascii="Arial" w:eastAsia="Arial" w:hAnsi="Arial" w:cs="Arial"/>
        </w:rPr>
        <w:t xml:space="preserve"> in ways that escape state recognition and challenge settler definitions (Bruyneel 2007). This thesis draws on the concept of third space sovereignty to frame how the Seminole and Miccosukee resist the representational and material constraints imposed by settler society. In this sense, their political and cultural practices occupy a “third space,” asserting continuity, presence, and self-determination despite the settler state’s attempts to fix Indigenous identity in the past </w:t>
      </w:r>
      <w:r>
        <w:rPr>
          <w:rFonts w:ascii="Arial" w:eastAsia="Arial" w:hAnsi="Arial" w:cs="Arial"/>
          <w:color w:val="000000"/>
        </w:rPr>
        <w:t>or limit its expression to federal recognition frameworks.</w:t>
      </w:r>
    </w:p>
    <w:p w14:paraId="2155AF86" w14:textId="77777777" w:rsidR="009F0C56" w:rsidRDefault="00653842">
      <w:pPr>
        <w:spacing w:before="280" w:after="280" w:line="240" w:lineRule="auto"/>
        <w:rPr>
          <w:rFonts w:ascii="Arial" w:eastAsia="Arial" w:hAnsi="Arial" w:cs="Arial"/>
        </w:rPr>
      </w:pPr>
      <w:r>
        <w:rPr>
          <w:rFonts w:ascii="Arial" w:eastAsia="Arial" w:hAnsi="Arial" w:cs="Arial"/>
          <w:color w:val="000000"/>
        </w:rPr>
        <w:t xml:space="preserve">At the same time, it is important to note the limits of this thesis’s approach. Because the main focus lies on </w:t>
      </w:r>
      <w:r>
        <w:rPr>
          <w:rFonts w:ascii="Arial" w:eastAsia="Arial" w:hAnsi="Arial" w:cs="Arial"/>
        </w:rPr>
        <w:t>settler representations, this study does not claim to provide a full account of Seminole and Miccosukee resistance on their own terms. Instead, it examines how settler frameworks seek to contain Indigenous agency and how Bruyneel’s notion of third space sovereignty makes these dynamics visible (Bruyneel 2007). In the context of Florida, settler narratives frequently confine Indigeneity to controlled heritage spaces, tourist zones, museums, and stereotypical performances, denying Seminole and Miccosukee comm</w:t>
      </w:r>
      <w:r>
        <w:rPr>
          <w:rFonts w:ascii="Arial" w:eastAsia="Arial" w:hAnsi="Arial" w:cs="Arial"/>
        </w:rPr>
        <w:t>unities’ recognition as dynamic, sovereign actors in the present.</w:t>
      </w:r>
    </w:p>
    <w:p w14:paraId="6F3B5AA1"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 xml:space="preserve">Within this third space, sovereignty does not disappear but is redefined. It becomes a site of resistance where Indigenous nations reclaim agency and articulate forms of governance, identity, and cultural continuity outside of settler validation. Bruyneel’s (2021) framework, therefore, highlights how settler colonialism constructs rigid boundaries that define where and how Indigeneity can exist, positioning Indigenous peoples as permanently peripheral to the settler nation-state. At the same time, it draws </w:t>
      </w:r>
      <w:r>
        <w:rPr>
          <w:rFonts w:ascii="Arial" w:eastAsia="Arial" w:hAnsi="Arial" w:cs="Arial"/>
          <w:color w:val="000000"/>
        </w:rPr>
        <w:t>attention to Indigenous practices of survival, continuity, and resurgence that challenge those boundaries from within and without.</w:t>
      </w:r>
    </w:p>
    <w:p w14:paraId="5310C01C"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In this way, third space sovereignty functions in this thesis less as a direct ethnographic account of Indigenous resistance and more as an analytic lens: a way of understanding how settler colonialism works to restrict Indigenous agency and how those restrictions are unsettled by Indigenous presence. Both of Bruyneel’s theoretical positions, settler memory and third space sovereignty, therefore, aid in examining how settler society constructs “the Indian” as a representational object, a process that ontolo</w:t>
      </w:r>
      <w:r>
        <w:rPr>
          <w:rFonts w:ascii="Arial" w:eastAsia="Arial" w:hAnsi="Arial" w:cs="Arial"/>
          <w:color w:val="000000"/>
        </w:rPr>
        <w:t>gically and structurally undermines Indigenous capacity to represent themselves in the public sphere (Bruyneel 2007).</w:t>
      </w:r>
    </w:p>
    <w:p w14:paraId="44A6C21F" w14:textId="77777777" w:rsidR="009F0C56" w:rsidRDefault="00653842">
      <w:pPr>
        <w:keepNext/>
        <w:keepLines/>
        <w:spacing w:before="160" w:after="80" w:line="276" w:lineRule="auto"/>
        <w:rPr>
          <w:rFonts w:ascii="Arial" w:eastAsia="Arial" w:hAnsi="Arial" w:cs="Arial"/>
          <w:color w:val="0F4761"/>
          <w:sz w:val="32"/>
          <w:szCs w:val="32"/>
        </w:rPr>
      </w:pPr>
      <w:r>
        <w:rPr>
          <w:rFonts w:ascii="Arial" w:eastAsia="Arial" w:hAnsi="Arial" w:cs="Arial"/>
          <w:color w:val="0F4761"/>
          <w:sz w:val="32"/>
          <w:szCs w:val="32"/>
        </w:rPr>
        <w:t xml:space="preserve">5.5 Indigenous geographies as a counter to Western colonial hierarchies </w:t>
      </w:r>
    </w:p>
    <w:p w14:paraId="4C71F1D5" w14:textId="77777777" w:rsidR="009F0C56" w:rsidRDefault="00653842">
      <w:pPr>
        <w:spacing w:line="276" w:lineRule="auto"/>
        <w:rPr>
          <w:rFonts w:ascii="Arial" w:eastAsia="Arial" w:hAnsi="Arial" w:cs="Arial"/>
          <w:color w:val="000000"/>
        </w:rPr>
      </w:pPr>
      <w:r>
        <w:rPr>
          <w:rFonts w:ascii="Arial" w:eastAsia="Arial" w:hAnsi="Arial" w:cs="Arial"/>
        </w:rPr>
        <w:t>As previously detailed, the second major theoretical positioning of this thesis is that of Indigenous geographies. Indigenous geographies as a field have gained prominence since the 1990s, with authors like Vine Deloria. Deloria, a member of the Standing Rock Sioux Tribe, was an Indigenous philosopher who will be noted as a founding member in the movement of Indigenous philosophies as active ontologies and epistemologies that help in challenging the colonial status quo. Upon his death as a famed academic, n</w:t>
      </w:r>
      <w:r>
        <w:rPr>
          <w:rFonts w:ascii="Arial" w:eastAsia="Arial" w:hAnsi="Arial" w:cs="Arial"/>
        </w:rPr>
        <w:t xml:space="preserve">ews channels like NBC used quotes like “star of the American Indian renaissance dies” (NBC </w:t>
      </w:r>
      <w:r>
        <w:rPr>
          <w:rFonts w:ascii="Arial" w:eastAsia="Arial" w:hAnsi="Arial" w:cs="Arial"/>
          <w:color w:val="000000"/>
        </w:rPr>
        <w:t xml:space="preserve">2005). However, Deloria’s (2023) influence </w:t>
      </w:r>
      <w:r>
        <w:rPr>
          <w:rFonts w:ascii="Arial" w:eastAsia="Arial" w:hAnsi="Arial" w:cs="Arial"/>
          <w:color w:val="000000"/>
        </w:rPr>
        <w:lastRenderedPageBreak/>
        <w:t>is still seen today, with authors such as Daigle, Smiles, and Aldred furthering the field and highlighting how settler colonial power structures still disavow Indigenous presence as contemporary independent actors.</w:t>
      </w:r>
    </w:p>
    <w:p w14:paraId="4A5758A9" w14:textId="624DA8FE" w:rsidR="009F0C56" w:rsidRDefault="00653842">
      <w:pPr>
        <w:spacing w:line="276" w:lineRule="auto"/>
        <w:rPr>
          <w:rFonts w:ascii="Arial" w:eastAsia="Arial" w:hAnsi="Arial" w:cs="Arial"/>
        </w:rPr>
      </w:pPr>
      <w:r>
        <w:rPr>
          <w:rFonts w:ascii="Arial" w:eastAsia="Arial" w:hAnsi="Arial" w:cs="Arial"/>
        </w:rPr>
        <w:t>The importance of Deloria’s work cannot be overstated in this thesis; at the core of Deloria's books, like God Is Red (2023) and the Metaphysics of Modern Existence (2012), Deloria draws attention to how Indigeneity and “Indian traditions were discredited by definition. Evolutionary interpretations of the experiences of our species viewed tribal peoples as a more primitive stage of social development than the industrial cultures of the West because these peoples lacked mechanical technology. So, the questio</w:t>
      </w:r>
      <w:r>
        <w:rPr>
          <w:rFonts w:ascii="Arial" w:eastAsia="Arial" w:hAnsi="Arial" w:cs="Arial"/>
        </w:rPr>
        <w:t>n of validity of knowledge contained in the Indian traditions was eliminated before any discussions of reality began” (Deloria 2012, Pg</w:t>
      </w:r>
      <w:r w:rsidR="00CF2C48">
        <w:rPr>
          <w:rFonts w:ascii="Arial" w:eastAsia="Arial" w:hAnsi="Arial" w:cs="Arial"/>
        </w:rPr>
        <w:t xml:space="preserve">. </w:t>
      </w:r>
      <w:r>
        <w:rPr>
          <w:rFonts w:ascii="Arial" w:eastAsia="Arial" w:hAnsi="Arial" w:cs="Arial"/>
        </w:rPr>
        <w:t xml:space="preserve">2). These sentences from the latter book embody Deloria’s work in dissecting how Western imperial US society attacks the core of Indigenous realities </w:t>
      </w:r>
      <w:r w:rsidR="00CF2C48">
        <w:rPr>
          <w:rFonts w:ascii="Arial" w:eastAsia="Arial" w:hAnsi="Arial" w:cs="Arial"/>
        </w:rPr>
        <w:t>by</w:t>
      </w:r>
      <w:r>
        <w:rPr>
          <w:rFonts w:ascii="Arial" w:eastAsia="Arial" w:hAnsi="Arial" w:cs="Arial"/>
        </w:rPr>
        <w:t xml:space="preserve"> discrediting their histories, philosophies, beliefs, cultures, and personhoods as less than in all comparisons to white settler society.</w:t>
      </w:r>
    </w:p>
    <w:p w14:paraId="13F134E6" w14:textId="34959E6E" w:rsidR="009F0C56" w:rsidRDefault="00653842">
      <w:pPr>
        <w:spacing w:line="276" w:lineRule="auto"/>
        <w:rPr>
          <w:rFonts w:ascii="Arial" w:eastAsia="Arial" w:hAnsi="Arial" w:cs="Arial"/>
          <w:color w:val="000000"/>
        </w:rPr>
      </w:pPr>
      <w:r>
        <w:rPr>
          <w:rFonts w:ascii="Arial" w:eastAsia="Arial" w:hAnsi="Arial" w:cs="Arial"/>
          <w:color w:val="000000"/>
        </w:rPr>
        <w:t xml:space="preserve">In this, Deloria’s (2023) work began a turning point in Indigenous studies, flipping the colonial script of academia that othered Indigenous peoples to peripheral aspects of society, to being engaged with as actual core members who hold important ontological and epistemological importance. This legacy has not dwindled in the coming years, </w:t>
      </w:r>
      <w:r w:rsidR="00CF2C48">
        <w:rPr>
          <w:rFonts w:ascii="Arial" w:eastAsia="Arial" w:hAnsi="Arial" w:cs="Arial"/>
          <w:color w:val="000000"/>
        </w:rPr>
        <w:t>with</w:t>
      </w:r>
      <w:r>
        <w:rPr>
          <w:rFonts w:ascii="Arial" w:eastAsia="Arial" w:hAnsi="Arial" w:cs="Arial"/>
          <w:color w:val="000000"/>
        </w:rPr>
        <w:t xml:space="preserve"> early authors like V.F. Cordova (2007), Anne Waters (2013), and many more who furthered the analysis of how colonial society legalises and normalises attacks on Indigenous society. </w:t>
      </w:r>
      <w:r w:rsidR="00CF2C48">
        <w:rPr>
          <w:rFonts w:ascii="Arial" w:eastAsia="Arial" w:hAnsi="Arial" w:cs="Arial"/>
          <w:color w:val="000000"/>
        </w:rPr>
        <w:t>More</w:t>
      </w:r>
      <w:r>
        <w:rPr>
          <w:rFonts w:ascii="Arial" w:eastAsia="Arial" w:hAnsi="Arial" w:cs="Arial"/>
          <w:color w:val="000000"/>
        </w:rPr>
        <w:t xml:space="preserve"> recent authors like Michelle Daigle (2025), Niiyokamigaabaw Deondre Smiles (2022), and others </w:t>
      </w:r>
      <w:r>
        <w:rPr>
          <w:rFonts w:ascii="Arial" w:eastAsia="Arial" w:hAnsi="Arial" w:cs="Arial"/>
          <w:color w:val="000000"/>
        </w:rPr>
        <w:t xml:space="preserve">are further bringing attention to the nefarious patterns and ways settler colonial society attacks and reduces Indigeneity to an assemblage of signifiers that hold no power in resistance. In this section, the following section will highlight key theoretical positions that have been heavily drawn on throughout the thesis from Indigenous geographers. </w:t>
      </w:r>
    </w:p>
    <w:p w14:paraId="27870571" w14:textId="77777777" w:rsidR="009F0C56" w:rsidRDefault="00653842">
      <w:pPr>
        <w:pStyle w:val="Heading2"/>
        <w:rPr>
          <w:rFonts w:ascii="Arial" w:eastAsia="Arial" w:hAnsi="Arial" w:cs="Arial"/>
        </w:rPr>
      </w:pPr>
      <w:bookmarkStart w:id="72" w:name="_Toc240966003"/>
      <w:r>
        <w:rPr>
          <w:rFonts w:ascii="Arial" w:eastAsia="Arial" w:hAnsi="Arial" w:cs="Arial"/>
        </w:rPr>
        <w:t>5.6 Aldred: Plastic Shamans</w:t>
      </w:r>
      <w:bookmarkEnd w:id="72"/>
    </w:p>
    <w:p w14:paraId="01E88823" w14:textId="77777777" w:rsidR="009F0C56" w:rsidRDefault="00653842">
      <w:pPr>
        <w:spacing w:line="276" w:lineRule="auto"/>
        <w:rPr>
          <w:rFonts w:ascii="Arial" w:eastAsia="Arial" w:hAnsi="Arial" w:cs="Arial"/>
        </w:rPr>
      </w:pPr>
      <w:r>
        <w:rPr>
          <w:rFonts w:ascii="Arial" w:eastAsia="Arial" w:hAnsi="Arial" w:cs="Arial"/>
        </w:rPr>
        <w:t>Plastic Shamans is a theoretical and analytical tool constructed by Aldred to explore the commercialisation of Indigenous goods onto the white settler market and how this commercialisation strips Indigenous items of their authenticity (Aldred 2000). Aldred, in this theoretical positioning, begins to deconstruct how</w:t>
      </w:r>
      <w:r>
        <w:rPr>
          <w:rFonts w:ascii="Arial" w:eastAsia="Arial" w:hAnsi="Arial" w:cs="Arial"/>
          <w:color w:val="000000"/>
        </w:rPr>
        <w:t xml:space="preserve"> white-liberal society reduces Indigenous items to a collection of colonial signifiers devoid of any real meaning. </w:t>
      </w:r>
    </w:p>
    <w:p w14:paraId="50BB5026" w14:textId="17A01E81" w:rsidR="009F0C56" w:rsidRDefault="00653842">
      <w:pPr>
        <w:spacing w:line="276" w:lineRule="auto"/>
        <w:rPr>
          <w:rFonts w:ascii="Arial" w:eastAsia="Arial" w:hAnsi="Arial" w:cs="Arial"/>
          <w:color w:val="000000"/>
        </w:rPr>
      </w:pPr>
      <w:r>
        <w:rPr>
          <w:rFonts w:ascii="Arial" w:eastAsia="Arial" w:hAnsi="Arial" w:cs="Arial"/>
          <w:color w:val="000000"/>
        </w:rPr>
        <w:t>Aldred, in their essay ‘</w:t>
      </w:r>
      <w:r>
        <w:rPr>
          <w:rFonts w:ascii="Arial" w:eastAsia="Arial" w:hAnsi="Arial" w:cs="Arial"/>
          <w:i/>
          <w:iCs/>
          <w:color w:val="000000"/>
        </w:rPr>
        <w:t>Plastic Shamans and Astroturf Sun Dances’</w:t>
      </w:r>
      <w:r>
        <w:rPr>
          <w:rFonts w:ascii="Arial" w:eastAsia="Arial" w:hAnsi="Arial" w:cs="Arial"/>
          <w:color w:val="000000"/>
        </w:rPr>
        <w:t xml:space="preserve"> (2000)</w:t>
      </w:r>
      <w:r w:rsidR="00CF2C48">
        <w:rPr>
          <w:rFonts w:ascii="Arial" w:eastAsia="Arial" w:hAnsi="Arial" w:cs="Arial"/>
          <w:color w:val="000000"/>
        </w:rPr>
        <w:t>,</w:t>
      </w:r>
      <w:r>
        <w:rPr>
          <w:rFonts w:ascii="Arial" w:eastAsia="Arial" w:hAnsi="Arial" w:cs="Arial"/>
          <w:color w:val="000000"/>
        </w:rPr>
        <w:t xml:space="preserve"> begins the analysis of how settler society constructs a façade of Indigeneity that appeals to the white liberal ‘hippie’, through the assemblage of Indigenous items into settler-built Indigenous representations. That then can be purchased from the settlers, which in turn cements to white settler society what Indigeneity is. In essence, Aldred’s work aids in the understanding of settlers’ ability to purchase their way into Indigeneity. </w:t>
      </w:r>
      <w:r>
        <w:rPr>
          <w:rFonts w:ascii="Arial" w:eastAsia="Arial" w:hAnsi="Arial" w:cs="Arial"/>
          <w:color w:val="000000"/>
        </w:rPr>
        <w:lastRenderedPageBreak/>
        <w:t xml:space="preserve">Through the purchasing of items that have been curated in the settler's </w:t>
      </w:r>
      <w:r>
        <w:rPr>
          <w:rFonts w:ascii="Arial" w:eastAsia="Arial" w:hAnsi="Arial" w:cs="Arial"/>
          <w:color w:val="000000"/>
        </w:rPr>
        <w:t xml:space="preserve">consciousness with visual cues of what Indigeneity is to be. </w:t>
      </w:r>
    </w:p>
    <w:p w14:paraId="3CFEACCE" w14:textId="77777777" w:rsidR="009F0C56" w:rsidRDefault="00653842">
      <w:pPr>
        <w:spacing w:line="276" w:lineRule="auto"/>
        <w:rPr>
          <w:rFonts w:ascii="Arial" w:eastAsia="Arial" w:hAnsi="Arial" w:cs="Arial"/>
          <w:color w:val="000000"/>
        </w:rPr>
      </w:pPr>
      <w:r>
        <w:rPr>
          <w:rFonts w:ascii="Arial" w:eastAsia="Arial" w:hAnsi="Arial" w:cs="Arial"/>
          <w:color w:val="000000"/>
        </w:rPr>
        <w:t>In this, Aldred’s analysis works in displaying how settler society works in erasing traditional Indigenous meaning within the item, leaving it in name only. To empty the item of its original meanings and rebrand it for settlers' ease and comfort, which distances Indigenous communities from their cultural basis, ultimately attacks the epistemological foundation of these items. Leaving the original Indigenous item as an empty epistemological husk, that has been colonised by settlers into an assemblage of what</w:t>
      </w:r>
      <w:r>
        <w:rPr>
          <w:rFonts w:ascii="Arial" w:eastAsia="Arial" w:hAnsi="Arial" w:cs="Arial"/>
          <w:color w:val="000000"/>
        </w:rPr>
        <w:t xml:space="preserve"> Indigeneity should be. This ultimately works to remove authentic Indigenous representations from settler life that could have challenged the settler colonial hegemonic state (Aldred 2000).</w:t>
      </w:r>
    </w:p>
    <w:p w14:paraId="11383401" w14:textId="77777777" w:rsidR="009F0C56" w:rsidRDefault="00653842">
      <w:pPr>
        <w:spacing w:line="276" w:lineRule="auto"/>
        <w:rPr>
          <w:rFonts w:ascii="Arial" w:eastAsia="Arial" w:hAnsi="Arial" w:cs="Arial"/>
          <w:color w:val="000000"/>
        </w:rPr>
      </w:pPr>
      <w:r>
        <w:rPr>
          <w:rFonts w:ascii="Arial" w:eastAsia="Arial" w:hAnsi="Arial" w:cs="Arial"/>
          <w:color w:val="000000"/>
        </w:rPr>
        <w:t>Through this, Aldred becomes integral in the theoretical positioning of this thesis as their work highlights the process of commodifying Indigenous goods from settler society to appease the settlers' demand for spiritual enlightenment and sense of belonging. In this, Aldred's analysis will help analyse themes common in this thesis, such as dreamcatchers, statues, and books, in exploring how these settler authored representations don’t just allude to a reference of Indigeneity; they reframe it within a settl</w:t>
      </w:r>
      <w:r>
        <w:rPr>
          <w:rFonts w:ascii="Arial" w:eastAsia="Arial" w:hAnsi="Arial" w:cs="Arial"/>
          <w:color w:val="000000"/>
        </w:rPr>
        <w:t xml:space="preserve">er-friendly mythology that narrates the “disappearance” of Indigenous peoples into the background of history (Aldred 2000). </w:t>
      </w:r>
    </w:p>
    <w:p w14:paraId="342FC3AF" w14:textId="77777777" w:rsidR="009F0C56" w:rsidRDefault="00653842">
      <w:pPr>
        <w:pStyle w:val="Heading2"/>
        <w:rPr>
          <w:rFonts w:ascii="Arial" w:eastAsia="Arial" w:hAnsi="Arial" w:cs="Arial"/>
        </w:rPr>
      </w:pPr>
      <w:bookmarkStart w:id="73" w:name="_Toc240966004"/>
      <w:r>
        <w:rPr>
          <w:rFonts w:ascii="Arial" w:eastAsia="Arial" w:hAnsi="Arial" w:cs="Arial"/>
        </w:rPr>
        <w:t>5.7 Lightfoot: Selective endorsement</w:t>
      </w:r>
      <w:bookmarkEnd w:id="73"/>
      <w:r>
        <w:rPr>
          <w:rFonts w:ascii="Arial" w:eastAsia="Arial" w:hAnsi="Arial" w:cs="Arial"/>
        </w:rPr>
        <w:t xml:space="preserve"> </w:t>
      </w:r>
    </w:p>
    <w:p w14:paraId="2772E8B1" w14:textId="77777777" w:rsidR="009F0C56" w:rsidRDefault="00653842">
      <w:pPr>
        <w:spacing w:line="240" w:lineRule="auto"/>
        <w:rPr>
          <w:rFonts w:ascii="Arial" w:eastAsia="Arial" w:hAnsi="Arial" w:cs="Arial"/>
          <w:color w:val="000000"/>
        </w:rPr>
      </w:pPr>
      <w:r>
        <w:rPr>
          <w:rFonts w:ascii="Arial" w:eastAsia="Arial" w:hAnsi="Arial" w:cs="Arial"/>
          <w:color w:val="000000"/>
        </w:rPr>
        <w:t>This line of thought aligns with Lightfoot’s (2012) theory of selective endorsement, a process whereby settler societies selectively adopt or recognise elements of Indigeneity that align with their own political, cultural, and economic frameworks, particularly those consistent with neoliberal multiculturalism. Under this logic, Indigenous rights and identities are acknowledged only insofar as they do not disrupt or challenge the sovereignty of the settler state.</w:t>
      </w:r>
    </w:p>
    <w:p w14:paraId="7E559927" w14:textId="77777777" w:rsidR="009F0C56" w:rsidRDefault="00653842">
      <w:pPr>
        <w:spacing w:line="240" w:lineRule="auto"/>
        <w:rPr>
          <w:rFonts w:ascii="Arial" w:eastAsia="Arial" w:hAnsi="Arial" w:cs="Arial"/>
          <w:color w:val="000000"/>
        </w:rPr>
      </w:pPr>
      <w:r>
        <w:rPr>
          <w:rFonts w:ascii="Arial" w:eastAsia="Arial" w:hAnsi="Arial" w:cs="Arial"/>
          <w:color w:val="000000"/>
        </w:rPr>
        <w:t>Lightfoot, in their work, identifies how settler governments strategically endorse only the most palatable aspects of Indigenous identity, such as culture, art, and ceremonial displays. While actively rejecting or suppressing Indigenous claims to sovereignty, land restitution, or self-determination. In doing so, the settler state maintains control over the terms of engagement, presenting a façade of inclusion while structurally ensuring Indigenous exclusion (Lightfoot 2012).</w:t>
      </w:r>
    </w:p>
    <w:p w14:paraId="34E1589E" w14:textId="77777777" w:rsidR="009F0C56" w:rsidRDefault="00653842">
      <w:pPr>
        <w:spacing w:line="240" w:lineRule="auto"/>
        <w:rPr>
          <w:rFonts w:ascii="Arial" w:eastAsia="Arial" w:hAnsi="Arial" w:cs="Arial"/>
          <w:color w:val="000000"/>
        </w:rPr>
      </w:pPr>
      <w:r>
        <w:rPr>
          <w:rFonts w:ascii="Arial" w:eastAsia="Arial" w:hAnsi="Arial" w:cs="Arial"/>
          <w:color w:val="000000"/>
        </w:rPr>
        <w:t>This concept is especially potent in hyper-urbanised, globalised contexts such as Miami, where Indigenous identities are at risk of being subsumed into the broader discourse of</w:t>
      </w:r>
      <w:r>
        <w:rPr>
          <w:rFonts w:ascii="Arial" w:eastAsia="Arial" w:hAnsi="Arial" w:cs="Arial"/>
          <w:b/>
          <w:bCs/>
          <w:color w:val="000000"/>
        </w:rPr>
        <w:t xml:space="preserve"> </w:t>
      </w:r>
      <w:r>
        <w:rPr>
          <w:rFonts w:ascii="Arial" w:eastAsia="Arial" w:hAnsi="Arial" w:cs="Arial"/>
          <w:color w:val="000000"/>
        </w:rPr>
        <w:t>US multiculturalism. Here, the Seminole and Miccosukee are not merely underrepresented; they are misrepresented through aestheticized or depoliticised tropes that strip them of political agency. Here, the settler state's preference for "authentic" but non-threatening forms of Indigeneity reflects what Dhamoon (2009) terms the logic of difference</w:t>
      </w:r>
      <w:r>
        <w:rPr>
          <w:rFonts w:ascii="Arial" w:eastAsia="Arial" w:hAnsi="Arial" w:cs="Arial"/>
          <w:b/>
          <w:bCs/>
          <w:color w:val="000000"/>
        </w:rPr>
        <w:t>,</w:t>
      </w:r>
      <w:r>
        <w:rPr>
          <w:rFonts w:ascii="Arial" w:eastAsia="Arial" w:hAnsi="Arial" w:cs="Arial"/>
          <w:color w:val="000000"/>
        </w:rPr>
        <w:t xml:space="preserve"> whereby diversity is celebrated only to the extent that it supports the legitimacy of the dominant order.</w:t>
      </w:r>
    </w:p>
    <w:p w14:paraId="44116B28" w14:textId="77777777" w:rsidR="009F0C56" w:rsidRDefault="00653842">
      <w:pPr>
        <w:spacing w:line="240" w:lineRule="auto"/>
        <w:rPr>
          <w:rFonts w:ascii="Arial" w:eastAsia="Arial" w:hAnsi="Arial" w:cs="Arial"/>
          <w:color w:val="000000"/>
        </w:rPr>
      </w:pPr>
      <w:r>
        <w:rPr>
          <w:rFonts w:ascii="Arial" w:eastAsia="Arial" w:hAnsi="Arial" w:cs="Arial"/>
          <w:color w:val="000000"/>
        </w:rPr>
        <w:t xml:space="preserve">However, this niche application of Lightfoot’s work is expanded from the original framework by highlighting how selective endorsement operates not only in legal and policy contexts but also through cultural and representational politics, as will be </w:t>
      </w:r>
      <w:r>
        <w:rPr>
          <w:rFonts w:ascii="Arial" w:eastAsia="Arial" w:hAnsi="Arial" w:cs="Arial"/>
          <w:color w:val="000000"/>
        </w:rPr>
        <w:lastRenderedPageBreak/>
        <w:t>highlighted in this thesis</w:t>
      </w:r>
      <w:r>
        <w:rPr>
          <w:rFonts w:ascii="Arial" w:eastAsia="Arial" w:hAnsi="Arial" w:cs="Arial"/>
          <w:b/>
          <w:bCs/>
          <w:color w:val="000000"/>
        </w:rPr>
        <w:t>.</w:t>
      </w:r>
      <w:r>
        <w:rPr>
          <w:rFonts w:ascii="Arial" w:eastAsia="Arial" w:hAnsi="Arial" w:cs="Arial"/>
          <w:color w:val="008000"/>
        </w:rPr>
        <w:t xml:space="preserve"> </w:t>
      </w:r>
      <w:r>
        <w:rPr>
          <w:rFonts w:ascii="Arial" w:eastAsia="Arial" w:hAnsi="Arial" w:cs="Arial"/>
          <w:color w:val="000000"/>
        </w:rPr>
        <w:t>Where settler societies engage with a symbolic Indigeneity that reinforces myths of inclusion, progress, and reconciliation, while refusing to recognise Indigenous peoples as contemporary, sovereign political actors (Lightfoot 2012). This aesthetic inclusion masks the ongoing structures of settler colonialism and reifies a form of settler innocence, where settler institutions can point to Indigenous-themed street names, museum exhibits, or performative land acknowledgements as evidence of respect and engage</w:t>
      </w:r>
      <w:r>
        <w:rPr>
          <w:rFonts w:ascii="Arial" w:eastAsia="Arial" w:hAnsi="Arial" w:cs="Arial"/>
          <w:color w:val="000000"/>
        </w:rPr>
        <w:t>ment, all while avoiding meaningful structural change.</w:t>
      </w:r>
    </w:p>
    <w:p w14:paraId="6B48BB7D" w14:textId="77777777" w:rsidR="009F0C56" w:rsidRDefault="00653842">
      <w:pPr>
        <w:spacing w:line="240" w:lineRule="auto"/>
        <w:rPr>
          <w:rFonts w:ascii="Arial" w:eastAsia="Arial" w:hAnsi="Arial" w:cs="Arial"/>
          <w:color w:val="000000"/>
        </w:rPr>
      </w:pPr>
      <w:r>
        <w:rPr>
          <w:rFonts w:ascii="Arial" w:eastAsia="Arial" w:hAnsi="Arial" w:cs="Arial"/>
          <w:color w:val="000000"/>
        </w:rPr>
        <w:t>Furthermore, Lightfoot argues that in selectively endorsing Indigenous rights, ‘Anglosphere settler states’, such as the U.S., Canada, Australia, and New Zealand:</w:t>
      </w:r>
    </w:p>
    <w:p w14:paraId="604DA212" w14:textId="77777777" w:rsidR="009F0C56" w:rsidRDefault="00653842">
      <w:pPr>
        <w:numPr>
          <w:ilvl w:val="0"/>
          <w:numId w:val="6"/>
        </w:numPr>
        <w:spacing w:line="240" w:lineRule="auto"/>
        <w:rPr>
          <w:rFonts w:ascii="Arial" w:eastAsia="Arial" w:hAnsi="Arial" w:cs="Arial"/>
          <w:color w:val="000000"/>
        </w:rPr>
      </w:pPr>
      <w:r>
        <w:rPr>
          <w:rFonts w:ascii="Arial" w:eastAsia="Arial" w:hAnsi="Arial" w:cs="Arial"/>
          <w:color w:val="000000"/>
        </w:rPr>
        <w:t>Remove concerns over the legitimacy of how rights norms emerged, distancing themselves from the colonial histories and coercive frameworks that shaped international Indigenous rights standards.</w:t>
      </w:r>
    </w:p>
    <w:p w14:paraId="1D4F6987" w14:textId="77777777" w:rsidR="009F0C56" w:rsidRDefault="00653842">
      <w:pPr>
        <w:numPr>
          <w:ilvl w:val="0"/>
          <w:numId w:val="6"/>
        </w:numPr>
        <w:spacing w:line="240" w:lineRule="auto"/>
        <w:rPr>
          <w:rFonts w:ascii="Arial" w:eastAsia="Arial" w:hAnsi="Arial" w:cs="Arial"/>
          <w:color w:val="000000"/>
        </w:rPr>
      </w:pPr>
      <w:r>
        <w:rPr>
          <w:rFonts w:ascii="Arial" w:eastAsia="Arial" w:hAnsi="Arial" w:cs="Arial"/>
          <w:color w:val="000000"/>
        </w:rPr>
        <w:t>Underscore the normative importance of Indigenous rights only in abstract or symbolic terms, while qualifying their status in practice, treating them as secondary to national interests.</w:t>
      </w:r>
    </w:p>
    <w:p w14:paraId="0A90237B" w14:textId="77777777" w:rsidR="009F0C56" w:rsidRDefault="00653842">
      <w:pPr>
        <w:numPr>
          <w:ilvl w:val="0"/>
          <w:numId w:val="6"/>
        </w:numPr>
        <w:spacing w:line="240" w:lineRule="auto"/>
        <w:rPr>
          <w:rFonts w:ascii="Arial" w:eastAsia="Arial" w:hAnsi="Arial" w:cs="Arial"/>
          <w:color w:val="000000"/>
        </w:rPr>
      </w:pPr>
      <w:r>
        <w:rPr>
          <w:rFonts w:ascii="Arial" w:eastAsia="Arial" w:hAnsi="Arial" w:cs="Arial"/>
          <w:color w:val="000000"/>
        </w:rPr>
        <w:t>Strategically rearticulate the content of rights norms through unilateral interpretations that align with existing policies, allowing the state to claim compliance without any substantive implementation.</w:t>
      </w:r>
    </w:p>
    <w:p w14:paraId="56ADEB71" w14:textId="77777777" w:rsidR="009F0C56" w:rsidRDefault="00653842">
      <w:pPr>
        <w:spacing w:line="240" w:lineRule="auto"/>
        <w:rPr>
          <w:rFonts w:ascii="Arial" w:eastAsia="Arial" w:hAnsi="Arial" w:cs="Arial"/>
          <w:color w:val="000000"/>
        </w:rPr>
      </w:pPr>
      <w:r>
        <w:rPr>
          <w:rFonts w:ascii="Arial" w:eastAsia="Arial" w:hAnsi="Arial" w:cs="Arial"/>
          <w:color w:val="000000"/>
        </w:rPr>
        <w:t>Here, Lightfoot’s work explores how state institutions appear cooperative and progressive while retaining full control over the interpretation and implementation of Indigenous rights. In this way, the settler state maintains the veneer of multicultural accommodation without relinquishing power, thus reinforcing the coloniality of representation, a system in which the portrayal of Indigenous identity is filtered, commodified, and weaponised to support settler sovereignty (Lightfoot 2012).</w:t>
      </w:r>
    </w:p>
    <w:p w14:paraId="692E2C02" w14:textId="77777777" w:rsidR="009F0C56" w:rsidRDefault="00653842">
      <w:pPr>
        <w:spacing w:line="240" w:lineRule="auto"/>
        <w:rPr>
          <w:rFonts w:ascii="Arial" w:eastAsia="Arial" w:hAnsi="Arial" w:cs="Arial"/>
          <w:color w:val="000000"/>
        </w:rPr>
      </w:pPr>
      <w:r>
        <w:rPr>
          <w:rFonts w:ascii="Arial" w:eastAsia="Arial" w:hAnsi="Arial" w:cs="Arial"/>
          <w:color w:val="000000"/>
        </w:rPr>
        <w:t>Therefore, in the context of the Seminole and Miccosukee, these dynamics are especially acute. As the Buckskin Declaration affirms, these are not homogenous or interchangeable "Indians" within the settler imagination. They are distinct sovereign nations with their own legal, political, and cultural systems. Yet, under the logic of selective endorsement, their sovereignty is erased in favour of a flattened, “acceptable” Indian identity that can be celebrated in tourist brochures but not in legal negotiations</w:t>
      </w:r>
      <w:r>
        <w:rPr>
          <w:rFonts w:ascii="Arial" w:eastAsia="Arial" w:hAnsi="Arial" w:cs="Arial"/>
          <w:color w:val="000000"/>
        </w:rPr>
        <w:t xml:space="preserve"> over land, jurisdiction, or governance. This underscores the urgency of research that centres Indigenous knowledge systems, affirms Indigenous representation on Indigenous terms, and resists the assimilationist pressures of settler multiculturalism.</w:t>
      </w:r>
    </w:p>
    <w:p w14:paraId="2B5B4063" w14:textId="77777777" w:rsidR="009F0C56" w:rsidRDefault="00653842">
      <w:pPr>
        <w:pStyle w:val="Heading2"/>
        <w:rPr>
          <w:rFonts w:ascii="Arial" w:eastAsia="Arial" w:hAnsi="Arial" w:cs="Arial"/>
        </w:rPr>
      </w:pPr>
      <w:bookmarkStart w:id="74" w:name="_Toc240966005"/>
      <w:r>
        <w:rPr>
          <w:rFonts w:ascii="Arial" w:eastAsia="Arial" w:hAnsi="Arial" w:cs="Arial"/>
        </w:rPr>
        <w:t>5.8 Dorries: Colonial Urbanism</w:t>
      </w:r>
      <w:bookmarkEnd w:id="74"/>
      <w:r>
        <w:rPr>
          <w:rFonts w:ascii="Arial" w:eastAsia="Arial" w:hAnsi="Arial" w:cs="Arial"/>
        </w:rPr>
        <w:t xml:space="preserve"> </w:t>
      </w:r>
    </w:p>
    <w:p w14:paraId="66C1F2E0" w14:textId="77777777" w:rsidR="009F0C56" w:rsidRDefault="00653842">
      <w:pPr>
        <w:spacing w:before="280" w:after="280" w:line="240" w:lineRule="auto"/>
        <w:rPr>
          <w:rFonts w:ascii="Arial" w:eastAsia="Arial" w:hAnsi="Arial" w:cs="Arial"/>
          <w:color w:val="000000"/>
        </w:rPr>
      </w:pPr>
      <w:r>
        <w:rPr>
          <w:rFonts w:ascii="Arial" w:eastAsia="Arial" w:hAnsi="Arial" w:cs="Arial"/>
        </w:rPr>
        <w:t>This section examines how Indigenous representations in urban spaces are not merely modified or symbolically included in settler environments, but are instead actively erased, displaced, and assimilated into the settler-capitalist logics of city-making. The theory of colonial urbanism offers a critical framework for understanding how cities like Miami not neutral or apolitical spaces are</w:t>
      </w:r>
      <w:r>
        <w:rPr>
          <w:rFonts w:ascii="Arial" w:eastAsia="Arial" w:hAnsi="Arial" w:cs="Arial"/>
          <w:color w:val="008000"/>
        </w:rPr>
        <w:t xml:space="preserve">, </w:t>
      </w:r>
      <w:r>
        <w:rPr>
          <w:rFonts w:ascii="Arial" w:eastAsia="Arial" w:hAnsi="Arial" w:cs="Arial"/>
          <w:color w:val="000000"/>
        </w:rPr>
        <w:t>but instead produce structures of power that are deeply rooted in settler colonialism (Dorries 2022).</w:t>
      </w:r>
    </w:p>
    <w:p w14:paraId="398F5E35"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lastRenderedPageBreak/>
        <w:t>As Dorries, Hugill, and Tomiak (2023) argue, settler colonial urbanism is not just about exclusion from urban space; it is about the violent transformation of Indigenous land into settler property through processes of commodification, racialisation, and spatial restructuring. They write: “It asserts that significant insights can be drawn from a robust engagement with this literature. The racial capitalism framework notably provides an understanding of how racialisation and racism shape urban space creation.</w:t>
      </w:r>
      <w:r>
        <w:rPr>
          <w:rFonts w:ascii="Arial" w:eastAsia="Arial" w:hAnsi="Arial" w:cs="Arial"/>
          <w:color w:val="000000"/>
        </w:rPr>
        <w:t xml:space="preserve"> By connecting settler colonialism and racial capitalism, scholars can better comprehend how the persistent importance of settler colonial relations intersects with other forms fundamental to urban space production, both on this continent and beyond” (Dorries et al., 2022, p. 264).</w:t>
      </w:r>
    </w:p>
    <w:p w14:paraId="4C1DE122"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Although their analysis focuses on Winnipeg, the theoretical approach is highly applicable to South Florida, and specifically to Miami. Here, Miami’s urban development does not merely overlook Seminole and Miccosukee presence; it structurally negates and replaces it. The development of high-rises, ports, cruise terminals, and commercial zones on sacred Indigenous lands is not a coincidental byproduct of progress, but a manifestation of settler colonial spatial logics (Tomiak 2023). These processes, underpin</w:t>
      </w:r>
      <w:r>
        <w:rPr>
          <w:rFonts w:ascii="Arial" w:eastAsia="Arial" w:hAnsi="Arial" w:cs="Arial"/>
          <w:color w:val="000000"/>
        </w:rPr>
        <w:t>ned by the imperatives of real estate capital, racial hierarchies, and extractive land use, are part of a broader colonial urbanism that renders Indigenous life invisible in both material and cognitive terms.</w:t>
      </w:r>
    </w:p>
    <w:p w14:paraId="3152B2F0" w14:textId="77777777" w:rsidR="009F0C56" w:rsidRDefault="00653842">
      <w:pPr>
        <w:spacing w:before="280" w:after="280" w:line="240" w:lineRule="auto"/>
        <w:rPr>
          <w:rFonts w:ascii="Arial" w:eastAsia="Arial" w:hAnsi="Arial" w:cs="Arial"/>
          <w:color w:val="000000"/>
        </w:rPr>
      </w:pPr>
      <w:r>
        <w:rPr>
          <w:rFonts w:ascii="Arial" w:eastAsia="Arial" w:hAnsi="Arial" w:cs="Arial"/>
        </w:rPr>
        <w:t xml:space="preserve">This is consistent with TallBear’s (2019) analysis of how settler societies mask acts of ongoing dispossession through symbols of progress and inclusion. Indigenous presence in Miami is thus reduced to historical charm or tokenised multiculturalism, a form of aesthetic diversity that complements the city’s tourism and branding strategies. </w:t>
      </w:r>
      <w:r>
        <w:t xml:space="preserve">However, this </w:t>
      </w:r>
      <w:r>
        <w:rPr>
          <w:rFonts w:ascii="Arial" w:eastAsia="Arial" w:hAnsi="Arial" w:cs="Arial"/>
          <w:color w:val="000000"/>
        </w:rPr>
        <w:t>excludes Indigenous futures. As such, the Seminole and Miccosukee are positioned as temporally irrelevant: acknowledged only as past contributors to the city’s heritage, but not as ongoing political agents with land-based claims in the present.</w:t>
      </w:r>
    </w:p>
    <w:p w14:paraId="4CA77602"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Tomiak (2017) further deepens this analysis by highlighting the settler state’s aggressive efforts to police Indigenous placemaking in cities. She writes how “settler states continue to pursue the violent transformation of Indigenous land into settler property and to police Indigenous place-making and self-determination particularly aggressively with cities.” (Tomiak, 2017, p. 928). Therefore, in the case of Miami, this is evidenced by the transformation of significant Indigenous geographies into high-end d</w:t>
      </w:r>
      <w:r>
        <w:rPr>
          <w:rFonts w:ascii="Arial" w:eastAsia="Arial" w:hAnsi="Arial" w:cs="Arial"/>
          <w:color w:val="000000"/>
        </w:rPr>
        <w:t>evelopments acts which constitute not only material displacement but also a form of epistemic erasure. Such developments reflect a settler logic that cities must be "modern," "global," and "developed," visions incompatible with Indigenous modes of land use, governance, and relationality.</w:t>
      </w:r>
    </w:p>
    <w:p w14:paraId="4F66F5E1"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This active remaking of urban space to serve settler futures reinforces what Dorries et al. (2022) describe as colonial urbanism: the production of space that secures settler futures by managing and marginalising Indigenous life. Whereby spatially excluding Indigenous communities and cognitively relegating them to the past, the city of Miami performs what can be understood as settler urban closure, a process that forecloses Indigenous futurity while maintaining the illusion of pluralism and diversity. In th</w:t>
      </w:r>
      <w:r>
        <w:rPr>
          <w:rFonts w:ascii="Arial" w:eastAsia="Arial" w:hAnsi="Arial" w:cs="Arial"/>
          <w:color w:val="000000"/>
        </w:rPr>
        <w:t>is, Miami’s urban landscape becomes a colonial archive, where Indigenous presence is selectively remembered but not materially supported or politically recognised.</w:t>
      </w:r>
    </w:p>
    <w:p w14:paraId="3BF399B2" w14:textId="34EA2B60" w:rsidR="009F0C56" w:rsidRDefault="00653842">
      <w:pPr>
        <w:spacing w:before="280" w:after="280" w:line="240" w:lineRule="auto"/>
        <w:rPr>
          <w:rFonts w:ascii="Arial" w:eastAsia="Arial" w:hAnsi="Arial" w:cs="Arial"/>
          <w:color w:val="000000"/>
        </w:rPr>
      </w:pPr>
      <w:r>
        <w:rPr>
          <w:rFonts w:ascii="Arial" w:eastAsia="Arial" w:hAnsi="Arial" w:cs="Arial"/>
          <w:color w:val="000000"/>
        </w:rPr>
        <w:lastRenderedPageBreak/>
        <w:t xml:space="preserve">This theoretical framework is foundational to the thesis because it demonstrates that land is not just a battleground for sovereignty and resources; it is also a medium of memory, power, and identity. Therefore, by analysing South </w:t>
      </w:r>
      <w:r w:rsidR="00CF2C48">
        <w:rPr>
          <w:rFonts w:ascii="Arial" w:eastAsia="Arial" w:hAnsi="Arial" w:cs="Arial"/>
          <w:color w:val="000000"/>
        </w:rPr>
        <w:t>Florida</w:t>
      </w:r>
      <w:r>
        <w:rPr>
          <w:rFonts w:ascii="Arial" w:eastAsia="Arial" w:hAnsi="Arial" w:cs="Arial"/>
          <w:color w:val="000000"/>
        </w:rPr>
        <w:t xml:space="preserve"> through the lens of colonial urbanism, the thesis connects spatial reconfiguration with representational erasure, showing that settler colonialism in the urban context is not static or historical but ongoing, adaptive, and deeply entrenched. Moreover, applying this framework enables a more precise understanding of how Indigenous resistance in urban settings is often delegitimised or rendered invisible through planning, policy, and representation. It also reinforces the need for Indigenous-led urban plannin</w:t>
      </w:r>
      <w:r>
        <w:rPr>
          <w:rFonts w:ascii="Arial" w:eastAsia="Arial" w:hAnsi="Arial" w:cs="Arial"/>
          <w:color w:val="000000"/>
        </w:rPr>
        <w:t>g and self-determined placemaking, which are essential for reclaiming both space and narrative.</w:t>
      </w:r>
    </w:p>
    <w:p w14:paraId="0B5C1D28"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In summary, colonial urbanism is not peripheral to the concerns of this thesis; it is central. It allows for a deeper interrogation of how urban development operates as a mechanism of settler colonial elimination, and why Seminole and Miccosukee resistance must be understood as both spatial and political acts of survivance and resurgence.</w:t>
      </w:r>
    </w:p>
    <w:p w14:paraId="67D732B0" w14:textId="6EF18761" w:rsidR="009F0C56" w:rsidRDefault="00653842">
      <w:pPr>
        <w:pStyle w:val="Heading2"/>
        <w:rPr>
          <w:rFonts w:ascii="Arial" w:eastAsia="Arial" w:hAnsi="Arial" w:cs="Arial"/>
        </w:rPr>
      </w:pPr>
      <w:bookmarkStart w:id="75" w:name="_Toc240966006"/>
      <w:r>
        <w:rPr>
          <w:rFonts w:ascii="Arial" w:eastAsia="Arial" w:hAnsi="Arial" w:cs="Arial"/>
        </w:rPr>
        <w:t>5.9 Art, Poetry, and Storytelling</w:t>
      </w:r>
      <w:r w:rsidR="00CF2C48">
        <w:rPr>
          <w:rFonts w:ascii="Arial" w:eastAsia="Arial" w:hAnsi="Arial" w:cs="Arial"/>
        </w:rPr>
        <w:t>:</w:t>
      </w:r>
      <w:r>
        <w:rPr>
          <w:rFonts w:ascii="Arial" w:eastAsia="Arial" w:hAnsi="Arial" w:cs="Arial"/>
        </w:rPr>
        <w:t xml:space="preserve"> the act of decolonial mapping</w:t>
      </w:r>
      <w:bookmarkEnd w:id="75"/>
    </w:p>
    <w:p w14:paraId="45C07BC1"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This thesis draws on Indigenous multimedia poetry, art, and storytelling not as aesthetic supplements, but as theoretical interventions that destabilise settler epistemologies and assert Indigenous ontologies of land, identity, and place. These media forms do not merely represent Indigenous worlds; they enact them. At the same time, it is important to clarify the limits of this study’s approach. While the primary focus is on how settler society constructs and controls Indigenous representations, engaging In</w:t>
      </w:r>
      <w:r>
        <w:rPr>
          <w:rFonts w:ascii="Arial" w:eastAsia="Arial" w:hAnsi="Arial" w:cs="Arial"/>
          <w:color w:val="000000"/>
        </w:rPr>
        <w:t>digenous representational practices ensures that this project does not reproduce a purely settler-centric account.</w:t>
      </w:r>
    </w:p>
    <w:p w14:paraId="04587196"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 xml:space="preserve">By placing Indigenous voices and creative practices in conversation with the structures of settler representation, the thesis foregrounds the positive presence of Indigenous discourse even as it interrogates its containment. This methodological choice aligns with efforts to decolonise academic knowledge production by centring epistemologies often excluded from dominant scholarly paradigms, while also making clear that these practices represent only part of the wider spectrum of Indigenous agency beyond the </w:t>
      </w:r>
      <w:r>
        <w:rPr>
          <w:rFonts w:ascii="Arial" w:eastAsia="Arial" w:hAnsi="Arial" w:cs="Arial"/>
          <w:color w:val="000000"/>
        </w:rPr>
        <w:t>scope of this analysis.</w:t>
      </w:r>
    </w:p>
    <w:p w14:paraId="500A2C22"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In this, the Seminole creation story, as recounted on the tribe’s official site (Seminole, 2024), foregrounds relational ontologies that contrast sharply with Western metaphysical traditions. Here, the land is not a passive backdrop nor a resource, but a sentient, co-constitutive agent within a broader web of life. Unlike the Judeo-Christian Genesis narrative in which humanity occupies a central, exceptionalist role, Seminole creation cosmologies position "humankind" within a relational and ecological order</w:t>
      </w:r>
      <w:r>
        <w:rPr>
          <w:rFonts w:ascii="Arial" w:eastAsia="Arial" w:hAnsi="Arial" w:cs="Arial"/>
          <w:color w:val="000000"/>
        </w:rPr>
        <w:t>. This shift in ontological agency forms a key thematic axis in analysing how settler colonial epistemologies distort Indigenous relationships to land (Nunpa 2020).</w:t>
      </w:r>
    </w:p>
    <w:p w14:paraId="314BE760"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 xml:space="preserve">As Cordova (2007) notes, Indigenous creation stories offer pluriversal truths, rooted not in universal absolutism but in place-specific understandings. These stories </w:t>
      </w:r>
      <w:r>
        <w:rPr>
          <w:rFonts w:ascii="Arial" w:eastAsia="Arial" w:hAnsi="Arial" w:cs="Arial"/>
          <w:color w:val="000000"/>
        </w:rPr>
        <w:lastRenderedPageBreak/>
        <w:t>constitute a lived geography, an epistemic and spiritual grounding in the land that defies settler narratives of dispossession. Cordova writes that Indigenous cosmologies are not about a singular Truth, but about place-based truths that “postulate a creation story not only in time or space but in a specific place” (Cordova 2007, p. 104). This conception disrupts colonial cartographies, which abstract land into property and capital.</w:t>
      </w:r>
    </w:p>
    <w:p w14:paraId="47F80B3E"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To theorise this representational and ontological disruption more deeply, this thesis draws on Goeman’s (2012) work on anti-Cartesian cartographies, particularly her reading of Joy Harjo’s poetry. Goeman argues that Indigenous poetic and visual forms enact an anti-colonial spatial logic, one that resists the settler mapping of space as fixed, empty, or extractable. She writes: “Native forms of justice are inherently spatialised accounts of geographies by histories of settler colonialism… Understanding geogr</w:t>
      </w:r>
      <w:r>
        <w:rPr>
          <w:rFonts w:ascii="Arial" w:eastAsia="Arial" w:hAnsi="Arial" w:cs="Arial"/>
          <w:color w:val="000000"/>
        </w:rPr>
        <w:t>aphies and justice as existing within a dynamic interrelationship also enables an understanding of the spatial ties between colonisation, imperialism, and what is now called globalisation” (Goeman 2012, pp. 90–91).</w:t>
      </w:r>
    </w:p>
    <w:p w14:paraId="11D41A4D"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In this reading, Indigenous media forms are not merely cultural expressions but are cartographic practices, maps of memory, kinship, and resistance that contest settler colonial orders of space and being. Through the poem and painting alike, land becomes both medium and message, not a backdrop to human activity but an active agent and archive. Cordova’s poetry, then, should be understood within this framework. Her work resists epistemological closure and instead foregrounds a worldview in which the Earth is</w:t>
      </w:r>
      <w:r>
        <w:rPr>
          <w:rFonts w:ascii="Arial" w:eastAsia="Arial" w:hAnsi="Arial" w:cs="Arial"/>
          <w:color w:val="000000"/>
        </w:rPr>
        <w:t xml:space="preserve"> a living, relational being. This counters the settler-colonial ontology that sees land as a “resource pool” for extraction and capital (Cordova 2007). As Goeman articulates, Indigenous mapping “does not depict the ‘Truth’, as in Western attempts to stabilise power. In place of discrete territorial possessions, Harjo’s map presents an interactive conversation that occurs in remembering and listening” (Goeman 2012, p. 108). Cordova’s poetic intervention similarly insists on an Earth alive with relations, not</w:t>
      </w:r>
      <w:r>
        <w:rPr>
          <w:rFonts w:ascii="Arial" w:eastAsia="Arial" w:hAnsi="Arial" w:cs="Arial"/>
          <w:color w:val="000000"/>
        </w:rPr>
        <w:t xml:space="preserve"> rendered mute or fungible by settler categories of ownership or use.</w:t>
      </w:r>
    </w:p>
    <w:p w14:paraId="1101A81C"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This theoretical position finds visual complement in Noah Billie’s painting, which conveys an ontological continuity between Seminole knowledge, land, and cultural transmission. Through the interplay of traditional attire, modern elements, and symbolic imagery such as animals in the sky and chickee huts juxtaposed with skyscrapers, Billie refuses the dualism between tradition and modernity. Instead, he illustrates a co-present temporal geography in which Seminole identity is not relegated to the past but ac</w:t>
      </w:r>
      <w:r>
        <w:rPr>
          <w:rFonts w:ascii="Arial" w:eastAsia="Arial" w:hAnsi="Arial" w:cs="Arial"/>
          <w:color w:val="000000"/>
        </w:rPr>
        <w:t>tively negotiates the present and envisions the future. In doing so, Billie resists settler visual geographies that seek to render Indigenous peoples as either vanished or timeless relics.</w:t>
      </w:r>
    </w:p>
    <w:p w14:paraId="079AED20"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The spatial arrangement in Billie’s work aligns with Goeman’s theory of Indigenous mapping as a refusal of settler futurities that imagine the city without Indigenous presence. Billie constructs a counter-geography where land and kinship are never fully severed despite urban encroachment. This directly challenges the settler logic of spatial sanitisation, the idea that Indigenous presence must be removed, folklorised, or commodified to make way for capitalist progress (Goeman 2012). As such, Indigenous arti</w:t>
      </w:r>
      <w:r>
        <w:rPr>
          <w:rFonts w:ascii="Arial" w:eastAsia="Arial" w:hAnsi="Arial" w:cs="Arial"/>
          <w:color w:val="000000"/>
        </w:rPr>
        <w:t>stic and narrative traditions, such as those of Cordova, Harjo, Jumper, and Billie, do not just communicate alternative perspectives; they enact anti-</w:t>
      </w:r>
      <w:r>
        <w:rPr>
          <w:rFonts w:ascii="Arial" w:eastAsia="Arial" w:hAnsi="Arial" w:cs="Arial"/>
          <w:color w:val="000000"/>
        </w:rPr>
        <w:lastRenderedPageBreak/>
        <w:t>colonial theory in practice. They dismantle the settler fiction of land as inert and instead affirm land as a site of relation, memory, and law. These works resist the settler project of cartographic erasure and offer alternative spatial epistemologies that are deeply rooted in Indigenous survivance (Estes 2019).</w:t>
      </w:r>
    </w:p>
    <w:p w14:paraId="5D87ABE1"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The incorporation of Indigenous multimedia within this thesis is thus not illustrative but theoretical. These forms, whether textual or visual, offer critical decolonial methodologies that refuse the settler colonial epistemic regime. By centring Indigenous spatiality through these media, the thesis builds on Goeman’s insight that justice itself is spatialised. These insights are crucial in analysing how the Seminole and Miccosukee negotiate representation in a settler colonial space like Miami, where urban</w:t>
      </w:r>
      <w:r>
        <w:rPr>
          <w:rFonts w:ascii="Arial" w:eastAsia="Arial" w:hAnsi="Arial" w:cs="Arial"/>
          <w:color w:val="000000"/>
        </w:rPr>
        <w:t xml:space="preserve"> expansion seeks to overwrite Indigenous ontologies with capitalist logics of land use and development.</w:t>
      </w:r>
    </w:p>
    <w:p w14:paraId="38D9CCFA"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In this, Cordova’s poem and Billie’s painting operate as decolonial cartographies: they remap the meanings of land, assert Indigenous presence, and unmask the ontological violence of settler-colonial representation. Their use in this thesis not only enriches the analysis of Indigenous resistance but also demonstrates the necessity of rethinking theory through Indigenous forms.</w:t>
      </w:r>
    </w:p>
    <w:p w14:paraId="16995E6D" w14:textId="77777777" w:rsidR="009F0C56" w:rsidRDefault="009F0C56">
      <w:pPr>
        <w:keepNext/>
        <w:keepLines/>
        <w:spacing w:before="160" w:after="80" w:line="276" w:lineRule="auto"/>
        <w:rPr>
          <w:rFonts w:ascii="Arial" w:eastAsia="Arial" w:hAnsi="Arial" w:cs="Arial"/>
        </w:rPr>
      </w:pPr>
    </w:p>
    <w:p w14:paraId="14C839A4" w14:textId="77777777" w:rsidR="009F0C56" w:rsidRDefault="00653842">
      <w:pPr>
        <w:pStyle w:val="Heading2"/>
        <w:rPr>
          <w:rFonts w:ascii="Arial" w:eastAsia="Arial" w:hAnsi="Arial" w:cs="Arial"/>
        </w:rPr>
      </w:pPr>
      <w:bookmarkStart w:id="76" w:name="_Toc240966007"/>
      <w:r>
        <w:rPr>
          <w:rFonts w:ascii="Arial" w:eastAsia="Arial" w:hAnsi="Arial" w:cs="Arial"/>
        </w:rPr>
        <w:t>5.10 Challenging the capitalist-colonial order</w:t>
      </w:r>
      <w:bookmarkEnd w:id="76"/>
      <w:r>
        <w:rPr>
          <w:rFonts w:ascii="Arial" w:eastAsia="Arial" w:hAnsi="Arial" w:cs="Arial"/>
        </w:rPr>
        <w:t xml:space="preserve"> </w:t>
      </w:r>
    </w:p>
    <w:p w14:paraId="60580B56" w14:textId="77777777" w:rsidR="009F0C56" w:rsidRDefault="009F0C56">
      <w:pPr>
        <w:spacing w:line="240" w:lineRule="auto"/>
        <w:rPr>
          <w:rFonts w:ascii="Arial" w:eastAsia="Arial" w:hAnsi="Arial" w:cs="Arial"/>
          <w:color w:val="000000"/>
        </w:rPr>
      </w:pPr>
    </w:p>
    <w:p w14:paraId="2CB7DC60" w14:textId="77777777" w:rsidR="009F0C56" w:rsidRDefault="00653842">
      <w:pPr>
        <w:spacing w:line="276" w:lineRule="auto"/>
        <w:rPr>
          <w:rFonts w:ascii="Arial" w:eastAsia="Arial" w:hAnsi="Arial" w:cs="Arial"/>
        </w:rPr>
      </w:pPr>
      <w:r>
        <w:rPr>
          <w:rFonts w:ascii="Arial" w:eastAsia="Arial" w:hAnsi="Arial" w:cs="Arial"/>
        </w:rPr>
        <w:t>The final grouping of theoretical positions employed in this work will be broadly defined as challenging the capitalist–colonial order. These perspectives are drawn upon not as an overarching framework sustained across every chapter, but as targeted interventions necessary for particular cases. Their commonality lies in the fact that each, whether decoloniality, racial capitalism, literary perrichlismo, or reification, traces the critiques in the entanglements of capital and colonial power structures. In th</w:t>
      </w:r>
      <w:r>
        <w:rPr>
          <w:rFonts w:ascii="Arial" w:eastAsia="Arial" w:hAnsi="Arial" w:cs="Arial"/>
        </w:rPr>
        <w:t xml:space="preserve">is, by interrogating how knowledge, culture, and material life are reshaped under these forces, they expose the multiple registers through which domination operates (Harvey 2001). </w:t>
      </w:r>
    </w:p>
    <w:p w14:paraId="248E2B90" w14:textId="77777777" w:rsidR="009F0C56" w:rsidRDefault="00653842">
      <w:pPr>
        <w:spacing w:line="276" w:lineRule="auto"/>
        <w:rPr>
          <w:rFonts w:ascii="Arial" w:eastAsia="Arial" w:hAnsi="Arial" w:cs="Arial"/>
          <w:color w:val="000000"/>
        </w:rPr>
      </w:pPr>
      <w:r>
        <w:rPr>
          <w:rFonts w:ascii="Arial" w:eastAsia="Arial" w:hAnsi="Arial" w:cs="Arial"/>
          <w:color w:val="000000"/>
        </w:rPr>
        <w:t>In this way, these perspectives both support and extend the major theoretical positions of settler colonial theory and Indigenous geographies. Together, they contribute to the construction of a coherent decolonial epistemological argument that resists capitalist, colonial world-building and instead insists on recognising the ongoing presence, agency, and epistemic authority of Indigenous peoples.</w:t>
      </w:r>
    </w:p>
    <w:p w14:paraId="7D2A013C" w14:textId="77777777" w:rsidR="009F0C56" w:rsidRDefault="009F0C56">
      <w:pPr>
        <w:spacing w:line="276" w:lineRule="auto"/>
        <w:rPr>
          <w:rFonts w:ascii="Arial" w:eastAsia="Arial" w:hAnsi="Arial" w:cs="Arial"/>
          <w:color w:val="000000"/>
        </w:rPr>
      </w:pPr>
    </w:p>
    <w:p w14:paraId="4F7E5767" w14:textId="77777777" w:rsidR="009F0C56" w:rsidRDefault="00653842">
      <w:pPr>
        <w:pStyle w:val="Heading2"/>
        <w:rPr>
          <w:rFonts w:ascii="Arial" w:eastAsia="Arial" w:hAnsi="Arial" w:cs="Arial"/>
        </w:rPr>
      </w:pPr>
      <w:bookmarkStart w:id="77" w:name="_Toc240966008"/>
      <w:r>
        <w:rPr>
          <w:rFonts w:ascii="Arial" w:eastAsia="Arial" w:hAnsi="Arial" w:cs="Arial"/>
        </w:rPr>
        <w:t>5.11 Theoretical Framework: Decoloniality and the Representation of Indigenous Peoples</w:t>
      </w:r>
      <w:bookmarkEnd w:id="77"/>
    </w:p>
    <w:p w14:paraId="3CEBE6F4" w14:textId="6128EB35" w:rsidR="009F0C56" w:rsidRDefault="00653842">
      <w:pPr>
        <w:spacing w:before="280" w:after="280" w:line="240" w:lineRule="auto"/>
        <w:rPr>
          <w:rFonts w:ascii="Arial" w:eastAsia="Arial" w:hAnsi="Arial" w:cs="Arial"/>
        </w:rPr>
      </w:pPr>
      <w:r>
        <w:rPr>
          <w:rFonts w:ascii="Arial" w:eastAsia="Arial" w:hAnsi="Arial" w:cs="Arial"/>
        </w:rPr>
        <w:t xml:space="preserve">This thesis employs decolonial theory as a critical lens for examining how Indigenous peoples, specifically the Seminole and Miccosukee, are represented in South </w:t>
      </w:r>
      <w:r>
        <w:rPr>
          <w:rFonts w:ascii="Arial" w:eastAsia="Arial" w:hAnsi="Arial" w:cs="Arial"/>
        </w:rPr>
        <w:lastRenderedPageBreak/>
        <w:t xml:space="preserve">Florida. Central here is Quijano’s (2007) concept of the </w:t>
      </w:r>
      <w:r>
        <w:rPr>
          <w:rFonts w:ascii="Arial" w:eastAsia="Arial" w:hAnsi="Arial" w:cs="Arial"/>
          <w:i/>
          <w:iCs/>
        </w:rPr>
        <w:t>coloniality of power</w:t>
      </w:r>
      <w:r>
        <w:rPr>
          <w:rFonts w:ascii="Arial" w:eastAsia="Arial" w:hAnsi="Arial" w:cs="Arial"/>
        </w:rPr>
        <w:t xml:space="preserve">, which shows how colonialism’s structures outlived formal empire by continuing to shape systems of knowledge, representation, and classification. Quijano (2007) argues that coloniality fundamentally reorganised global hierarchies by erasing colonised peoples of their identities and reimagining them within a Eurocentric, racialised order. This was not only a material reordering but also an epistemic one: </w:t>
      </w:r>
      <w:r>
        <w:rPr>
          <w:rFonts w:ascii="Arial" w:eastAsia="Arial" w:hAnsi="Arial" w:cs="Arial"/>
        </w:rPr>
        <w:t>colonised peoples were positioned outside modernity</w:t>
      </w:r>
      <w:r>
        <w:rPr>
          <w:rFonts w:ascii="Arial" w:eastAsia="Arial" w:hAnsi="Arial" w:cs="Arial"/>
        </w:rPr>
        <w:t xml:space="preserve"> and deemed incapable of contributing to cultural or intellectual production. As Quijano puts it, from that moment forward, there were “inferior races, capable only of producing inferior cultures” (2007, p. 540).</w:t>
      </w:r>
    </w:p>
    <w:p w14:paraId="410804FE" w14:textId="04765DD4" w:rsidR="009F0C56" w:rsidRDefault="00653842">
      <w:pPr>
        <w:spacing w:before="280" w:after="280" w:line="240" w:lineRule="auto"/>
        <w:rPr>
          <w:rFonts w:ascii="Arial" w:eastAsia="Arial" w:hAnsi="Arial" w:cs="Arial"/>
        </w:rPr>
      </w:pPr>
      <w:r>
        <w:rPr>
          <w:rFonts w:ascii="Arial" w:eastAsia="Arial" w:hAnsi="Arial" w:cs="Arial"/>
        </w:rPr>
        <w:t xml:space="preserve">Quijano’s (2018) intervention highlights that coloniality operates as a cognitive model, defining </w:t>
      </w:r>
      <w:r w:rsidR="00CF2C48">
        <w:rPr>
          <w:rFonts w:ascii="Arial" w:eastAsia="Arial" w:hAnsi="Arial" w:cs="Arial"/>
        </w:rPr>
        <w:t>non-Europeans</w:t>
      </w:r>
      <w:r>
        <w:rPr>
          <w:rFonts w:ascii="Arial" w:eastAsia="Arial" w:hAnsi="Arial" w:cs="Arial"/>
        </w:rPr>
        <w:t xml:space="preserve"> as primitive and thus sustaining hierarchies of knowledge, race, and culture into the present. This raises questions that underpin this thesis: how do these enduring colonial logics structure representations of Seminole and Miccosukee life? As well as how are Indigenous peoples positioned in public narratives, through such modes as tourism, heritage displays, or media, in ways that echo colonial frameworks rather than Indigenous sovereignty?</w:t>
      </w:r>
    </w:p>
    <w:p w14:paraId="6BB462C1" w14:textId="77777777" w:rsidR="009F0C56" w:rsidRDefault="00653842">
      <w:pPr>
        <w:spacing w:before="280" w:after="280" w:line="240" w:lineRule="auto"/>
        <w:rPr>
          <w:rFonts w:ascii="Arial" w:eastAsia="Arial" w:hAnsi="Arial" w:cs="Arial"/>
        </w:rPr>
      </w:pPr>
      <w:r>
        <w:rPr>
          <w:rFonts w:ascii="Arial" w:eastAsia="Arial" w:hAnsi="Arial" w:cs="Arial"/>
        </w:rPr>
        <w:t xml:space="preserve">Building on Quijano, Walter Mignolo extends this argument of the </w:t>
      </w:r>
      <w:r>
        <w:rPr>
          <w:rFonts w:ascii="Arial" w:eastAsia="Arial" w:hAnsi="Arial" w:cs="Arial"/>
          <w:i/>
          <w:iCs/>
        </w:rPr>
        <w:t>coloniality of knowledge</w:t>
      </w:r>
      <w:r>
        <w:rPr>
          <w:rFonts w:ascii="Arial" w:eastAsia="Arial" w:hAnsi="Arial" w:cs="Arial"/>
        </w:rPr>
        <w:t xml:space="preserve">. Through critiquing the supposed universality of Western epistemology, arguing that it legitimises itself by erasing other ways of knowing. Mignolo argues that decoloniality requires affirming epistemologies that precede, exceed, and survive colonialism: “ways of thinking, knowing, being, and doing that began with, but also precede, the colonial enterprise and invasion” (Mignolo &amp; Walsh 2013, p. 17). In this light, the dominance of settler frameworks in education, cultural institutions, and representation </w:t>
      </w:r>
      <w:r>
        <w:rPr>
          <w:rFonts w:ascii="Arial" w:eastAsia="Arial" w:hAnsi="Arial" w:cs="Arial"/>
        </w:rPr>
        <w:t>becomes not simply a matter of misinterpretation but an ongoing enactment of colonial control over knowledge (Mignolo 2020). For this thesis, the guiding question becomes: what happens when we apply Mignolo’s critique of knowledge production to the settler-controlled depictions of Seminole and Miccosukee peoples?</w:t>
      </w:r>
    </w:p>
    <w:p w14:paraId="023D8831" w14:textId="0B6757CA" w:rsidR="009F0C56" w:rsidRDefault="00653842">
      <w:pPr>
        <w:spacing w:before="280" w:after="280" w:line="240" w:lineRule="auto"/>
        <w:rPr>
          <w:rFonts w:ascii="Arial" w:eastAsia="Arial" w:hAnsi="Arial" w:cs="Arial"/>
          <w:color w:val="000000"/>
        </w:rPr>
      </w:pPr>
      <w:r>
        <w:rPr>
          <w:rFonts w:ascii="Arial" w:eastAsia="Arial" w:hAnsi="Arial" w:cs="Arial"/>
        </w:rPr>
        <w:t xml:space="preserve">Together, Quijano and Mignolo expose how coloniality permeates global structures of identity, knowledge, and culture. </w:t>
      </w:r>
      <w:r w:rsidR="00CF2C48">
        <w:rPr>
          <w:rFonts w:ascii="Arial" w:eastAsia="Arial" w:hAnsi="Arial" w:cs="Arial"/>
        </w:rPr>
        <w:t>Scholars</w:t>
      </w:r>
      <w:r>
        <w:rPr>
          <w:rFonts w:ascii="Arial" w:eastAsia="Arial" w:hAnsi="Arial" w:cs="Arial"/>
        </w:rPr>
        <w:t xml:space="preserve"> such as Grosfoguel (2012) describing this process as </w:t>
      </w:r>
      <w:r>
        <w:rPr>
          <w:rFonts w:ascii="Arial" w:eastAsia="Arial" w:hAnsi="Arial" w:cs="Arial"/>
          <w:i/>
          <w:iCs/>
        </w:rPr>
        <w:t>epistemicide</w:t>
      </w:r>
      <w:r>
        <w:rPr>
          <w:rFonts w:ascii="Arial" w:eastAsia="Arial" w:hAnsi="Arial" w:cs="Arial"/>
        </w:rPr>
        <w:t xml:space="preserve">: the </w:t>
      </w:r>
      <w:r w:rsidR="00CF2C48">
        <w:rPr>
          <w:rFonts w:ascii="Arial" w:eastAsia="Arial" w:hAnsi="Arial" w:cs="Arial"/>
        </w:rPr>
        <w:t>delegitimisation</w:t>
      </w:r>
      <w:r>
        <w:rPr>
          <w:rFonts w:ascii="Arial" w:eastAsia="Arial" w:hAnsi="Arial" w:cs="Arial"/>
          <w:color w:val="008000"/>
        </w:rPr>
        <w:t xml:space="preserve"> </w:t>
      </w:r>
      <w:r>
        <w:rPr>
          <w:rFonts w:ascii="Arial" w:eastAsia="Arial" w:hAnsi="Arial" w:cs="Arial"/>
          <w:color w:val="000000"/>
        </w:rPr>
        <w:t>and erasure of non-European knowledge systems, replaced by Western rationalities such as theology, philosophy, and economic theory. Applying these insights to South Florida prompts this project’s central decolonial question. If coloniality persists not only in material dispossession but also in symbolic and representational domains, how do the settler portrayals of Seminole and Miccosukee peoples reduce and challenge Seminole and Miccosukee agency in becoming independent actors in contemporary Florida socie</w:t>
      </w:r>
      <w:r>
        <w:rPr>
          <w:rFonts w:ascii="Arial" w:eastAsia="Arial" w:hAnsi="Arial" w:cs="Arial"/>
          <w:color w:val="000000"/>
        </w:rPr>
        <w:t>ty?</w:t>
      </w:r>
      <w:r>
        <w:rPr>
          <w:rFonts w:ascii="Arial" w:eastAsia="Arial" w:hAnsi="Arial" w:cs="Arial"/>
          <w:color w:val="000000"/>
          <w:vertAlign w:val="superscript"/>
        </w:rPr>
        <w:footnoteReference w:id="2"/>
      </w:r>
    </w:p>
    <w:p w14:paraId="0D9E7FDE" w14:textId="77777777" w:rsidR="009F0C56" w:rsidRDefault="00653842">
      <w:pPr>
        <w:spacing w:before="280" w:after="280" w:line="240" w:lineRule="auto"/>
        <w:rPr>
          <w:rFonts w:ascii="Arial" w:eastAsia="Arial" w:hAnsi="Arial" w:cs="Arial"/>
        </w:rPr>
      </w:pPr>
      <w:r>
        <w:rPr>
          <w:rFonts w:ascii="Arial" w:eastAsia="Arial" w:hAnsi="Arial" w:cs="Arial"/>
        </w:rPr>
        <w:lastRenderedPageBreak/>
        <w:t xml:space="preserve">This framing positions decolonial theory not as a ready-made answer but as a set of conceptual tools. Through engaging with Quijano’s </w:t>
      </w:r>
      <w:r>
        <w:rPr>
          <w:rFonts w:ascii="Arial" w:eastAsia="Arial" w:hAnsi="Arial" w:cs="Arial"/>
          <w:i/>
          <w:iCs/>
        </w:rPr>
        <w:t>coloniality of power (2007)</w:t>
      </w:r>
      <w:r>
        <w:rPr>
          <w:rFonts w:ascii="Arial" w:eastAsia="Arial" w:hAnsi="Arial" w:cs="Arial"/>
        </w:rPr>
        <w:t xml:space="preserve">, Mignolo’s </w:t>
      </w:r>
      <w:r>
        <w:rPr>
          <w:rFonts w:ascii="Arial" w:eastAsia="Arial" w:hAnsi="Arial" w:cs="Arial"/>
          <w:i/>
          <w:iCs/>
        </w:rPr>
        <w:t>coloniality of knowledge (2018)</w:t>
      </w:r>
      <w:r>
        <w:rPr>
          <w:rFonts w:ascii="Arial" w:eastAsia="Arial" w:hAnsi="Arial" w:cs="Arial"/>
        </w:rPr>
        <w:t xml:space="preserve">, and Walsh’s </w:t>
      </w:r>
      <w:r>
        <w:rPr>
          <w:rFonts w:ascii="Arial" w:eastAsia="Arial" w:hAnsi="Arial" w:cs="Arial"/>
          <w:i/>
          <w:iCs/>
        </w:rPr>
        <w:t>coloniality of gender (2017)</w:t>
      </w:r>
      <w:r>
        <w:rPr>
          <w:rFonts w:ascii="Arial" w:eastAsia="Arial" w:hAnsi="Arial" w:cs="Arial"/>
        </w:rPr>
        <w:t>, this thesis seeks to interrogate how settler-controlled representations operate within longer histories of colonial epistemic violence. The empirical chapters will take up these questions by exploring how such portrayals work in specific South Florida contexts, and what they reveal about the ongoing intersection of coloniality, representation, and Indigenous presence.</w:t>
      </w:r>
    </w:p>
    <w:p w14:paraId="149C26BE" w14:textId="77777777" w:rsidR="009F0C56" w:rsidRDefault="00653842">
      <w:pPr>
        <w:spacing w:before="240" w:after="240" w:line="276" w:lineRule="auto"/>
        <w:rPr>
          <w:rFonts w:ascii="Arial" w:eastAsia="Arial" w:hAnsi="Arial" w:cs="Arial"/>
        </w:rPr>
      </w:pPr>
      <w:r>
        <w:rPr>
          <w:rFonts w:ascii="Arial" w:eastAsia="Arial" w:hAnsi="Arial" w:cs="Arial"/>
        </w:rPr>
        <w:t xml:space="preserve"> </w:t>
      </w:r>
    </w:p>
    <w:p w14:paraId="45870F41" w14:textId="77777777" w:rsidR="009F0C56" w:rsidRDefault="00653842">
      <w:pPr>
        <w:pStyle w:val="Heading2"/>
        <w:rPr>
          <w:rFonts w:ascii="Arial" w:eastAsia="Arial" w:hAnsi="Arial" w:cs="Arial"/>
        </w:rPr>
      </w:pPr>
      <w:bookmarkStart w:id="78" w:name="_Toc240966009"/>
      <w:r>
        <w:rPr>
          <w:rFonts w:ascii="Arial" w:eastAsia="Arial" w:hAnsi="Arial" w:cs="Arial"/>
        </w:rPr>
        <w:t>5.12 Racial Capitalism: Colonial Structures and the Commodification of Indigenous Life</w:t>
      </w:r>
      <w:bookmarkEnd w:id="78"/>
    </w:p>
    <w:p w14:paraId="69610E59" w14:textId="77777777" w:rsidR="009F0C56" w:rsidRDefault="00653842">
      <w:pPr>
        <w:spacing w:before="240" w:after="240" w:line="276" w:lineRule="auto"/>
        <w:rPr>
          <w:rFonts w:ascii="Arial" w:eastAsia="Arial" w:hAnsi="Arial" w:cs="Arial"/>
        </w:rPr>
      </w:pPr>
      <w:r>
        <w:rPr>
          <w:rFonts w:ascii="Arial" w:eastAsia="Arial" w:hAnsi="Arial" w:cs="Arial"/>
        </w:rPr>
        <w:t xml:space="preserve">This thesis also draws on the concept of racial capitalism, first developed by Cedric J. Robinson in his influential book, </w:t>
      </w:r>
      <w:r>
        <w:rPr>
          <w:rFonts w:ascii="Arial" w:eastAsia="Arial" w:hAnsi="Arial" w:cs="Arial"/>
          <w:i/>
          <w:iCs/>
        </w:rPr>
        <w:t>Black Marxism: The Making of the Black Radical Tradition</w:t>
      </w:r>
      <w:r>
        <w:rPr>
          <w:rFonts w:ascii="Arial" w:eastAsia="Arial" w:hAnsi="Arial" w:cs="Arial"/>
        </w:rPr>
        <w:t xml:space="preserve"> (1983). Robinson challenged traditional Marxist ideas by arguing that capitalism did not arise as a race-neutral economic system. Instead, he contended that from its beginning, capitalism was deeply intertwined with racial hierarchies. According to Robinson, capitalism was built upon existing systems of racial differentiation and grew through them, not outside or despite them.</w:t>
      </w:r>
    </w:p>
    <w:p w14:paraId="4B704F16" w14:textId="77777777" w:rsidR="009F0C56" w:rsidRDefault="00653842">
      <w:pPr>
        <w:spacing w:before="240" w:after="240" w:line="276" w:lineRule="auto"/>
        <w:rPr>
          <w:rFonts w:ascii="Arial" w:eastAsia="Arial" w:hAnsi="Arial" w:cs="Arial"/>
          <w:color w:val="000000"/>
        </w:rPr>
      </w:pPr>
      <w:r>
        <w:rPr>
          <w:rFonts w:ascii="Arial" w:eastAsia="Arial" w:hAnsi="Arial" w:cs="Arial"/>
          <w:color w:val="000000"/>
        </w:rPr>
        <w:t>In this racialisation, in his view, is not just a product of capitalism but a vital element for capitalism's survival, which is used to determine who is most expendable in processes like slavery, settler colonialism, and genocide. Here, scholars like Ruth Wilson Gilmore and Nick Estes (2021) have expanded this approach to examine how racial capitalism influences current struggles related to prisons, the environment, and Indigenous peoples.</w:t>
      </w:r>
    </w:p>
    <w:p w14:paraId="2E96E845" w14:textId="77777777" w:rsidR="009F0C56" w:rsidRDefault="00653842">
      <w:pPr>
        <w:spacing w:before="240" w:after="240" w:line="276" w:lineRule="auto"/>
        <w:rPr>
          <w:rFonts w:ascii="Arial" w:eastAsia="Arial" w:hAnsi="Arial" w:cs="Arial"/>
          <w:color w:val="000000"/>
        </w:rPr>
      </w:pPr>
      <w:r>
        <w:rPr>
          <w:rFonts w:ascii="Arial" w:eastAsia="Arial" w:hAnsi="Arial" w:cs="Arial"/>
          <w:color w:val="000000"/>
        </w:rPr>
        <w:t>Gilmore (2020) highlights this with the sentence: “Capitalism requires inequality, and racism enshrines it.” For her, racism is not just an ideological supplement to capitalism but a core logic that shapes life, death, and value across different places. Estes (2019) also notes this, emphasising how Indigenous dispossession acts as a key aspect of capitalist expansion in North America, where land theft, forced removals, and resource extraction are justified through racial logics that devalue Indigenous lives</w:t>
      </w:r>
      <w:r>
        <w:rPr>
          <w:rFonts w:ascii="Arial" w:eastAsia="Arial" w:hAnsi="Arial" w:cs="Arial"/>
          <w:color w:val="000000"/>
        </w:rPr>
        <w:t>.</w:t>
      </w:r>
    </w:p>
    <w:p w14:paraId="6E595A68" w14:textId="77777777" w:rsidR="009F0C56" w:rsidRDefault="00653842">
      <w:pPr>
        <w:spacing w:before="240" w:after="240" w:line="276" w:lineRule="auto"/>
        <w:rPr>
          <w:rFonts w:ascii="Arial" w:eastAsia="Arial" w:hAnsi="Arial" w:cs="Arial"/>
          <w:color w:val="000000"/>
        </w:rPr>
      </w:pPr>
      <w:r>
        <w:rPr>
          <w:rFonts w:ascii="Arial" w:eastAsia="Arial" w:hAnsi="Arial" w:cs="Arial"/>
          <w:color w:val="000000"/>
        </w:rPr>
        <w:t>In adopting this view, the thesis recognises how racial capitalism reinforces colonial power structures worldwide, especially affecting colonised and marginalised communities. Where settler colonials’ control over Indigenous identities, in how they are portrayed, named, and perceived, is key in maintaining both racial and economic hierarchies.</w:t>
      </w:r>
    </w:p>
    <w:p w14:paraId="74EE4296"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lastRenderedPageBreak/>
        <w:t>Therefore, while racial capitalism provides useful insights into these dynamics, it has limitations, particularly because it mainly focuses on structural aspects like economic exploitation, land dispossession, and labour systems (Estes 2019). In this, racial capitalism tends to overlook the semiotic and representational dimensions of power. While scholars like Gilmore and Estes acknowledge cultural forms of domination, the core literature on racial capitalism does not fully explore how representations funct</w:t>
      </w:r>
      <w:r>
        <w:rPr>
          <w:rFonts w:ascii="Arial" w:eastAsia="Arial" w:hAnsi="Arial" w:cs="Arial"/>
          <w:color w:val="000000"/>
        </w:rPr>
        <w:t>ion as tools of colonial rule and epistemic violence. Thus, Indigenous research that emphasises representation, identity, and epistemology is essential. For example, Daigle (2025) investigates how colonial logics shape Indigenous experiences of space, time, and sovereignty, linking these to capitalist ideas of value and extraction. Her work highlights that racial capitalism involves not only material exploitation but also the erasure and reimagining of Indigenous presence through economic and symbolic means</w:t>
      </w:r>
      <w:r>
        <w:rPr>
          <w:rFonts w:ascii="Arial" w:eastAsia="Arial" w:hAnsi="Arial" w:cs="Arial"/>
          <w:color w:val="000000"/>
        </w:rPr>
        <w:t>.</w:t>
      </w:r>
    </w:p>
    <w:p w14:paraId="737D699A" w14:textId="77777777" w:rsidR="009F0C56" w:rsidRDefault="00653842">
      <w:pPr>
        <w:spacing w:before="280" w:after="280" w:line="240" w:lineRule="auto"/>
        <w:rPr>
          <w:rFonts w:ascii="Arial" w:eastAsia="Arial" w:hAnsi="Arial" w:cs="Arial"/>
        </w:rPr>
      </w:pPr>
      <w:r>
        <w:rPr>
          <w:rFonts w:ascii="Arial" w:eastAsia="Arial" w:hAnsi="Arial" w:cs="Arial"/>
        </w:rPr>
        <w:t>Building on this, the thesis employs racial capitalism as a foundational framework but expands it with decolonial and Indigenous perspectives that foreground representation (Gilmore 2020). The guiding question here is: what happens when we apply the lens of racial capitalism to contexts where representation itself becomes commodified, such as the depictions of Seminole and Miccosukee in South Florida? Can racial capitalism account for the ways settler society transforms Indigenous presence into consumable i</w:t>
      </w:r>
      <w:r>
        <w:rPr>
          <w:rFonts w:ascii="Arial" w:eastAsia="Arial" w:hAnsi="Arial" w:cs="Arial"/>
        </w:rPr>
        <w:t>mages, or does the framework need to be stretched by decolonial and Indigenous insights? These are the questions the following chapters will address, examining how racial capitalism and colonialism intersect not only in material exploitation but also in the representational sphere.</w:t>
      </w:r>
    </w:p>
    <w:p w14:paraId="2D49358D" w14:textId="77777777" w:rsidR="009F0C56" w:rsidRDefault="009F0C56">
      <w:pPr>
        <w:spacing w:before="280" w:after="280" w:line="240" w:lineRule="auto"/>
        <w:rPr>
          <w:rFonts w:ascii="Arial" w:eastAsia="Arial" w:hAnsi="Arial" w:cs="Arial"/>
        </w:rPr>
      </w:pPr>
    </w:p>
    <w:p w14:paraId="6C983EC2" w14:textId="77777777" w:rsidR="009F0C56" w:rsidRDefault="00653842">
      <w:pPr>
        <w:pStyle w:val="Heading2"/>
        <w:rPr>
          <w:rFonts w:ascii="Arial" w:eastAsia="Arial" w:hAnsi="Arial" w:cs="Arial"/>
        </w:rPr>
      </w:pPr>
      <w:bookmarkStart w:id="79" w:name="_Toc240966010"/>
      <w:r>
        <w:rPr>
          <w:rFonts w:ascii="Arial" w:eastAsia="Arial" w:hAnsi="Arial" w:cs="Arial"/>
        </w:rPr>
        <w:t>5.13 Literary perrichlismo: a reinvented history</w:t>
      </w:r>
      <w:bookmarkEnd w:id="79"/>
    </w:p>
    <w:p w14:paraId="27AC7ED5" w14:textId="77777777" w:rsidR="009F0C56" w:rsidRDefault="009F0C56">
      <w:pPr>
        <w:spacing w:line="276" w:lineRule="auto"/>
      </w:pPr>
    </w:p>
    <w:p w14:paraId="1F8A69A7" w14:textId="77777777" w:rsidR="009F0C56" w:rsidRDefault="00653842">
      <w:pPr>
        <w:spacing w:before="280" w:after="280" w:line="240" w:lineRule="auto"/>
        <w:rPr>
          <w:rFonts w:ascii="Arial" w:eastAsia="Arial" w:hAnsi="Arial" w:cs="Arial"/>
        </w:rPr>
      </w:pPr>
      <w:r>
        <w:rPr>
          <w:rFonts w:ascii="Arial" w:eastAsia="Arial" w:hAnsi="Arial" w:cs="Arial"/>
        </w:rPr>
        <w:t xml:space="preserve">This thesis also draws on José Mategui’s (1971) critique of what he termed </w:t>
      </w:r>
      <w:r>
        <w:rPr>
          <w:rFonts w:ascii="Arial" w:eastAsia="Arial" w:hAnsi="Arial" w:cs="Arial"/>
          <w:i/>
          <w:iCs/>
        </w:rPr>
        <w:t>literary perrichlismo</w:t>
      </w:r>
      <w:r>
        <w:rPr>
          <w:rFonts w:ascii="Arial" w:eastAsia="Arial" w:hAnsi="Arial" w:cs="Arial"/>
        </w:rPr>
        <w:t>. Writing about Peru, Mategui used the term to describe a form of cultural production that assembles fragments of Indigenous histories and symbols into literary or aesthetic products crafted for non-Indigenous audiences. These works often claim authenticity but, in reality, distort Indigenous realities by filtering them through settler desires for a consumable “Indian.” The result is a representation that appears to honour Indigenous cultures while actually reinforcing their displacement.</w:t>
      </w:r>
    </w:p>
    <w:p w14:paraId="1C03EEF5" w14:textId="77777777" w:rsidR="009F0C56" w:rsidRDefault="00653842">
      <w:pPr>
        <w:spacing w:before="280" w:after="280" w:line="240" w:lineRule="auto"/>
        <w:rPr>
          <w:rFonts w:ascii="Arial" w:eastAsia="Arial" w:hAnsi="Arial" w:cs="Arial"/>
        </w:rPr>
      </w:pPr>
      <w:r>
        <w:rPr>
          <w:rFonts w:ascii="Arial" w:eastAsia="Arial" w:hAnsi="Arial" w:cs="Arial"/>
        </w:rPr>
        <w:t xml:space="preserve">Applied here, </w:t>
      </w:r>
      <w:r>
        <w:rPr>
          <w:rFonts w:ascii="Arial" w:eastAsia="Arial" w:hAnsi="Arial" w:cs="Arial"/>
          <w:i/>
          <w:iCs/>
        </w:rPr>
        <w:t>literary perrichlismo</w:t>
      </w:r>
      <w:r>
        <w:rPr>
          <w:rFonts w:ascii="Arial" w:eastAsia="Arial" w:hAnsi="Arial" w:cs="Arial"/>
        </w:rPr>
        <w:t xml:space="preserve"> helps frame how settler societies in places like South Florida construct representations of Indigeneity that are both commodified and cognitively displaced into the past. Such aesthetic strategies produce what looks like authentic knowledge but in fact participate in what Mategui identified: a representational economy that erases real Indigenous presence by replacing it with a settler constructed version of Indigeneity (Mategui 1971).</w:t>
      </w:r>
    </w:p>
    <w:p w14:paraId="5DF2E4D3" w14:textId="77777777" w:rsidR="009F0C56" w:rsidRDefault="00653842">
      <w:pPr>
        <w:spacing w:before="280" w:after="280" w:line="240" w:lineRule="auto"/>
        <w:rPr>
          <w:rFonts w:ascii="Arial" w:eastAsia="Arial" w:hAnsi="Arial" w:cs="Arial"/>
        </w:rPr>
      </w:pPr>
      <w:r>
        <w:rPr>
          <w:rFonts w:ascii="Arial" w:eastAsia="Arial" w:hAnsi="Arial" w:cs="Arial"/>
        </w:rPr>
        <w:t xml:space="preserve">The guiding question, then, is: what happens when Mategui’s idea of </w:t>
      </w:r>
      <w:r>
        <w:rPr>
          <w:rFonts w:ascii="Arial" w:eastAsia="Arial" w:hAnsi="Arial" w:cs="Arial"/>
          <w:i/>
          <w:iCs/>
        </w:rPr>
        <w:t>literary perrichlismo</w:t>
      </w:r>
      <w:r>
        <w:rPr>
          <w:rFonts w:ascii="Arial" w:eastAsia="Arial" w:hAnsi="Arial" w:cs="Arial"/>
        </w:rPr>
        <w:t xml:space="preserve">, developed in the context of Peru, is applied to settler-controlled representations of the Seminole and Miccosukee in South Florida? How does this concept illuminate how Indigenous epistemologies are commodified, repackaged, </w:t>
      </w:r>
      <w:r>
        <w:rPr>
          <w:rFonts w:ascii="Arial" w:eastAsia="Arial" w:hAnsi="Arial" w:cs="Arial"/>
        </w:rPr>
        <w:lastRenderedPageBreak/>
        <w:t>and sold back to settlers as “authentic” culture, and how does this process obscure living Indigenous knowledges and sovereignties?</w:t>
      </w:r>
    </w:p>
    <w:p w14:paraId="4A4158DB" w14:textId="77777777" w:rsidR="009F0C56" w:rsidRDefault="00653842">
      <w:pPr>
        <w:spacing w:before="280" w:after="280" w:line="240" w:lineRule="auto"/>
        <w:rPr>
          <w:rFonts w:ascii="Arial" w:eastAsia="Arial" w:hAnsi="Arial" w:cs="Arial"/>
        </w:rPr>
      </w:pPr>
      <w:r>
        <w:rPr>
          <w:rFonts w:ascii="Arial" w:eastAsia="Arial" w:hAnsi="Arial" w:cs="Arial"/>
        </w:rPr>
        <w:t>This theoretical framing sets the stage for the empirical chapters, which will examine how these forms of representational bricolage operate in South Florida’s cultural and touristic spaces.</w:t>
      </w:r>
    </w:p>
    <w:p w14:paraId="47FA9A1B" w14:textId="77777777" w:rsidR="009F0C56" w:rsidRDefault="00653842">
      <w:pPr>
        <w:pStyle w:val="Heading2"/>
        <w:rPr>
          <w:rFonts w:ascii="Arial" w:eastAsia="Arial" w:hAnsi="Arial" w:cs="Arial"/>
        </w:rPr>
      </w:pPr>
      <w:bookmarkStart w:id="80" w:name="_Toc240966011"/>
      <w:r>
        <w:rPr>
          <w:rFonts w:ascii="Arial" w:eastAsia="Arial" w:hAnsi="Arial" w:cs="Arial"/>
        </w:rPr>
        <w:t>5.14 The reification of non-material items into commodified goods.</w:t>
      </w:r>
      <w:bookmarkEnd w:id="80"/>
    </w:p>
    <w:p w14:paraId="73F6E1C3" w14:textId="77777777" w:rsidR="009F0C56" w:rsidRDefault="00653842">
      <w:pPr>
        <w:spacing w:before="280" w:after="280" w:line="240" w:lineRule="auto"/>
        <w:rPr>
          <w:rFonts w:ascii="Arial" w:eastAsia="Arial" w:hAnsi="Arial" w:cs="Arial"/>
          <w:color w:val="000000"/>
        </w:rPr>
      </w:pPr>
      <w:r>
        <w:rPr>
          <w:rFonts w:ascii="Arial" w:eastAsia="Arial" w:hAnsi="Arial" w:cs="Arial"/>
        </w:rPr>
        <w:t xml:space="preserve">This thesis also engages with Lukas’ (2017) theorisation of </w:t>
      </w:r>
      <w:r>
        <w:rPr>
          <w:rFonts w:ascii="Arial" w:eastAsia="Arial" w:hAnsi="Arial" w:cs="Arial"/>
          <w:i/>
          <w:iCs/>
        </w:rPr>
        <w:t>reification</w:t>
      </w:r>
      <w:r>
        <w:rPr>
          <w:rFonts w:ascii="Arial" w:eastAsia="Arial" w:hAnsi="Arial" w:cs="Arial"/>
          <w:color w:val="008000"/>
        </w:rPr>
        <w:t xml:space="preserve"> </w:t>
      </w:r>
      <w:r>
        <w:rPr>
          <w:rFonts w:ascii="Arial" w:eastAsia="Arial" w:hAnsi="Arial" w:cs="Arial"/>
          <w:color w:val="000000"/>
        </w:rPr>
        <w:t>to analyse how objects and concepts without intrinsic commercial value can be transformed into commodities within settler colonial contexts. Reification, in this sense, helps illuminate how elements of Indigenous life, whether linguistic terms, cultural symbols, or material objects, are stripped from their original epistemological and ontological grounding and re-embedded in settler discourses of consumption.</w:t>
      </w:r>
    </w:p>
    <w:p w14:paraId="613FDB84" w14:textId="77777777" w:rsidR="009F0C56" w:rsidRDefault="00653842">
      <w:pPr>
        <w:spacing w:before="280" w:after="280" w:line="240" w:lineRule="auto"/>
        <w:rPr>
          <w:rFonts w:ascii="Arial" w:eastAsia="Arial" w:hAnsi="Arial" w:cs="Arial"/>
        </w:rPr>
      </w:pPr>
      <w:r>
        <w:rPr>
          <w:rFonts w:ascii="Arial" w:eastAsia="Arial" w:hAnsi="Arial" w:cs="Arial"/>
        </w:rPr>
        <w:t>The conceptual question, then, is: what happens when Lukas’ (2017) notion of reification is applied to the representational economy of the Seminole and Miccosukee in South Florida? How does it help us understand the transformation of Indigenous cultural forms and linguistic terms into commodified signifiers, and what does this reveal about the settler-colonial logics that seek to control the meanings of Indigeneity?</w:t>
      </w:r>
    </w:p>
    <w:p w14:paraId="69D54386" w14:textId="77777777" w:rsidR="009F0C56" w:rsidRDefault="00653842">
      <w:pPr>
        <w:spacing w:before="280" w:after="280" w:line="240" w:lineRule="auto"/>
        <w:rPr>
          <w:rFonts w:ascii="Arial" w:eastAsia="Arial" w:hAnsi="Arial" w:cs="Arial"/>
        </w:rPr>
      </w:pPr>
      <w:r>
        <w:rPr>
          <w:rFonts w:ascii="Arial" w:eastAsia="Arial" w:hAnsi="Arial" w:cs="Arial"/>
        </w:rPr>
        <w:t>Thus, by posing this question, the thesis sets up an exploration of how reification not only commodifies Indigenous material culture but also works at the level of language, identity, and epistemology, processes that the empirical chapters will examine in detail (Lukas 2017).</w:t>
      </w:r>
    </w:p>
    <w:p w14:paraId="358C4D16" w14:textId="77777777" w:rsidR="009F0C56" w:rsidRDefault="00653842">
      <w:pPr>
        <w:rPr>
          <w:rFonts w:ascii="Arial" w:eastAsia="Arial" w:hAnsi="Arial" w:cs="Arial"/>
        </w:rPr>
      </w:pPr>
      <w:r>
        <w:rPr>
          <w:rFonts w:ascii="Arial" w:eastAsia="Arial" w:hAnsi="Arial" w:cs="Arial"/>
        </w:rPr>
        <w:t>Read together, the framework establishes a movement from structure to representation, from representation to circulation, from circulation to temporality, and from temporality to space. This movement anticipates the empirical sequence of homogenisation, commodification, historization, and territorialization. The purpose is not to force the data into a predetermined theoretical model, but to provide a set of connected questions through which the empirical material can demonstrate how settler colonial power o</w:t>
      </w:r>
      <w:r>
        <w:rPr>
          <w:rFonts w:ascii="Arial" w:eastAsia="Arial" w:hAnsi="Arial" w:cs="Arial"/>
        </w:rPr>
        <w:t>perates across visual, economic, temporal, and spatial registers.</w:t>
      </w:r>
    </w:p>
    <w:p w14:paraId="627623ED" w14:textId="77777777" w:rsidR="009F0C56" w:rsidRDefault="009F0C56">
      <w:pPr>
        <w:keepNext/>
        <w:keepLines/>
        <w:spacing w:before="160" w:after="80" w:line="276" w:lineRule="auto"/>
        <w:rPr>
          <w:rFonts w:ascii="Play" w:eastAsia="Play" w:hAnsi="Play" w:cs="Play"/>
          <w:color w:val="0F4761"/>
          <w:sz w:val="32"/>
          <w:szCs w:val="32"/>
        </w:rPr>
      </w:pPr>
    </w:p>
    <w:p w14:paraId="694D1A41" w14:textId="77777777" w:rsidR="009F0C56" w:rsidRDefault="00653842">
      <w:pPr>
        <w:pStyle w:val="Heading2"/>
        <w:rPr>
          <w:rFonts w:ascii="Arial" w:eastAsia="Arial" w:hAnsi="Arial" w:cs="Arial"/>
        </w:rPr>
      </w:pPr>
      <w:bookmarkStart w:id="81" w:name="_Toc240966012"/>
      <w:r>
        <w:rPr>
          <w:rFonts w:ascii="Arial" w:eastAsia="Arial" w:hAnsi="Arial" w:cs="Arial"/>
        </w:rPr>
        <w:t>5.15 Conclusion</w:t>
      </w:r>
      <w:bookmarkEnd w:id="81"/>
      <w:r>
        <w:rPr>
          <w:rFonts w:ascii="Arial" w:eastAsia="Arial" w:hAnsi="Arial" w:cs="Arial"/>
        </w:rPr>
        <w:t xml:space="preserve"> </w:t>
      </w:r>
    </w:p>
    <w:p w14:paraId="4DF523AD"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 xml:space="preserve">This study centres on the idea that settler colonialism is not just a past event but an ongoing, persistent structure. As Wolfe's work relayed, settler colonialism relies on a logic of elimination that manifests through material dispossession as well as through symbolic and representational systems (Wolfe 2016). In this, the theoretical approaches employed include settler colonialism, racial capitalism, coloniality, </w:t>
      </w:r>
      <w:r>
        <w:rPr>
          <w:rFonts w:ascii="Arial" w:eastAsia="Arial" w:hAnsi="Arial" w:cs="Arial"/>
          <w:color w:val="000000"/>
        </w:rPr>
        <w:lastRenderedPageBreak/>
        <w:t xml:space="preserve">bricolage, reification, and Indigenous media, which are used to demonstrate how settler power structures manifest in South Florida. Veracini’s concepts of screen memory, non-encounter, and historylessness help explain how settler narratives hide Indigenous presence, creating temporal and spatial erasures that reinforce settler dominance. </w:t>
      </w:r>
    </w:p>
    <w:p w14:paraId="50668B8C" w14:textId="77777777" w:rsidR="009F0C56" w:rsidRDefault="00653842">
      <w:pPr>
        <w:spacing w:before="280" w:after="280" w:line="240" w:lineRule="auto"/>
        <w:rPr>
          <w:rFonts w:ascii="Arial" w:eastAsia="Arial" w:hAnsi="Arial" w:cs="Arial"/>
        </w:rPr>
      </w:pPr>
      <w:r>
        <w:rPr>
          <w:rFonts w:ascii="Arial" w:eastAsia="Arial" w:hAnsi="Arial" w:cs="Arial"/>
        </w:rPr>
        <w:t>This is furthered by Indigenous scholars like Aldred (2000) and Dorries (2022), who emphasise the importance of attending to the layered, often conflicting forms this dominance takes. Alongside Aldred’s analysis of “plastic shamans” and Lightfoot’s (2016) theory of selective endorsement reveal how cultural appropriation circulates in ways that appear to celebrate Indigeneity but actually reinforce settler control, Dorries’s work on colonial urbanism shows how urban and tourism infrastructures actively conta</w:t>
      </w:r>
      <w:r>
        <w:rPr>
          <w:rFonts w:ascii="Arial" w:eastAsia="Arial" w:hAnsi="Arial" w:cs="Arial"/>
        </w:rPr>
        <w:t xml:space="preserve">in, manage, and spatialise Indigenous presence. </w:t>
      </w:r>
    </w:p>
    <w:p w14:paraId="090462B0" w14:textId="77777777" w:rsidR="009F0C56" w:rsidRDefault="00653842">
      <w:pPr>
        <w:spacing w:before="280" w:after="280" w:line="240" w:lineRule="auto"/>
        <w:rPr>
          <w:rFonts w:ascii="Arial" w:eastAsia="Arial" w:hAnsi="Arial" w:cs="Arial"/>
        </w:rPr>
      </w:pPr>
      <w:r>
        <w:rPr>
          <w:rFonts w:ascii="Arial" w:eastAsia="Arial" w:hAnsi="Arial" w:cs="Arial"/>
        </w:rPr>
        <w:t xml:space="preserve">In this, these theories are not offered as definitive answers but as provocations that raise questions through the empirical chapters. Such as: </w:t>
      </w:r>
    </w:p>
    <w:p w14:paraId="084AB1D6" w14:textId="77777777" w:rsidR="009F0C56" w:rsidRDefault="00653842">
      <w:pPr>
        <w:numPr>
          <w:ilvl w:val="0"/>
          <w:numId w:val="7"/>
        </w:numPr>
        <w:spacing w:before="280" w:after="0" w:line="240" w:lineRule="auto"/>
        <w:rPr>
          <w:color w:val="000000"/>
        </w:rPr>
      </w:pPr>
      <w:r>
        <w:rPr>
          <w:rFonts w:ascii="Arial" w:eastAsia="Arial" w:hAnsi="Arial" w:cs="Arial"/>
          <w:color w:val="000000"/>
        </w:rPr>
        <w:t xml:space="preserve">How does racial capitalism shed light on the commodification of Seminole and Miccosukee identities in tourism? </w:t>
      </w:r>
    </w:p>
    <w:p w14:paraId="3495258D" w14:textId="7959DBF0" w:rsidR="009F0C56" w:rsidRDefault="00653842">
      <w:pPr>
        <w:numPr>
          <w:ilvl w:val="0"/>
          <w:numId w:val="7"/>
        </w:numPr>
        <w:spacing w:after="0" w:line="240" w:lineRule="auto"/>
        <w:rPr>
          <w:color w:val="000000"/>
        </w:rPr>
      </w:pPr>
      <w:r>
        <w:rPr>
          <w:rFonts w:ascii="Arial" w:eastAsia="Arial" w:hAnsi="Arial" w:cs="Arial"/>
          <w:color w:val="000000"/>
        </w:rPr>
        <w:t xml:space="preserve">How does </w:t>
      </w:r>
      <w:r w:rsidR="00CF2C48">
        <w:rPr>
          <w:rFonts w:ascii="Arial" w:eastAsia="Arial" w:hAnsi="Arial" w:cs="Arial"/>
          <w:color w:val="000000"/>
        </w:rPr>
        <w:t xml:space="preserve">the </w:t>
      </w:r>
      <w:r>
        <w:rPr>
          <w:rFonts w:ascii="Arial" w:eastAsia="Arial" w:hAnsi="Arial" w:cs="Arial"/>
          <w:color w:val="000000"/>
        </w:rPr>
        <w:t>coloniality of power</w:t>
      </w:r>
      <w:r w:rsidR="00CF2C48">
        <w:rPr>
          <w:rFonts w:ascii="Arial" w:eastAsia="Arial" w:hAnsi="Arial" w:cs="Arial"/>
          <w:color w:val="000000"/>
        </w:rPr>
        <w:t xml:space="preserve"> and</w:t>
      </w:r>
      <w:r>
        <w:rPr>
          <w:rFonts w:ascii="Arial" w:eastAsia="Arial" w:hAnsi="Arial" w:cs="Arial"/>
          <w:color w:val="000000"/>
        </w:rPr>
        <w:t xml:space="preserve"> knowledge account for the depiction of Indigenous peoples as relics of the past? </w:t>
      </w:r>
    </w:p>
    <w:p w14:paraId="58CE5EA6" w14:textId="77777777" w:rsidR="009F0C56" w:rsidRDefault="00653842">
      <w:pPr>
        <w:numPr>
          <w:ilvl w:val="0"/>
          <w:numId w:val="7"/>
        </w:numPr>
        <w:spacing w:after="0" w:line="240" w:lineRule="auto"/>
        <w:rPr>
          <w:color w:val="000000"/>
        </w:rPr>
      </w:pPr>
      <w:r>
        <w:rPr>
          <w:rFonts w:ascii="Arial" w:eastAsia="Arial" w:hAnsi="Arial" w:cs="Arial"/>
          <w:color w:val="000000"/>
        </w:rPr>
        <w:t xml:space="preserve">What are the effects when bricolage and reification are traced through tourism markets, language, and cultural commodification? </w:t>
      </w:r>
    </w:p>
    <w:p w14:paraId="0011EAA3" w14:textId="77777777" w:rsidR="009F0C56" w:rsidRDefault="00653842">
      <w:pPr>
        <w:numPr>
          <w:ilvl w:val="0"/>
          <w:numId w:val="7"/>
        </w:numPr>
        <w:spacing w:after="280" w:line="240" w:lineRule="auto"/>
      </w:pPr>
      <w:r>
        <w:rPr>
          <w:rFonts w:ascii="Arial" w:eastAsia="Arial" w:hAnsi="Arial" w:cs="Arial"/>
        </w:rPr>
        <w:t xml:space="preserve">How can third space sovereignty and Indigenous media practices expose the limits of representational control while also highlighting Indigenous resistance and revitalisation? </w:t>
      </w:r>
    </w:p>
    <w:p w14:paraId="4A632B02"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Therefore, through focusing on these Indigenous and decolonial interventions, the framework offers a nuanced critique that resists simplifying settler colonialism into an abstract concept and instead highlights its lived, spatial, and cultural realities. However, it is also crucial to acknowledge the limits of this approach. This study does not aim to fully represent Seminole or Miccosukee practices of sovereignty or self-representation. Instead, it examines the settler colonial structures, such as assimila</w:t>
      </w:r>
      <w:r>
        <w:rPr>
          <w:rFonts w:ascii="Arial" w:eastAsia="Arial" w:hAnsi="Arial" w:cs="Arial"/>
          <w:color w:val="000000"/>
        </w:rPr>
        <w:t xml:space="preserve">tion, commodification, and erasure, that shape the ways Indigeneity is portrayed and consumed in South Florida. </w:t>
      </w:r>
    </w:p>
    <w:p w14:paraId="5975C39E"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 xml:space="preserve">Recognising these boundaries aids in reducing Indigenous presence in settler narratives while still analysing the systems that attempt to erase and control it. The subsequent chapters build on these theoretical insights to explore how Seminole and Miccosukee identities are constructed within South Florida’s representational economy. They reveal how settler colonialism continues to operate across urban, touristic, and cultural spaces, while also highlighting Indigenous resilience, refusal, and resurgence in </w:t>
      </w:r>
      <w:r>
        <w:rPr>
          <w:rFonts w:ascii="Arial" w:eastAsia="Arial" w:hAnsi="Arial" w:cs="Arial"/>
          <w:color w:val="000000"/>
        </w:rPr>
        <w:t>the context of South Florida.</w:t>
      </w:r>
    </w:p>
    <w:p w14:paraId="15DE6E5A" w14:textId="77777777" w:rsidR="009F0C56" w:rsidRDefault="00653842">
      <w:pPr>
        <w:rPr>
          <w:rFonts w:ascii="Arial" w:eastAsia="Arial" w:hAnsi="Arial" w:cs="Arial"/>
        </w:rPr>
      </w:pPr>
      <w:r>
        <w:rPr>
          <w:rFonts w:ascii="Arial" w:eastAsia="Arial" w:hAnsi="Arial" w:cs="Arial"/>
        </w:rPr>
        <w:t xml:space="preserve">Theoretically, the framework maps directly onto the empirical chapters. Chapter 6 uses settler bricolage, homogenisation, invented traditions, and the coloniality of knowledge to explain how diverse Indigenous identities are reduced to a singular “Indian” figure. Chapter 7 develops the economic dimension through racial </w:t>
      </w:r>
      <w:r>
        <w:rPr>
          <w:rFonts w:ascii="Arial" w:eastAsia="Arial" w:hAnsi="Arial" w:cs="Arial"/>
        </w:rPr>
        <w:lastRenderedPageBreak/>
        <w:t xml:space="preserve">capitalism, commodification, reification, and critiques of appropriation, showing how the homogenised figure becomes a consumable object. </w:t>
      </w:r>
    </w:p>
    <w:p w14:paraId="113C2008" w14:textId="77777777" w:rsidR="009F0C56" w:rsidRDefault="00653842">
      <w:pPr>
        <w:rPr>
          <w:rFonts w:ascii="Arial" w:eastAsia="Arial" w:hAnsi="Arial" w:cs="Arial"/>
        </w:rPr>
      </w:pPr>
      <w:r>
        <w:rPr>
          <w:rFonts w:ascii="Arial" w:eastAsia="Arial" w:hAnsi="Arial" w:cs="Arial"/>
        </w:rPr>
        <w:t>Chapter 8 draws particularly on scholarship on time and memory to examine how Indigenous presence is displaced into the past and separated from futurity. Chapter 9 brings these processes together through colonial urbanism, Indigenous geographies, and land-centred scholarship, demonstrating how representational control becomes materially embedded in territorial transformation. The theoretical chapter therefore establishes the conceptual sequence through which the four empirical arguments can be read as inter</w:t>
      </w:r>
      <w:r>
        <w:rPr>
          <w:rFonts w:ascii="Arial" w:eastAsia="Arial" w:hAnsi="Arial" w:cs="Arial"/>
        </w:rPr>
        <w:t>connected forms of settler colonial power.</w:t>
      </w:r>
    </w:p>
    <w:p w14:paraId="4AA58243" w14:textId="77777777" w:rsidR="009F0C56" w:rsidRDefault="009F0C56">
      <w:pPr>
        <w:spacing w:before="280" w:after="280" w:line="240" w:lineRule="auto"/>
        <w:rPr>
          <w:rFonts w:ascii="Arial" w:eastAsia="Arial" w:hAnsi="Arial" w:cs="Arial"/>
          <w:color w:val="000000"/>
        </w:rPr>
      </w:pPr>
    </w:p>
    <w:p w14:paraId="4A831663" w14:textId="77777777" w:rsidR="009F0C56" w:rsidRDefault="009F0C56">
      <w:pPr>
        <w:spacing w:before="280" w:after="280" w:line="240" w:lineRule="auto"/>
        <w:rPr>
          <w:rFonts w:ascii="Arial" w:eastAsia="Arial" w:hAnsi="Arial" w:cs="Arial"/>
          <w:color w:val="000000"/>
        </w:rPr>
      </w:pPr>
    </w:p>
    <w:p w14:paraId="21FEA9D6" w14:textId="77777777" w:rsidR="009F0C56" w:rsidRDefault="009F0C56">
      <w:pPr>
        <w:spacing w:before="280" w:after="280" w:line="240" w:lineRule="auto"/>
        <w:rPr>
          <w:rFonts w:ascii="Arial" w:eastAsia="Arial" w:hAnsi="Arial" w:cs="Arial"/>
          <w:color w:val="000000"/>
        </w:rPr>
      </w:pPr>
    </w:p>
    <w:p w14:paraId="41C6305D" w14:textId="77777777" w:rsidR="009F0C56" w:rsidRDefault="009F0C56">
      <w:pPr>
        <w:spacing w:before="280" w:after="280" w:line="240" w:lineRule="auto"/>
        <w:rPr>
          <w:rFonts w:ascii="Arial" w:eastAsia="Arial" w:hAnsi="Arial" w:cs="Arial"/>
          <w:color w:val="000000"/>
        </w:rPr>
      </w:pPr>
    </w:p>
    <w:p w14:paraId="6B3A2D69" w14:textId="77777777" w:rsidR="009F0C56" w:rsidRDefault="009F0C56">
      <w:pPr>
        <w:spacing w:before="280" w:after="280" w:line="240" w:lineRule="auto"/>
        <w:rPr>
          <w:rFonts w:ascii="Arial" w:eastAsia="Arial" w:hAnsi="Arial" w:cs="Arial"/>
          <w:color w:val="000000"/>
        </w:rPr>
      </w:pPr>
    </w:p>
    <w:p w14:paraId="31ECF5E1" w14:textId="77777777" w:rsidR="009F0C56" w:rsidRDefault="009F0C56">
      <w:pPr>
        <w:spacing w:before="280" w:after="280" w:line="240" w:lineRule="auto"/>
        <w:rPr>
          <w:rFonts w:ascii="Arial" w:eastAsia="Arial" w:hAnsi="Arial" w:cs="Arial"/>
          <w:color w:val="000000"/>
        </w:rPr>
      </w:pPr>
    </w:p>
    <w:p w14:paraId="6AA17F65" w14:textId="77777777" w:rsidR="009F0C56" w:rsidRDefault="009F0C56">
      <w:pPr>
        <w:spacing w:before="280" w:after="280" w:line="240" w:lineRule="auto"/>
        <w:rPr>
          <w:rFonts w:ascii="Arial" w:eastAsia="Arial" w:hAnsi="Arial" w:cs="Arial"/>
          <w:color w:val="000000"/>
        </w:rPr>
      </w:pPr>
    </w:p>
    <w:p w14:paraId="50A12A8B" w14:textId="77777777" w:rsidR="009F0C56" w:rsidRDefault="009F0C56">
      <w:pPr>
        <w:spacing w:before="280" w:after="280" w:line="240" w:lineRule="auto"/>
        <w:rPr>
          <w:rFonts w:ascii="Arial" w:eastAsia="Arial" w:hAnsi="Arial" w:cs="Arial"/>
          <w:color w:val="000000"/>
        </w:rPr>
      </w:pPr>
    </w:p>
    <w:p w14:paraId="51EA0311" w14:textId="77777777" w:rsidR="009F0C56" w:rsidRDefault="009F0C56">
      <w:pPr>
        <w:spacing w:line="276" w:lineRule="auto"/>
      </w:pPr>
    </w:p>
    <w:p w14:paraId="19848496" w14:textId="77777777" w:rsidR="009F0C56" w:rsidRDefault="009F0C56">
      <w:pPr>
        <w:spacing w:line="276" w:lineRule="auto"/>
      </w:pPr>
    </w:p>
    <w:p w14:paraId="0BDF2711" w14:textId="77777777" w:rsidR="009F0C56" w:rsidRDefault="009F0C56">
      <w:pPr>
        <w:spacing w:line="276" w:lineRule="auto"/>
      </w:pPr>
    </w:p>
    <w:p w14:paraId="0AEA6FFA" w14:textId="77777777" w:rsidR="009F0C56" w:rsidRDefault="009F0C56">
      <w:pPr>
        <w:spacing w:line="276" w:lineRule="auto"/>
      </w:pPr>
    </w:p>
    <w:p w14:paraId="334F4B73" w14:textId="77777777" w:rsidR="00F44422" w:rsidRDefault="00F44422">
      <w:pPr>
        <w:spacing w:line="276" w:lineRule="auto"/>
      </w:pPr>
    </w:p>
    <w:p w14:paraId="326CBE9E" w14:textId="77777777" w:rsidR="00F44422" w:rsidRDefault="00F44422">
      <w:pPr>
        <w:spacing w:line="276" w:lineRule="auto"/>
      </w:pPr>
    </w:p>
    <w:p w14:paraId="044B9780" w14:textId="77777777" w:rsidR="00F44422" w:rsidRDefault="00F44422">
      <w:pPr>
        <w:spacing w:line="276" w:lineRule="auto"/>
      </w:pPr>
    </w:p>
    <w:p w14:paraId="5ED67128" w14:textId="77777777" w:rsidR="009F0C56" w:rsidRDefault="009F0C56"/>
    <w:p w14:paraId="63BFF33B" w14:textId="77777777" w:rsidR="009F0C56" w:rsidRDefault="00653842">
      <w:pPr>
        <w:pStyle w:val="Heading1"/>
        <w:rPr>
          <w:rFonts w:ascii="Arial" w:eastAsia="Arial" w:hAnsi="Arial" w:cs="Arial"/>
          <w:u w:val="single"/>
        </w:rPr>
      </w:pPr>
      <w:bookmarkStart w:id="82" w:name="_Toc240966013"/>
      <w:r>
        <w:rPr>
          <w:rFonts w:ascii="Arial" w:eastAsia="Arial" w:hAnsi="Arial" w:cs="Arial"/>
          <w:u w:val="single"/>
        </w:rPr>
        <w:lastRenderedPageBreak/>
        <w:t>6.0 Homogenisation and role of spatial erasure</w:t>
      </w:r>
      <w:bookmarkEnd w:id="82"/>
    </w:p>
    <w:p w14:paraId="55E30742" w14:textId="77777777" w:rsidR="009F0C56" w:rsidRDefault="00653842">
      <w:pPr>
        <w:pStyle w:val="Heading1"/>
        <w:rPr>
          <w:rFonts w:ascii="Arial" w:eastAsia="Arial" w:hAnsi="Arial" w:cs="Arial"/>
          <w:sz w:val="32"/>
          <w:szCs w:val="32"/>
        </w:rPr>
      </w:pPr>
      <w:bookmarkStart w:id="83" w:name="_Toc240966014"/>
      <w:r>
        <w:rPr>
          <w:rFonts w:ascii="Arial" w:eastAsia="Arial" w:hAnsi="Arial" w:cs="Arial"/>
          <w:sz w:val="32"/>
          <w:szCs w:val="32"/>
        </w:rPr>
        <w:t>Introduction:</w:t>
      </w:r>
      <w:bookmarkEnd w:id="83"/>
    </w:p>
    <w:p w14:paraId="019A4D3E" w14:textId="41FFB31D" w:rsidR="009F0C56" w:rsidRDefault="00653842">
      <w:pPr>
        <w:spacing w:before="280" w:after="280" w:line="240" w:lineRule="auto"/>
        <w:rPr>
          <w:rFonts w:ascii="Arial" w:eastAsia="Arial" w:hAnsi="Arial" w:cs="Arial"/>
          <w:color w:val="000000"/>
        </w:rPr>
      </w:pPr>
      <w:r>
        <w:rPr>
          <w:rFonts w:ascii="Arial" w:eastAsia="Arial" w:hAnsi="Arial" w:cs="Arial"/>
        </w:rPr>
        <w:t xml:space="preserve">This first empirical chapter of this thesis will critically engage with </w:t>
      </w:r>
      <w:r w:rsidR="00CF2C48">
        <w:rPr>
          <w:rFonts w:ascii="Arial" w:eastAsia="Arial" w:hAnsi="Arial" w:cs="Arial"/>
        </w:rPr>
        <w:t xml:space="preserve">and </w:t>
      </w:r>
      <w:r>
        <w:rPr>
          <w:rFonts w:ascii="Arial" w:eastAsia="Arial" w:hAnsi="Arial" w:cs="Arial"/>
        </w:rPr>
        <w:t xml:space="preserve">critically </w:t>
      </w:r>
      <w:r w:rsidR="00CF2C48">
        <w:rPr>
          <w:rFonts w:ascii="Arial" w:eastAsia="Arial" w:hAnsi="Arial" w:cs="Arial"/>
        </w:rPr>
        <w:t>analyse</w:t>
      </w:r>
      <w:r>
        <w:rPr>
          <w:rFonts w:ascii="Arial" w:eastAsia="Arial" w:hAnsi="Arial" w:cs="Arial"/>
        </w:rPr>
        <w:t xml:space="preserve"> the </w:t>
      </w:r>
      <w:r>
        <w:rPr>
          <w:rFonts w:ascii="Arial" w:eastAsia="Arial" w:hAnsi="Arial" w:cs="Arial"/>
          <w:color w:val="000000"/>
        </w:rPr>
        <w:t xml:space="preserve">structure of homogenisation as a pivotal mechanism through which settler society constructs representations of Indigeneity. Homogenisation serves as a critical entry point for the analysis that follows this initial analysis chapter. This is because, through the chapter </w:t>
      </w:r>
      <w:r w:rsidR="00CF2C48">
        <w:rPr>
          <w:rFonts w:ascii="Arial" w:eastAsia="Arial" w:hAnsi="Arial" w:cs="Arial"/>
          <w:color w:val="000000"/>
        </w:rPr>
        <w:t>on</w:t>
      </w:r>
      <w:r>
        <w:rPr>
          <w:rFonts w:ascii="Arial" w:eastAsia="Arial" w:hAnsi="Arial" w:cs="Arial"/>
          <w:color w:val="000000"/>
        </w:rPr>
        <w:t xml:space="preserve"> homogenisation, it exposes how Indigenous diversity, across histories, epistemologies, ontologies, and cosmologies, is collapsed into a narrow, generalised set of signifiers defined by settler logics rather than Seminole and Miccosukee lived realities. In this process, the “Indian” emerges not as a living, dynamic identity, but as a simplified, stereotyped caricature constructed to meet settler expectations and desires of Indigeneity (Aldred 2000).</w:t>
      </w:r>
    </w:p>
    <w:p w14:paraId="1791E3F8"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 xml:space="preserve">Therefore, by beginning with homogenisation, the chapter establishes the groundwork for understanding how representations operate as mechanisms of settler colonialism. Highlighting how Indigenous visibility is made legible only through pre-selected tropes and reductive categories that erase spatial specificity while reinforcing the authority of settler epistemologies (Veracini 2013). To do this, the chapter draws on photographs taken during the fieldwork and engages them through a critical visual geography </w:t>
      </w:r>
      <w:r>
        <w:rPr>
          <w:rFonts w:ascii="Arial" w:eastAsia="Arial" w:hAnsi="Arial" w:cs="Arial"/>
          <w:color w:val="000000"/>
        </w:rPr>
        <w:t>methodology. This approach enables a close reading of how visual environments such as shop displays, advertising, monuments, and tourist signage all participate in the construction of a homogenised Indian identity in Southern Florida.</w:t>
      </w:r>
    </w:p>
    <w:p w14:paraId="52E36D85" w14:textId="76C7D202" w:rsidR="009F0C56" w:rsidRDefault="00653842">
      <w:pPr>
        <w:spacing w:before="280" w:after="280" w:line="240" w:lineRule="auto"/>
        <w:rPr>
          <w:rFonts w:ascii="Arial" w:eastAsia="Arial" w:hAnsi="Arial" w:cs="Arial"/>
          <w:color w:val="000000"/>
        </w:rPr>
      </w:pPr>
      <w:r>
        <w:rPr>
          <w:rFonts w:ascii="Arial" w:eastAsia="Arial" w:hAnsi="Arial" w:cs="Arial"/>
          <w:color w:val="000000"/>
        </w:rPr>
        <w:t xml:space="preserve">In doing this, the chapter situates the argument that homogenisation is not a neutral process of over-simplification, but a colonial power form of representational violence. </w:t>
      </w:r>
      <w:r w:rsidR="00CF2C48">
        <w:rPr>
          <w:rFonts w:ascii="Arial" w:eastAsia="Arial" w:hAnsi="Arial" w:cs="Arial"/>
          <w:color w:val="000000"/>
        </w:rPr>
        <w:t>Through</w:t>
      </w:r>
      <w:r>
        <w:rPr>
          <w:rFonts w:ascii="Arial" w:eastAsia="Arial" w:hAnsi="Arial" w:cs="Arial"/>
          <w:color w:val="000000"/>
        </w:rPr>
        <w:t xml:space="preserve"> everyday visual practices, settler society knowingly and often unknowingly erases Seminole and Miccosukee complexity, as will be shown in the following analysis. </w:t>
      </w:r>
    </w:p>
    <w:p w14:paraId="79ED7725" w14:textId="77777777" w:rsidR="009F0C56" w:rsidRDefault="00653842">
      <w:pPr>
        <w:pStyle w:val="Heading2"/>
        <w:rPr>
          <w:rFonts w:ascii="Arial" w:eastAsia="Arial" w:hAnsi="Arial" w:cs="Arial"/>
        </w:rPr>
      </w:pPr>
      <w:bookmarkStart w:id="84" w:name="_Toc240966015"/>
      <w:r>
        <w:rPr>
          <w:rFonts w:ascii="Arial" w:eastAsia="Arial" w:hAnsi="Arial" w:cs="Arial"/>
        </w:rPr>
        <w:t>6.1 Homogenisation and the role of Indigenous erasure</w:t>
      </w:r>
      <w:bookmarkEnd w:id="84"/>
      <w:r>
        <w:rPr>
          <w:rFonts w:ascii="Arial" w:eastAsia="Arial" w:hAnsi="Arial" w:cs="Arial"/>
        </w:rPr>
        <w:t xml:space="preserve"> </w:t>
      </w:r>
    </w:p>
    <w:p w14:paraId="2600B749" w14:textId="29A05421" w:rsidR="009F0C56" w:rsidRDefault="00653842">
      <w:pPr>
        <w:spacing w:before="240" w:after="240"/>
        <w:rPr>
          <w:rFonts w:ascii="Arial" w:eastAsia="Arial" w:hAnsi="Arial" w:cs="Arial"/>
          <w:color w:val="000000"/>
        </w:rPr>
      </w:pPr>
      <w:r>
        <w:rPr>
          <w:rFonts w:ascii="Arial" w:eastAsia="Arial" w:hAnsi="Arial" w:cs="Arial"/>
          <w:color w:val="000000"/>
        </w:rPr>
        <w:t xml:space="preserve">Through the analysis of commodification and time, homogenisation becomes a key factor of interest in the exploration of Indigenous representations from settler society. Here, grouping the visual geography </w:t>
      </w:r>
      <w:r w:rsidR="00CF2C48">
        <w:rPr>
          <w:rFonts w:ascii="Arial" w:eastAsia="Arial" w:hAnsi="Arial" w:cs="Arial"/>
          <w:color w:val="000000"/>
        </w:rPr>
        <w:t>media</w:t>
      </w:r>
      <w:r>
        <w:rPr>
          <w:rFonts w:ascii="Arial" w:eastAsia="Arial" w:hAnsi="Arial" w:cs="Arial"/>
          <w:color w:val="000000"/>
        </w:rPr>
        <w:t xml:space="preserve"> from the fieldwork highlighted the need to explore the homogenisation of Indigenous representations as a colonial structure. This chapter shall explore the relations of power that utilise Indigenous settler representations to forge a homogenised settler Indigenous understanding.</w:t>
      </w:r>
    </w:p>
    <w:p w14:paraId="04843447" w14:textId="77777777" w:rsidR="009F0C56" w:rsidRDefault="00653842">
      <w:pPr>
        <w:spacing w:before="280" w:after="280" w:line="276" w:lineRule="auto"/>
        <w:rPr>
          <w:rFonts w:ascii="Arial" w:eastAsia="Arial" w:hAnsi="Arial" w:cs="Arial"/>
          <w:color w:val="000000"/>
        </w:rPr>
      </w:pPr>
      <w:r>
        <w:rPr>
          <w:rFonts w:ascii="Arial" w:eastAsia="Arial" w:hAnsi="Arial" w:cs="Arial"/>
          <w:color w:val="000000"/>
        </w:rPr>
        <w:t xml:space="preserve">To explore this, the chapter will focus on key elements that have allowed settler society to create a bricolage of realities that manipulate Indigenous representations (Barker, 2021). The first area of focus is how Indigenous communities across North America are reduced to a homogenised identity. This will be explored through Jung's </w:t>
      </w:r>
      <w:r>
        <w:rPr>
          <w:rFonts w:ascii="Arial" w:eastAsia="Arial" w:hAnsi="Arial" w:cs="Arial"/>
          <w:color w:val="000000"/>
        </w:rPr>
        <w:lastRenderedPageBreak/>
        <w:t xml:space="preserve">notion of how settler archetypes of Indigeneity simplify complex Indigenous ontologies (Jung, 1991). </w:t>
      </w:r>
    </w:p>
    <w:p w14:paraId="5ED64994" w14:textId="595C7744" w:rsidR="009F0C56" w:rsidRDefault="00653842">
      <w:pPr>
        <w:spacing w:before="280" w:after="280" w:line="276" w:lineRule="auto"/>
        <w:rPr>
          <w:rFonts w:ascii="Arial" w:eastAsia="Arial" w:hAnsi="Arial" w:cs="Arial"/>
          <w:color w:val="000000"/>
        </w:rPr>
      </w:pPr>
      <w:r>
        <w:rPr>
          <w:rFonts w:ascii="Arial" w:eastAsia="Arial" w:hAnsi="Arial" w:cs="Arial"/>
          <w:color w:val="000000"/>
        </w:rPr>
        <w:t xml:space="preserve">This idea, combined with Hobsbawm's (2018) concept of invented traditions, will situate how settler colonial society distorts Indigeneity through producing a constructed representation that serves </w:t>
      </w:r>
      <w:r>
        <w:rPr>
          <w:rFonts w:ascii="Arial" w:eastAsia="Arial" w:hAnsi="Arial" w:cs="Arial"/>
          <w:color w:val="000000"/>
        </w:rPr>
        <w:t>colonial interests. Secondly, the chapter will examine the monopolisation of Indigenous representations as an element of settler discourse. Here, the chapter will analyse the commodification of Indigenous symbols, practices, and aesthetics through the homogenisation of Indigenous cultural elements, transforming them into consumable commodities. This chapter will explore how settler colonial society is removing the Indigenous from Indigeneity, replacing it with a fabricated and distorted reality that support</w:t>
      </w:r>
      <w:r>
        <w:rPr>
          <w:rFonts w:ascii="Arial" w:eastAsia="Arial" w:hAnsi="Arial" w:cs="Arial"/>
          <w:color w:val="000000"/>
        </w:rPr>
        <w:t>s settler colonial ontological perspectives. This homogenisation process echoes themes from the previous chapter on commodification, which illustrated how economic and cultural assimilation work in parallel to erase and assimilate Indigenous self-representations into the settler discourse (Aldred, 2000).</w:t>
      </w:r>
    </w:p>
    <w:p w14:paraId="5DD19F09" w14:textId="5E97C630" w:rsidR="009F0C56" w:rsidRDefault="00653842">
      <w:pPr>
        <w:spacing w:before="280" w:after="280" w:line="276" w:lineRule="auto"/>
        <w:rPr>
          <w:rFonts w:ascii="Arial" w:eastAsia="Arial" w:hAnsi="Arial" w:cs="Arial"/>
          <w:color w:val="000000"/>
        </w:rPr>
      </w:pPr>
      <w:r>
        <w:rPr>
          <w:rFonts w:ascii="Arial" w:eastAsia="Arial" w:hAnsi="Arial" w:cs="Arial"/>
          <w:color w:val="000000"/>
        </w:rPr>
        <w:t>Following this, the chapter will then explore how Homogenisation operates as a process that produces colonial structures, which allow settler society to construct a bricolage of realities for Indigenous communities. That fits a settler discourse by homogenising them into the sphere of settler influence. This section will highlight how homogenisation functions as a key mechanism of control in the ongoing project of colonial domination and cultural assimilation of Indigenous representations for the Seminole a</w:t>
      </w:r>
      <w:r>
        <w:rPr>
          <w:rFonts w:ascii="Arial" w:eastAsia="Arial" w:hAnsi="Arial" w:cs="Arial"/>
          <w:color w:val="000000"/>
        </w:rPr>
        <w:t>nd Miccosukee. To explore this, homogenisation</w:t>
      </w:r>
      <w:r w:rsidR="00CF2C48">
        <w:rPr>
          <w:rFonts w:ascii="Arial" w:eastAsia="Arial" w:hAnsi="Arial" w:cs="Arial"/>
          <w:color w:val="000000"/>
        </w:rPr>
        <w:t>,</w:t>
      </w:r>
      <w:r>
        <w:rPr>
          <w:rFonts w:ascii="Arial" w:eastAsia="Arial" w:hAnsi="Arial" w:cs="Arial"/>
          <w:color w:val="000000"/>
        </w:rPr>
        <w:t xml:space="preserve"> </w:t>
      </w:r>
      <w:r w:rsidR="00CF2C48">
        <w:rPr>
          <w:rFonts w:ascii="Arial" w:eastAsia="Arial" w:hAnsi="Arial" w:cs="Arial"/>
          <w:color w:val="000000"/>
        </w:rPr>
        <w:t>and</w:t>
      </w:r>
      <w:r>
        <w:rPr>
          <w:rFonts w:ascii="Arial" w:eastAsia="Arial" w:hAnsi="Arial" w:cs="Arial"/>
          <w:color w:val="000000"/>
        </w:rPr>
        <w:t xml:space="preserve"> how it will be engaged</w:t>
      </w:r>
      <w:r w:rsidR="00CF2C48">
        <w:rPr>
          <w:rFonts w:ascii="Arial" w:eastAsia="Arial" w:hAnsi="Arial" w:cs="Arial"/>
          <w:color w:val="000000"/>
        </w:rPr>
        <w:t>,</w:t>
      </w:r>
      <w:r>
        <w:rPr>
          <w:rFonts w:ascii="Arial" w:eastAsia="Arial" w:hAnsi="Arial" w:cs="Arial"/>
          <w:color w:val="000000"/>
        </w:rPr>
        <w:t xml:space="preserve"> needs to be asserted. In this, homogenisation, as Harris noted, is</w:t>
      </w:r>
    </w:p>
    <w:p w14:paraId="4DCF082A" w14:textId="77777777" w:rsidR="009F0C56" w:rsidRDefault="00653842">
      <w:pPr>
        <w:spacing w:before="280" w:after="280" w:line="276" w:lineRule="auto"/>
        <w:jc w:val="center"/>
        <w:rPr>
          <w:rFonts w:ascii="Arial" w:eastAsia="Arial" w:hAnsi="Arial" w:cs="Arial"/>
        </w:rPr>
      </w:pPr>
      <w:r>
        <w:rPr>
          <w:rFonts w:ascii="Arial" w:eastAsia="Arial" w:hAnsi="Arial" w:cs="Arial"/>
        </w:rPr>
        <w:t>“</w:t>
      </w:r>
      <w:r>
        <w:rPr>
          <w:rFonts w:ascii="Arial" w:eastAsia="Arial" w:hAnsi="Arial" w:cs="Arial"/>
          <w:i/>
          <w:iCs/>
        </w:rPr>
        <w:t>The clue to the relationship between majorities and minorities is actually in the intensity of these homogenising tendencies which range from mild attempts at the appropriation of state power by the dominant national group to the exclusion of minorities when taking a negative perspective, or the level of accommodation of minorities from a more positive position</w:t>
      </w:r>
      <w:r>
        <w:rPr>
          <w:rFonts w:ascii="Arial" w:eastAsia="Arial" w:hAnsi="Arial" w:cs="Arial"/>
        </w:rPr>
        <w:t>.” (Harris, 2009; 78)</w:t>
      </w:r>
    </w:p>
    <w:p w14:paraId="1A7922AE" w14:textId="28EEF77C" w:rsidR="009F0C56" w:rsidRDefault="00653842">
      <w:pPr>
        <w:spacing w:before="280" w:after="280" w:line="276" w:lineRule="auto"/>
        <w:rPr>
          <w:rFonts w:ascii="Arial" w:eastAsia="Arial" w:hAnsi="Arial" w:cs="Arial"/>
          <w:color w:val="000000"/>
        </w:rPr>
      </w:pPr>
      <w:r>
        <w:rPr>
          <w:rFonts w:ascii="Arial" w:eastAsia="Arial" w:hAnsi="Arial" w:cs="Arial"/>
          <w:color w:val="000000"/>
        </w:rPr>
        <w:t>Harris draws from Gramsci’s cultural hegemony, where homogenisation operates as a process of leadership ingrained in the bourgeoisie (settler) class. Here, the settler class exerts a political, intellectual, as well as moral set of principles within the colonial hegemonic system, which cements a belief in a singular worldview (Gramsci, 2011). This works through homogenisation to disregard and further marginalise Indigenous worldviews</w:t>
      </w:r>
      <w:r>
        <w:rPr>
          <w:rFonts w:ascii="Arial" w:eastAsia="Arial" w:hAnsi="Arial" w:cs="Arial"/>
          <w:color w:val="000000"/>
        </w:rPr>
        <w:t xml:space="preserve"> by enforcing a uniform perception that reinforces the dominance of settler society. </w:t>
      </w:r>
    </w:p>
    <w:p w14:paraId="34342482" w14:textId="6B6FEF79" w:rsidR="009F0C56" w:rsidRDefault="00653842">
      <w:pPr>
        <w:spacing w:before="280" w:after="280" w:line="276" w:lineRule="auto"/>
        <w:rPr>
          <w:rFonts w:ascii="Arial" w:eastAsia="Arial" w:hAnsi="Arial" w:cs="Arial"/>
          <w:color w:val="000000"/>
        </w:rPr>
      </w:pPr>
      <w:r>
        <w:rPr>
          <w:rFonts w:ascii="Arial" w:eastAsia="Arial" w:hAnsi="Arial" w:cs="Arial"/>
          <w:color w:val="000000"/>
        </w:rPr>
        <w:t xml:space="preserve">Here, homogenisation becomes a tool through which settler society appropriates Indigeneity, while restructuring it to fit settler discourses, which work to erase and assimilate the Seminole and Miccosukee representations (Wolfe, 2016). To support this argument, the chapter will integrate evidence gathered from fieldwork, including </w:t>
      </w:r>
      <w:r>
        <w:rPr>
          <w:rFonts w:ascii="Arial" w:eastAsia="Arial" w:hAnsi="Arial" w:cs="Arial"/>
          <w:color w:val="000000"/>
        </w:rPr>
        <w:lastRenderedPageBreak/>
        <w:t>images from settler-owned airboat companies, settler museums, and the commercial use of Chickees. These images will serve to demonstrate the systematic process of homogenising Indigenous culture by settler society, feeding into Indigenous tropes. As Keene et al</w:t>
      </w:r>
      <w:r w:rsidR="00CF2C48">
        <w:rPr>
          <w:rFonts w:ascii="Arial" w:eastAsia="Arial" w:hAnsi="Arial" w:cs="Arial"/>
          <w:color w:val="000000"/>
        </w:rPr>
        <w:t>.</w:t>
      </w:r>
      <w:r>
        <w:rPr>
          <w:rFonts w:ascii="Arial" w:eastAsia="Arial" w:hAnsi="Arial" w:cs="Arial"/>
          <w:color w:val="000000"/>
        </w:rPr>
        <w:t xml:space="preserve"> explored in their self-analysis of Indigenous identifications of settler stereotypes of Indigeneity, which will be discussed later in the chapter (Keene et al</w:t>
      </w:r>
      <w:r w:rsidR="00CF2C48">
        <w:rPr>
          <w:rFonts w:ascii="Arial" w:eastAsia="Arial" w:hAnsi="Arial" w:cs="Arial"/>
          <w:color w:val="000000"/>
        </w:rPr>
        <w:t>.</w:t>
      </w:r>
      <w:r>
        <w:rPr>
          <w:rFonts w:ascii="Arial" w:eastAsia="Arial" w:hAnsi="Arial" w:cs="Arial"/>
          <w:color w:val="000000"/>
        </w:rPr>
        <w:t xml:space="preserve"> 2024).</w:t>
      </w:r>
    </w:p>
    <w:p w14:paraId="4F696B03" w14:textId="2878FB1B" w:rsidR="009F0C56" w:rsidRDefault="00653842">
      <w:pPr>
        <w:spacing w:before="240" w:after="240"/>
        <w:rPr>
          <w:rFonts w:ascii="Arial" w:eastAsia="Arial" w:hAnsi="Arial" w:cs="Arial"/>
          <w:color w:val="000000"/>
        </w:rPr>
      </w:pPr>
      <w:r>
        <w:rPr>
          <w:rFonts w:ascii="Arial" w:eastAsia="Arial" w:hAnsi="Arial" w:cs="Arial"/>
          <w:color w:val="000000"/>
        </w:rPr>
        <w:t xml:space="preserve">Finally, the chapter will explore how these examples reveal a broader pattern of Indigenous erasure, highlighting how the commercial and cultural assimilation of Indigenous symbols serves as a tool to erase Indigenous autonomy (TallBear 2019). </w:t>
      </w:r>
      <w:r w:rsidR="00CF2C48">
        <w:rPr>
          <w:rFonts w:ascii="Arial" w:eastAsia="Arial" w:hAnsi="Arial" w:cs="Arial"/>
          <w:color w:val="000000"/>
        </w:rPr>
        <w:t>This</w:t>
      </w:r>
      <w:r>
        <w:rPr>
          <w:rFonts w:ascii="Arial" w:eastAsia="Arial" w:hAnsi="Arial" w:cs="Arial"/>
          <w:color w:val="000000"/>
        </w:rPr>
        <w:t xml:space="preserve"> also </w:t>
      </w:r>
      <w:r w:rsidR="00CF2C48">
        <w:rPr>
          <w:rFonts w:ascii="Arial" w:eastAsia="Arial" w:hAnsi="Arial" w:cs="Arial"/>
          <w:color w:val="000000"/>
        </w:rPr>
        <w:t>transforms</w:t>
      </w:r>
      <w:r>
        <w:rPr>
          <w:rFonts w:ascii="Arial" w:eastAsia="Arial" w:hAnsi="Arial" w:cs="Arial"/>
          <w:color w:val="000000"/>
        </w:rPr>
        <w:t xml:space="preserve"> unique Indigenous identities into consumable stereotypes within the settler worldview, creating a corporate colonialism. In doing so, the chapter argues</w:t>
      </w:r>
      <w:r w:rsidR="00CF2C48">
        <w:rPr>
          <w:rFonts w:ascii="Arial" w:eastAsia="Arial" w:hAnsi="Arial" w:cs="Arial"/>
          <w:color w:val="000000"/>
        </w:rPr>
        <w:t>,</w:t>
      </w:r>
      <w:r>
        <w:rPr>
          <w:rFonts w:ascii="Arial" w:eastAsia="Arial" w:hAnsi="Arial" w:cs="Arial"/>
          <w:color w:val="000000"/>
        </w:rPr>
        <w:t xml:space="preserve"> in Gramsci’s notion</w:t>
      </w:r>
      <w:r w:rsidR="00CF2C48">
        <w:rPr>
          <w:rFonts w:ascii="Arial" w:eastAsia="Arial" w:hAnsi="Arial" w:cs="Arial"/>
          <w:color w:val="000000"/>
        </w:rPr>
        <w:t>,</w:t>
      </w:r>
      <w:r>
        <w:rPr>
          <w:rFonts w:ascii="Arial" w:eastAsia="Arial" w:hAnsi="Arial" w:cs="Arial"/>
          <w:color w:val="000000"/>
        </w:rPr>
        <w:t xml:space="preserve"> that homogenisation is not passive, but an intentional process of erasure aimed at reinforcing settler dominance (Gramsci, 2011). This analysis will demonstrate that such forms of homogenisation act as a deliberate strategy designed to assert settler society’s Worldview as universal, thereby consolidating control over Indigenous representations and diminishing Indigenous agency within settler society. </w:t>
      </w:r>
    </w:p>
    <w:p w14:paraId="1A3B3F7D" w14:textId="77777777" w:rsidR="009F0C56" w:rsidRDefault="00653842">
      <w:pPr>
        <w:spacing w:before="240" w:after="240"/>
        <w:rPr>
          <w:rFonts w:ascii="Arial" w:eastAsia="Arial" w:hAnsi="Arial" w:cs="Arial"/>
          <w:color w:val="000000"/>
        </w:rPr>
      </w:pPr>
      <w:r>
        <w:rPr>
          <w:rFonts w:ascii="Arial" w:eastAsia="Arial" w:hAnsi="Arial" w:cs="Arial"/>
          <w:color w:val="000000"/>
        </w:rPr>
        <w:t xml:space="preserve">In this, the homogenisation of Indigenous culture and identity by settler society will be shown as a continuous theme that suppresses and erases the presence of separate ontological identities that the Seminole and Miccosukee possess. To structure this chapter, the analysis will begin with how settler homogenisation attacks Indigenous ontological positions to destroy and supplant Indigenous worldviews.  </w:t>
      </w:r>
    </w:p>
    <w:p w14:paraId="6DFF5960" w14:textId="77777777" w:rsidR="009F0C56" w:rsidRDefault="00653842">
      <w:pPr>
        <w:pStyle w:val="Heading2"/>
        <w:rPr>
          <w:rFonts w:ascii="Arial" w:eastAsia="Arial" w:hAnsi="Arial" w:cs="Arial"/>
        </w:rPr>
      </w:pPr>
      <w:bookmarkStart w:id="85" w:name="_Toc240966016"/>
      <w:r>
        <w:rPr>
          <w:rFonts w:ascii="Arial" w:eastAsia="Arial" w:hAnsi="Arial" w:cs="Arial"/>
        </w:rPr>
        <w:t>6.2 Weaponizing Ontology</w:t>
      </w:r>
      <w:bookmarkEnd w:id="85"/>
    </w:p>
    <w:p w14:paraId="7814B633" w14:textId="77777777" w:rsidR="009F0C56" w:rsidRDefault="00653842">
      <w:pPr>
        <w:spacing w:before="240" w:after="240" w:line="240" w:lineRule="auto"/>
        <w:rPr>
          <w:rFonts w:ascii="Arial" w:eastAsia="Arial" w:hAnsi="Arial" w:cs="Arial"/>
          <w:color w:val="000000"/>
        </w:rPr>
      </w:pPr>
      <w:r>
        <w:rPr>
          <w:rFonts w:ascii="Arial" w:eastAsia="Arial" w:hAnsi="Arial" w:cs="Arial"/>
          <w:color w:val="000000"/>
        </w:rPr>
        <w:t>Throughout the analysis in the current chapters, ontology has been a recurring theme around settler colonialism and Indigenous representations. Here, ontology has been understood within the realms of philosophy as a branch of metaphysics that deals with the nature of being and reality (Daigle 2023). In this, ontology gains a pluriversality of applications, as different positions of reality from different subjects can hold vastly different perspectives of being (Waters, 2004). This will become evident throug</w:t>
      </w:r>
      <w:r>
        <w:rPr>
          <w:rFonts w:ascii="Arial" w:eastAsia="Arial" w:hAnsi="Arial" w:cs="Arial"/>
          <w:color w:val="000000"/>
        </w:rPr>
        <w:t>h the following analysis chapters, where Indigenous representations have been analysed. In this analysis, it became clear that settler society has moulded a perception of Indigeneity that omits and erases large ontological elements for the Seminole and Miccosukee, such as their creation stories to epistemological findings in medicine</w:t>
      </w:r>
      <w:r>
        <w:rPr>
          <w:rFonts w:ascii="Arimo" w:eastAsia="Arimo" w:hAnsi="Arimo" w:cs="Arimo"/>
          <w:color w:val="000000"/>
        </w:rPr>
        <w:t xml:space="preserve"> (Jumper, 2020)</w:t>
      </w:r>
      <w:r>
        <w:rPr>
          <w:rFonts w:ascii="Arimo" w:eastAsia="Arimo" w:hAnsi="Arimo" w:cs="Arimo"/>
          <w:color w:val="000000"/>
          <w:vertAlign w:val="superscript"/>
        </w:rPr>
        <w:footnoteReference w:id="3"/>
      </w:r>
      <w:r>
        <w:rPr>
          <w:rFonts w:ascii="Arimo" w:eastAsia="Arimo" w:hAnsi="Arimo" w:cs="Arimo"/>
          <w:color w:val="000000"/>
        </w:rPr>
        <w:t>. Hunt, notes this with how “Engagement with Indigeneity involves the establishment of ontological limits around what knowledge is and is not legible the establishment of boundaries of meaning, the creation of categories, and making them real through their use in geographic knowledge production” (Hunt 2013. Pg. 29). Through this lens, ontology becomes an insightful tool in how homogenisation works as a colonial structure of erasure. Hunt's analysis helps explore how, with settler society enforcing a singula</w:t>
      </w:r>
      <w:r>
        <w:rPr>
          <w:rFonts w:ascii="Arimo" w:eastAsia="Arimo" w:hAnsi="Arimo" w:cs="Arimo"/>
          <w:color w:val="000000"/>
        </w:rPr>
        <w:t xml:space="preserve">r worldview, they can </w:t>
      </w:r>
      <w:r>
        <w:rPr>
          <w:rFonts w:ascii="Arimo" w:eastAsia="Arimo" w:hAnsi="Arimo" w:cs="Arimo"/>
          <w:color w:val="000000"/>
        </w:rPr>
        <w:lastRenderedPageBreak/>
        <w:t>disregard the complex Indigenous ontologies and undermine Indigenous philosophies, cultural identities, and their unique systems of knowledge (Cordova 2007, Hunt 2013).</w:t>
      </w:r>
    </w:p>
    <w:p w14:paraId="4D9ECC52" w14:textId="77777777" w:rsidR="009F0C56" w:rsidRDefault="00653842">
      <w:pPr>
        <w:spacing w:line="240" w:lineRule="auto"/>
        <w:rPr>
          <w:rFonts w:ascii="Arial" w:eastAsia="Arial" w:hAnsi="Arial" w:cs="Arial"/>
          <w:color w:val="000000"/>
        </w:rPr>
      </w:pPr>
      <w:r>
        <w:rPr>
          <w:rFonts w:ascii="Arial" w:eastAsia="Arial" w:hAnsi="Arial" w:cs="Arial"/>
          <w:color w:val="000000"/>
        </w:rPr>
        <w:t>As asserted, homogenisation operates as a strategic mechanism within settler colonialism that erases Indigenous ontological frameworks and replaces them with settler-imposed narratives that conform to colonial structures of power. This ontological erasure serves the colonial agenda by invalidating Indigenous modes of existence and reducing Indigeneity to a commodifiable, monolithic identity that fits within the parameters of settler society, creating a screen memory of Indigeneity (Veracini, 2008). In this,</w:t>
      </w:r>
      <w:r>
        <w:rPr>
          <w:rFonts w:ascii="Arial" w:eastAsia="Arial" w:hAnsi="Arial" w:cs="Arial"/>
          <w:color w:val="000000"/>
        </w:rPr>
        <w:t xml:space="preserve"> the thesis will further investigate how homogenisation as a colonial strategy manipulates ontology to systematically displace Indigenous understandings of reality, to reinforce settler hierarchies. Through this analysis, the chapter will explore the erasure of Indigenous ontologies as not only a consequence but a fundamental objective of settler colonialism. Through the utilisation of homogenisation, in analysing how settler society mechanises this process to suppress and reshape Indigenous realities to al</w:t>
      </w:r>
      <w:r>
        <w:rPr>
          <w:rFonts w:ascii="Arial" w:eastAsia="Arial" w:hAnsi="Arial" w:cs="Arial"/>
          <w:color w:val="000000"/>
        </w:rPr>
        <w:t>ign with the settler colonial worldview (Gramsci 2011).</w:t>
      </w:r>
    </w:p>
    <w:p w14:paraId="60114120" w14:textId="77777777" w:rsidR="009F0C56" w:rsidRDefault="00653842">
      <w:pPr>
        <w:spacing w:line="240" w:lineRule="auto"/>
        <w:rPr>
          <w:rFonts w:ascii="Arial" w:eastAsia="Arial" w:hAnsi="Arial" w:cs="Arial"/>
          <w:color w:val="000000"/>
        </w:rPr>
      </w:pPr>
      <w:r>
        <w:rPr>
          <w:color w:val="000000"/>
        </w:rPr>
        <w:t xml:space="preserve"> </w:t>
      </w:r>
    </w:p>
    <w:p w14:paraId="10FC5294" w14:textId="77777777" w:rsidR="009F0C56" w:rsidRDefault="00653842">
      <w:pPr>
        <w:pStyle w:val="Heading2"/>
        <w:rPr>
          <w:rFonts w:ascii="Arial" w:eastAsia="Arial" w:hAnsi="Arial" w:cs="Arial"/>
        </w:rPr>
      </w:pPr>
      <w:bookmarkStart w:id="86" w:name="_Toc240966017"/>
      <w:r>
        <w:rPr>
          <w:rFonts w:ascii="Arial" w:eastAsia="Arial" w:hAnsi="Arial" w:cs="Arial"/>
        </w:rPr>
        <w:t>6.3 Homogenisation as a Colonial Mechanism</w:t>
      </w:r>
      <w:bookmarkEnd w:id="86"/>
      <w:r>
        <w:rPr>
          <w:rFonts w:ascii="Arial" w:eastAsia="Arial" w:hAnsi="Arial" w:cs="Arial"/>
        </w:rPr>
        <w:t xml:space="preserve"> </w:t>
      </w:r>
    </w:p>
    <w:p w14:paraId="3AF8A519" w14:textId="31BA3E3F" w:rsidR="009F0C56" w:rsidRDefault="00653842">
      <w:pPr>
        <w:spacing w:before="240" w:after="240" w:line="240" w:lineRule="auto"/>
        <w:rPr>
          <w:rFonts w:ascii="Arial" w:eastAsia="Arial" w:hAnsi="Arial" w:cs="Arial"/>
          <w:color w:val="000000"/>
        </w:rPr>
      </w:pPr>
      <w:r>
        <w:rPr>
          <w:rFonts w:ascii="Arial" w:eastAsia="Arial" w:hAnsi="Arial" w:cs="Arial"/>
          <w:color w:val="000000"/>
        </w:rPr>
        <w:t xml:space="preserve">Homogenisation, as introduced, functions as a mechanism of power through which settler society erases, reshapes, and reconstitutes Indigenous ontologies within its ideological boundaries (Harris 2009). This process reduces the complex and </w:t>
      </w:r>
      <w:r w:rsidR="00CF2C48">
        <w:rPr>
          <w:rFonts w:ascii="Arial" w:eastAsia="Arial" w:hAnsi="Arial" w:cs="Arial"/>
          <w:color w:val="000000"/>
        </w:rPr>
        <w:t>varied</w:t>
      </w:r>
      <w:r>
        <w:rPr>
          <w:rFonts w:ascii="Arial" w:eastAsia="Arial" w:hAnsi="Arial" w:cs="Arial"/>
          <w:color w:val="000000"/>
        </w:rPr>
        <w:t xml:space="preserve"> Indigenous worldviews into overtly simplified, consumable, and fixed representations that function to serve settler colonial desires. Here, homogenisation operates not merely as a visual distortion but as a form of ontological violence. It works by reducing Indigenous beings as ontologically whole, and instead positioning these beliefs as archaic, irrelevant, or symbolic rather than active, evolving, and contemporary (Cordova 2007). Waters (2013) articulates this style of violence through the lens of lingu</w:t>
      </w:r>
      <w:r>
        <w:rPr>
          <w:rFonts w:ascii="Arial" w:eastAsia="Arial" w:hAnsi="Arial" w:cs="Arial"/>
          <w:color w:val="000000"/>
        </w:rPr>
        <w:t>istic and metaphysical disruption. Arguing that settler-colonial society attacks Indigenous ontologies to dismantle their conceptual and spiritual frameworks. This ontological attack is not accidental; rather, it is part of a broader colonial logic that seeks to dominate and overwrite other ways of being:</w:t>
      </w:r>
    </w:p>
    <w:p w14:paraId="6FE285CC" w14:textId="77777777" w:rsidR="009F0C56" w:rsidRDefault="00653842">
      <w:pPr>
        <w:spacing w:before="240" w:after="240" w:line="276" w:lineRule="auto"/>
        <w:rPr>
          <w:rFonts w:ascii="Arial" w:eastAsia="Arial" w:hAnsi="Arial" w:cs="Arial"/>
        </w:rPr>
      </w:pPr>
      <w:r>
        <w:rPr>
          <w:rFonts w:ascii="Arial" w:eastAsia="Arial" w:hAnsi="Arial" w:cs="Arial"/>
        </w:rPr>
        <w:t>“</w:t>
      </w:r>
      <w:r>
        <w:rPr>
          <w:rFonts w:ascii="Arial" w:eastAsia="Arial" w:hAnsi="Arial" w:cs="Arial"/>
          <w:i/>
          <w:iCs/>
        </w:rPr>
        <w:t xml:space="preserve">Colonial theism forcefully wrenched Indigenous ontological constructs (embedded in linguistic structures and thinking of the Indigenous mind) from indigenist thought, causing a continental </w:t>
      </w:r>
      <w:r>
        <w:rPr>
          <w:rFonts w:ascii="Arial" w:eastAsia="Arial" w:hAnsi="Arial" w:cs="Arial"/>
          <w:i/>
          <w:iCs/>
        </w:rPr>
        <w:t>shake down</w:t>
      </w:r>
      <w:r>
        <w:rPr>
          <w:rFonts w:ascii="Arial" w:eastAsia="Arial" w:hAnsi="Arial" w:cs="Arial"/>
          <w:i/>
          <w:iCs/>
        </w:rPr>
        <w:t xml:space="preserve"> of Indigenous worldview. This ontological destruction was but one more notch on the belt of an ideology that functioned to maintain power over “others.” These cultural extortions took a cavernous toll on Indigenous people, our families, communities, and belief systems. In this psychological dismembering, which was eventually fuelled by forced migrations, our fractures of ontology became chasms needing to be filled, gaps in the thought process</w:t>
      </w:r>
      <w:r>
        <w:rPr>
          <w:rFonts w:ascii="Arial" w:eastAsia="Arial" w:hAnsi="Arial" w:cs="Arial"/>
        </w:rPr>
        <w:t>” (Waters 2004: 6)</w:t>
      </w:r>
    </w:p>
    <w:p w14:paraId="6033DB84" w14:textId="191BDD54" w:rsidR="009F0C56" w:rsidRDefault="00653842">
      <w:pPr>
        <w:spacing w:before="240" w:after="240" w:line="240" w:lineRule="auto"/>
        <w:rPr>
          <w:rFonts w:ascii="Arial" w:eastAsia="Arial" w:hAnsi="Arial" w:cs="Arial"/>
          <w:color w:val="000000"/>
        </w:rPr>
      </w:pPr>
      <w:r>
        <w:rPr>
          <w:rFonts w:ascii="Arial" w:eastAsia="Arial" w:hAnsi="Arial" w:cs="Arial"/>
        </w:rPr>
        <w:t xml:space="preserve">This ontological dismembering distorts Indigenous ontologies, creating gaps into which settler ideologies insert themselves as dominant and omnipresent truths. Similarly to </w:t>
      </w:r>
      <w:r>
        <w:rPr>
          <w:rFonts w:ascii="Arial" w:eastAsia="Arial" w:hAnsi="Arial" w:cs="Arial"/>
        </w:rPr>
        <w:t>Castro-Gomez’s</w:t>
      </w:r>
      <w:r>
        <w:rPr>
          <w:rFonts w:ascii="Arial" w:eastAsia="Arial" w:hAnsi="Arial" w:cs="Arial"/>
          <w:color w:val="008000"/>
        </w:rPr>
        <w:t xml:space="preserve"> </w:t>
      </w:r>
      <w:r>
        <w:rPr>
          <w:rFonts w:ascii="Arial" w:eastAsia="Arial" w:hAnsi="Arial" w:cs="Arial"/>
          <w:color w:val="000000"/>
        </w:rPr>
        <w:t xml:space="preserve">(2007) work on point-zero philosophy, as will be </w:t>
      </w:r>
      <w:r>
        <w:rPr>
          <w:rFonts w:ascii="Arial" w:eastAsia="Arial" w:hAnsi="Arial" w:cs="Arial"/>
          <w:color w:val="000000"/>
        </w:rPr>
        <w:lastRenderedPageBreak/>
        <w:t xml:space="preserve">discussed in the historization chapter, </w:t>
      </w:r>
      <w:r>
        <w:rPr>
          <w:rFonts w:ascii="Arial" w:eastAsia="Arial" w:hAnsi="Arial" w:cs="Arial"/>
          <w:color w:val="000000"/>
        </w:rPr>
        <w:t xml:space="preserve">settler society </w:t>
      </w:r>
      <w:r w:rsidR="00CF2C48">
        <w:rPr>
          <w:rFonts w:ascii="Arial" w:eastAsia="Arial" w:hAnsi="Arial" w:cs="Arial"/>
          <w:color w:val="000000"/>
        </w:rPr>
        <w:t>creates</w:t>
      </w:r>
      <w:r>
        <w:rPr>
          <w:rFonts w:ascii="Arial" w:eastAsia="Arial" w:hAnsi="Arial" w:cs="Arial"/>
          <w:color w:val="000000"/>
        </w:rPr>
        <w:t xml:space="preserve"> a temporal void and </w:t>
      </w:r>
      <w:r w:rsidR="00CF2C48">
        <w:rPr>
          <w:rFonts w:ascii="Arial" w:eastAsia="Arial" w:hAnsi="Arial" w:cs="Arial"/>
          <w:color w:val="000000"/>
        </w:rPr>
        <w:t>fills</w:t>
      </w:r>
      <w:r>
        <w:rPr>
          <w:rFonts w:ascii="Arial" w:eastAsia="Arial" w:hAnsi="Arial" w:cs="Arial"/>
          <w:color w:val="000000"/>
        </w:rPr>
        <w:t xml:space="preserve"> it </w:t>
      </w:r>
      <w:r w:rsidR="00CF2C48">
        <w:rPr>
          <w:rFonts w:ascii="Arial" w:eastAsia="Arial" w:hAnsi="Arial" w:cs="Arial"/>
          <w:color w:val="000000"/>
        </w:rPr>
        <w:t>itself</w:t>
      </w:r>
      <w:r>
        <w:rPr>
          <w:rFonts w:ascii="Arial" w:eastAsia="Arial" w:hAnsi="Arial" w:cs="Arial"/>
          <w:color w:val="000000"/>
        </w:rPr>
        <w:t xml:space="preserve"> (Waters 2004). In this, homogenisation is not a purely cultural grouping, but a strategic ontological settler colonial tool that coerces Indigenous peoples into performing versions of themselves that are palatable and recognisable to the settler gaze (Aldred 2000). Mignolo (2012) notes that such settler projects are underwritten by an epistemic structure that positions Euro-Western knowledge as universal and unquestionable. </w:t>
      </w:r>
    </w:p>
    <w:p w14:paraId="40795342" w14:textId="77777777" w:rsidR="009F0C56" w:rsidRDefault="00653842">
      <w:pPr>
        <w:spacing w:before="240" w:after="240" w:line="240" w:lineRule="auto"/>
        <w:rPr>
          <w:rFonts w:ascii="Arial" w:eastAsia="Arial" w:hAnsi="Arial" w:cs="Arial"/>
        </w:rPr>
      </w:pPr>
      <w:r>
        <w:rPr>
          <w:rFonts w:ascii="Arial" w:eastAsia="Arial" w:hAnsi="Arial" w:cs="Arial"/>
        </w:rPr>
        <w:t>This coercion is evident in the case of the Seminole and Miccosukee communities, with the Indian Village tourism sector that adopts certain colonial signifiers, like the totem pole, as economic tools. While the totem pole holds deep spiritual and ontological meaning for various Northwest Coast Indigenous nations, it has no traditional connection to the Miccosukee</w:t>
      </w:r>
      <w:r>
        <w:rPr>
          <w:rFonts w:ascii="Arial" w:eastAsia="Arial" w:hAnsi="Arial" w:cs="Arial"/>
          <w:vertAlign w:val="superscript"/>
        </w:rPr>
        <w:footnoteReference w:id="4"/>
      </w:r>
      <w:r>
        <w:rPr>
          <w:rFonts w:ascii="Arial" w:eastAsia="Arial" w:hAnsi="Arial" w:cs="Arial"/>
        </w:rPr>
        <w:t xml:space="preserve">. Yet, in the settler imagination, it acts as a convenient and familiar signifier of “Indianness”, ignoring the role it plays in cross-tribal relations. Through this settler society, epistemologically correlates these signs through a homogenised lens that ignores the local specificity and instead reads the image through a pan-understanding of what Indigeneity "should" look like (Aldred 2000). </w:t>
      </w:r>
    </w:p>
    <w:p w14:paraId="097BF1EF" w14:textId="71AA0409" w:rsidR="009F0C56" w:rsidRDefault="00653842">
      <w:pPr>
        <w:spacing w:before="240" w:after="240" w:line="240" w:lineRule="auto"/>
        <w:rPr>
          <w:rFonts w:ascii="Arial" w:eastAsia="Arial" w:hAnsi="Arial" w:cs="Arial"/>
          <w:color w:val="000000"/>
        </w:rPr>
      </w:pPr>
      <w:r>
        <w:rPr>
          <w:rFonts w:ascii="Arial" w:eastAsia="Arial" w:hAnsi="Arial" w:cs="Arial"/>
          <w:color w:val="000000"/>
        </w:rPr>
        <w:t>This articulates the “vanishing Indigenous”, where Indigenous peoples are rendered visible as only static, past-tense figures, thereby excluding them from contemporary futurity and self-representation (Moreton-Robinson 2015, Simpson 2016). This process solidifies settler ontological structures</w:t>
      </w:r>
      <w:r>
        <w:rPr>
          <w:rFonts w:ascii="Arial" w:eastAsia="Arial" w:hAnsi="Arial" w:cs="Arial"/>
          <w:color w:val="000000"/>
        </w:rPr>
        <w:t xml:space="preserve"> as central to society, preventing Indigenous resistance by constraining Indigenous ontologies within boundaries that settler colonial society can control (Mignolo, 2012). Therefore, by presenting Indigeneity as homogenised, settler society obscures the diversity and richness of Indigenous cultures, coercing Indigenous groups to adopt these imposed identities to maintain visibility within settler frameworks of representation (Waters, 2005).</w:t>
      </w:r>
    </w:p>
    <w:p w14:paraId="72FD00F6" w14:textId="0BD64854" w:rsidR="009F0C56" w:rsidRDefault="00653842">
      <w:pPr>
        <w:spacing w:before="240" w:after="240" w:line="240" w:lineRule="auto"/>
        <w:rPr>
          <w:rFonts w:ascii="Arial" w:eastAsia="Arial" w:hAnsi="Arial" w:cs="Arial"/>
          <w:color w:val="000000"/>
        </w:rPr>
      </w:pPr>
      <w:r>
        <w:rPr>
          <w:rFonts w:ascii="Arial" w:eastAsia="Arial" w:hAnsi="Arial" w:cs="Arial"/>
          <w:color w:val="000000"/>
        </w:rPr>
        <w:t>Alternatively, homogenisation as a process here is not only working to assimilate Indigenous identities into settler society; rather, settler society is monopolising Indigenous representations into a monolithic entity that is visible from continuous settler discourses. Figures such as the statue in Figure 15 or the murals in Wynwood (Figure 11) exemplify this strategy</w:t>
      </w:r>
      <w:r w:rsidR="00CF2C48">
        <w:rPr>
          <w:rFonts w:ascii="Arial" w:eastAsia="Arial" w:hAnsi="Arial" w:cs="Arial"/>
          <w:color w:val="000000"/>
        </w:rPr>
        <w:t>.</w:t>
      </w:r>
      <w:r>
        <w:rPr>
          <w:rFonts w:ascii="Arial" w:eastAsia="Arial" w:hAnsi="Arial" w:cs="Arial"/>
          <w:color w:val="000000"/>
          <w:vertAlign w:val="superscript"/>
        </w:rPr>
        <w:footnoteReference w:id="5"/>
      </w:r>
      <w:r>
        <w:rPr>
          <w:rFonts w:ascii="Arial" w:eastAsia="Arial" w:hAnsi="Arial" w:cs="Arial"/>
          <w:color w:val="000000"/>
        </w:rPr>
        <w:t>. Here, settler society represents Indigeneity through a composite of generic, stylised features such as headdresses, tobacco, and regalia. These are designed not to reflect specific nations like the Seminole or Miccosukee, but to satisfy settler expectations and desires of the “Indian” (Lightfoot 2016). In this, these visual tropes serve the settler imaginary by reducing Indigenous identity to a stable, marketable image, one that poses no threat to the settler state’s legitimacy or claims to land. Creating</w:t>
      </w:r>
      <w:r>
        <w:rPr>
          <w:rFonts w:ascii="Arial" w:eastAsia="Arial" w:hAnsi="Arial" w:cs="Arial"/>
          <w:color w:val="000000"/>
        </w:rPr>
        <w:t xml:space="preserve"> a what Wright-Mayley saw as a temporal blindness, due to the inability of settler society to recognise Indigenous communities </w:t>
      </w:r>
      <w:r>
        <w:rPr>
          <w:rFonts w:ascii="Arial" w:eastAsia="Arial" w:hAnsi="Arial" w:cs="Arial"/>
          <w:color w:val="000000"/>
        </w:rPr>
        <w:lastRenderedPageBreak/>
        <w:t>as outside the settler-curated image that has been constructed (Wright-Mayley 2021).</w:t>
      </w:r>
    </w:p>
    <w:p w14:paraId="6F1AE4D6" w14:textId="77777777" w:rsidR="009F0C56" w:rsidRDefault="00653842">
      <w:pPr>
        <w:spacing w:before="240" w:after="240" w:line="240" w:lineRule="auto"/>
        <w:rPr>
          <w:rFonts w:ascii="Arial" w:eastAsia="Arial" w:hAnsi="Arial" w:cs="Arial"/>
          <w:color w:val="000000"/>
        </w:rPr>
      </w:pPr>
      <w:r>
        <w:rPr>
          <w:rFonts w:ascii="Arial" w:eastAsia="Arial" w:hAnsi="Arial" w:cs="Arial"/>
          <w:color w:val="000000"/>
        </w:rPr>
        <w:t>In this, settler narratives lock Indigenous nations in a fixed aesthetic homogenised meaning, creating a false historical finality that prevents engagement with the present or future. This blindness reinforces a screen memory, where the collective unconscious reality of Indigeneity obscures the violence of the settler. Building on screen memory, this does not erase Indigenous presence outright, but distorts it into something benign, friendly, and ultimately disconnected from land, sovereignty, or resistance</w:t>
      </w:r>
      <w:r>
        <w:rPr>
          <w:rFonts w:ascii="Arial" w:eastAsia="Arial" w:hAnsi="Arial" w:cs="Arial"/>
          <w:color w:val="000000"/>
        </w:rPr>
        <w:t xml:space="preserve"> (Jung 1991, Veracini 2010).</w:t>
      </w:r>
    </w:p>
    <w:p w14:paraId="75C9CF2A" w14:textId="6B4CE526" w:rsidR="009F0C56" w:rsidRDefault="00653842">
      <w:pPr>
        <w:spacing w:before="240" w:after="240" w:line="240" w:lineRule="auto"/>
        <w:rPr>
          <w:rFonts w:ascii="Arial" w:eastAsia="Arial" w:hAnsi="Arial" w:cs="Arial"/>
          <w:color w:val="000000"/>
        </w:rPr>
      </w:pPr>
      <w:r>
        <w:rPr>
          <w:rFonts w:ascii="Arial" w:eastAsia="Arial" w:hAnsi="Arial" w:cs="Arial"/>
          <w:color w:val="000000"/>
        </w:rPr>
        <w:t xml:space="preserve">Through this, homogenisation shapes Indigeneity into palatable, malleable, and commodifiable signs. </w:t>
      </w:r>
      <w:r w:rsidR="00CF2C48">
        <w:rPr>
          <w:rFonts w:ascii="Arial" w:eastAsia="Arial" w:hAnsi="Arial" w:cs="Arial"/>
          <w:color w:val="000000"/>
        </w:rPr>
        <w:t>This</w:t>
      </w:r>
      <w:r>
        <w:rPr>
          <w:rFonts w:ascii="Arial" w:eastAsia="Arial" w:hAnsi="Arial" w:cs="Arial"/>
          <w:color w:val="000000"/>
        </w:rPr>
        <w:t xml:space="preserve"> can neutralise differences and enforce a pan-Indian identity, </w:t>
      </w:r>
      <w:r>
        <w:rPr>
          <w:rFonts w:ascii="Arial" w:eastAsia="Arial" w:hAnsi="Arial" w:cs="Arial"/>
          <w:color w:val="000000"/>
        </w:rPr>
        <w:t>presenting all Indigenous peoples as variations of a singular identity through the fixed archetypes it has consciously and unconsciously woven into the fabric of settler society (Jung 1991). This ultimately operates in denying the Seminole and Miccosukee the ability to assert their distinct epistemologies, geographies, and sovereignties within the public sphere, as will be noted by the image below (Cordova, 2007; Waters, 2005). Through the way homogenisation dislocates Indigenous communities from their onto</w:t>
      </w:r>
      <w:r>
        <w:rPr>
          <w:rFonts w:ascii="Arial" w:eastAsia="Arial" w:hAnsi="Arial" w:cs="Arial"/>
          <w:color w:val="000000"/>
        </w:rPr>
        <w:t>logical frameworks, instead</w:t>
      </w:r>
      <w:r>
        <w:rPr>
          <w:rFonts w:ascii="Arial" w:eastAsia="Arial" w:hAnsi="Arial" w:cs="Arial"/>
          <w:color w:val="000000"/>
        </w:rPr>
        <w:t xml:space="preserve"> forcing adaptation and complicity within settler narratives. Such as the way the Miccosukee negotiate their identities within a limited settler colonial scope.</w:t>
      </w:r>
    </w:p>
    <w:p w14:paraId="5A1D6DFA" w14:textId="77777777" w:rsidR="009F0C56" w:rsidRDefault="009F0C56">
      <w:pPr>
        <w:spacing w:line="240" w:lineRule="auto"/>
        <w:rPr>
          <w:rFonts w:ascii="Arial" w:eastAsia="Arial" w:hAnsi="Arial" w:cs="Arial"/>
        </w:rPr>
      </w:pPr>
    </w:p>
    <w:p w14:paraId="3610E311" w14:textId="77777777" w:rsidR="009F0C56" w:rsidRDefault="00653842">
      <w:pPr>
        <w:pBdr>
          <w:top w:val="nil"/>
          <w:left w:val="nil"/>
          <w:bottom w:val="nil"/>
          <w:right w:val="nil"/>
          <w:between w:val="nil"/>
        </w:pBdr>
        <w:spacing w:line="240" w:lineRule="auto"/>
        <w:rPr>
          <w:rFonts w:ascii="Arial" w:eastAsia="Arial" w:hAnsi="Arial" w:cs="Arial"/>
          <w:color w:val="000000"/>
          <w:sz w:val="18"/>
          <w:szCs w:val="18"/>
        </w:rPr>
      </w:pPr>
      <w:bookmarkStart w:id="87" w:name="_heading=h.agxss5juy0y" w:colFirst="0" w:colLast="0"/>
      <w:bookmarkEnd w:id="87"/>
      <w:r>
        <w:rPr>
          <w:rFonts w:ascii="Arial" w:eastAsia="Arial" w:hAnsi="Arial" w:cs="Arial"/>
          <w:sz w:val="20"/>
          <w:szCs w:val="20"/>
        </w:rPr>
        <w:t>Figure 1:</w:t>
      </w:r>
      <w:r>
        <w:rPr>
          <w:rFonts w:ascii="Arial" w:eastAsia="Arial" w:hAnsi="Arial" w:cs="Arial"/>
          <w:color w:val="000000"/>
          <w:sz w:val="18"/>
          <w:szCs w:val="18"/>
        </w:rPr>
        <w:t xml:space="preserve"> Miccosukee Indian village entrance, 15/07/2023 </w:t>
      </w:r>
    </w:p>
    <w:p w14:paraId="40E3D573" w14:textId="77777777" w:rsidR="009F0C56" w:rsidRDefault="00653842">
      <w:pPr>
        <w:spacing w:before="280" w:after="280" w:line="240" w:lineRule="auto"/>
        <w:rPr>
          <w:rFonts w:ascii="Arial" w:eastAsia="Arial" w:hAnsi="Arial" w:cs="Arial"/>
          <w:sz w:val="20"/>
          <w:szCs w:val="20"/>
        </w:rPr>
      </w:pPr>
      <w:r>
        <w:rPr>
          <w:noProof/>
        </w:rPr>
        <w:drawing>
          <wp:inline distT="0" distB="0" distL="0" distR="0" wp14:anchorId="23F1B243" wp14:editId="0A5076F4">
            <wp:extent cx="5731510" cy="3228975"/>
            <wp:effectExtent l="0" t="0" r="0" b="0"/>
            <wp:docPr id="1874855871" name="image18.png" descr="A statue of a crocodile in a grass fiel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8.png" descr="A statue of a crocodile in a grass field&#10;&#10;Description automatically generated"/>
                    <pic:cNvPicPr preferRelativeResize="0"/>
                  </pic:nvPicPr>
                  <pic:blipFill>
                    <a:blip r:embed="rId9"/>
                    <a:srcRect/>
                    <a:stretch>
                      <a:fillRect/>
                    </a:stretch>
                  </pic:blipFill>
                  <pic:spPr>
                    <a:xfrm>
                      <a:off x="0" y="0"/>
                      <a:ext cx="5731510" cy="3228975"/>
                    </a:xfrm>
                    <a:prstGeom prst="rect">
                      <a:avLst/>
                    </a:prstGeom>
                    <a:ln/>
                  </pic:spPr>
                </pic:pic>
              </a:graphicData>
            </a:graphic>
          </wp:inline>
        </w:drawing>
      </w:r>
    </w:p>
    <w:p w14:paraId="7F80612F" w14:textId="7CE1688D" w:rsidR="009F0C56" w:rsidRDefault="00653842">
      <w:pPr>
        <w:spacing w:before="240" w:after="240" w:line="276" w:lineRule="auto"/>
        <w:rPr>
          <w:rFonts w:ascii="Arial" w:eastAsia="Arial" w:hAnsi="Arial" w:cs="Arial"/>
          <w:color w:val="000000"/>
        </w:rPr>
      </w:pPr>
      <w:r>
        <w:rPr>
          <w:rFonts w:ascii="Arial" w:eastAsia="Arial" w:hAnsi="Arial" w:cs="Arial"/>
        </w:rPr>
        <w:t>As discussed</w:t>
      </w:r>
      <w:r w:rsidR="00CF2C48">
        <w:rPr>
          <w:rFonts w:ascii="Arial" w:eastAsia="Arial" w:hAnsi="Arial" w:cs="Arial"/>
        </w:rPr>
        <w:t>,</w:t>
      </w:r>
      <w:r>
        <w:rPr>
          <w:rFonts w:ascii="Arial" w:eastAsia="Arial" w:hAnsi="Arial" w:cs="Arial"/>
        </w:rPr>
        <w:t xml:space="preserve"> with Totem poles lacking </w:t>
      </w:r>
      <w:r>
        <w:rPr>
          <w:rFonts w:ascii="Arial" w:eastAsia="Arial" w:hAnsi="Arial" w:cs="Arial"/>
        </w:rPr>
        <w:t>ontological significance for the Miccosukee</w:t>
      </w:r>
      <w:r>
        <w:rPr>
          <w:rFonts w:ascii="Arial" w:eastAsia="Arial" w:hAnsi="Arial" w:cs="Arial"/>
          <w:color w:val="000000"/>
        </w:rPr>
        <w:t xml:space="preserve">, settler representations have adopted a generic North American Indigeneity (Aldred, 2000). This adoption allows settler society to cognitively construct a homogenised version of Indigeneity, which produces a fabricated monolithic Indigenous reality that </w:t>
      </w:r>
      <w:r>
        <w:rPr>
          <w:rFonts w:ascii="Arial" w:eastAsia="Arial" w:hAnsi="Arial" w:cs="Arial"/>
          <w:color w:val="000000"/>
        </w:rPr>
        <w:lastRenderedPageBreak/>
        <w:t>erases the complexity and diversity of Indigenous ontologies (Bruyneel 2021). Lightfoot's (2016) analysis, along with the following commodification analysis, highlights how commodified representations, such as statues or dream catchers, contribute to a simp</w:t>
      </w:r>
      <w:r>
        <w:rPr>
          <w:rFonts w:ascii="Arial" w:eastAsia="Arial" w:hAnsi="Arial" w:cs="Arial"/>
          <w:color w:val="000000"/>
        </w:rPr>
        <w:t xml:space="preserve">lified, settler-defined image of Indigenous existence that selectively chooses elements of Indigeneity it can alter and apply them as a homogenised Indian representation. </w:t>
      </w:r>
    </w:p>
    <w:p w14:paraId="7B1D420E" w14:textId="0016FED8" w:rsidR="009F0C56" w:rsidRDefault="00653842">
      <w:pPr>
        <w:spacing w:before="240" w:after="240" w:line="276" w:lineRule="auto"/>
        <w:rPr>
          <w:rFonts w:ascii="Arial" w:eastAsia="Arial" w:hAnsi="Arial" w:cs="Arial"/>
          <w:color w:val="000000"/>
        </w:rPr>
      </w:pPr>
      <w:r>
        <w:rPr>
          <w:rFonts w:ascii="Arial" w:eastAsia="Arial" w:hAnsi="Arial" w:cs="Arial"/>
          <w:color w:val="000000"/>
        </w:rPr>
        <w:t xml:space="preserve">Waters' (2005) work further helps to determine how the homogenisation of representation, illustrated through the adoption of totem poles in Figure 1, creates ontological shifts. </w:t>
      </w:r>
      <w:r>
        <w:rPr>
          <w:rFonts w:ascii="Arial" w:eastAsia="Arial" w:hAnsi="Arial" w:cs="Arial"/>
        </w:rPr>
        <w:t xml:space="preserve">Through settler society popularising Totem poles as a universal symbol of Indigeneity, settler society overrides distinct Indigenous identities and traditions, including those of the Miccosukee. This imposition blurs cultural boundaries, rather than </w:t>
      </w:r>
      <w:r>
        <w:rPr>
          <w:rFonts w:ascii="Arial" w:eastAsia="Arial" w:hAnsi="Arial" w:cs="Arial"/>
          <w:color w:val="000000"/>
        </w:rPr>
        <w:t>projecting a singular and misleading homogenised Indigenous identity that aligns with settler conceptions of what Indigeneity should look like, as Keene et al</w:t>
      </w:r>
      <w:r w:rsidR="00CF2C48">
        <w:rPr>
          <w:rFonts w:ascii="Arial" w:eastAsia="Arial" w:hAnsi="Arial" w:cs="Arial"/>
          <w:color w:val="000000"/>
        </w:rPr>
        <w:t>.</w:t>
      </w:r>
      <w:r>
        <w:rPr>
          <w:rFonts w:ascii="Arial" w:eastAsia="Arial" w:hAnsi="Arial" w:cs="Arial"/>
          <w:color w:val="000000"/>
        </w:rPr>
        <w:t xml:space="preserve"> (2024) noted in their work on Indigenous stereotypes. </w:t>
      </w:r>
      <w:r w:rsidR="00CF2C48">
        <w:rPr>
          <w:rFonts w:ascii="Arial" w:eastAsia="Arial" w:hAnsi="Arial" w:cs="Arial"/>
          <w:color w:val="000000"/>
        </w:rPr>
        <w:t>Through</w:t>
      </w:r>
      <w:r>
        <w:rPr>
          <w:rFonts w:ascii="Arial" w:eastAsia="Arial" w:hAnsi="Arial" w:cs="Arial"/>
          <w:color w:val="000000"/>
        </w:rPr>
        <w:t xml:space="preserve"> the </w:t>
      </w:r>
      <w:r w:rsidR="00CF2C48">
        <w:rPr>
          <w:rFonts w:ascii="Arial" w:eastAsia="Arial" w:hAnsi="Arial" w:cs="Arial"/>
          <w:color w:val="000000"/>
        </w:rPr>
        <w:t>mass repetition</w:t>
      </w:r>
      <w:r>
        <w:rPr>
          <w:rFonts w:ascii="Arial" w:eastAsia="Arial" w:hAnsi="Arial" w:cs="Arial"/>
          <w:color w:val="000000"/>
        </w:rPr>
        <w:t xml:space="preserve"> of settler Indian representations across all parts of society, a corporate colonialism occurs where all sectors of society are infiltrated with the homogenised Indian signs, as can be seen with the dream catcher, books, or </w:t>
      </w:r>
      <w:r w:rsidR="00CF2C48">
        <w:rPr>
          <w:rFonts w:ascii="Arial" w:eastAsia="Arial" w:hAnsi="Arial" w:cs="Arial"/>
          <w:color w:val="000000"/>
        </w:rPr>
        <w:t>statues</w:t>
      </w:r>
      <w:r>
        <w:rPr>
          <w:rFonts w:ascii="Arial" w:eastAsia="Arial" w:hAnsi="Arial" w:cs="Arial"/>
          <w:color w:val="000000"/>
        </w:rPr>
        <w:t xml:space="preserve"> (Veracini 2008).  </w:t>
      </w:r>
    </w:p>
    <w:p w14:paraId="2C7C0833" w14:textId="5C24942F" w:rsidR="009F0C56" w:rsidRDefault="00653842">
      <w:pPr>
        <w:spacing w:before="280" w:after="280" w:line="276" w:lineRule="auto"/>
        <w:rPr>
          <w:rFonts w:ascii="Arial" w:eastAsia="Arial" w:hAnsi="Arial" w:cs="Arial"/>
          <w:color w:val="000000"/>
        </w:rPr>
      </w:pPr>
      <w:r>
        <w:rPr>
          <w:rFonts w:ascii="Arial" w:eastAsia="Arial" w:hAnsi="Arial" w:cs="Arial"/>
          <w:color w:val="000000"/>
        </w:rPr>
        <w:t xml:space="preserve">This, along with Gramsci’s concept of cultural hegemony (2011) and </w:t>
      </w:r>
      <w:r>
        <w:rPr>
          <w:rFonts w:ascii="Arial" w:eastAsia="Arial" w:hAnsi="Arial" w:cs="Arial"/>
          <w:color w:val="000000"/>
        </w:rPr>
        <w:t>Waters’ (2005) analysis, sheds light on how settler society constructs these mechanisms of erasure. Here, settler society at all levels, not only the elites, but businesses and the public alike, are adopting manipulated Indigenous symbols that selectively endorse elements of Indigenous culture into a singular signifier of the settler Indian (Lightfoot 2016). In this, settler colonial hegemony does not entirely erase Indigeneity; instead, it co-opts recognisable symbols, like the Totem pole, and reframes the</w:t>
      </w:r>
      <w:r>
        <w:rPr>
          <w:rFonts w:ascii="Arial" w:eastAsia="Arial" w:hAnsi="Arial" w:cs="Arial"/>
          <w:color w:val="000000"/>
        </w:rPr>
        <w:t xml:space="preserve">m through a colonial lens. Crafting a settler-dictated image of Indigeneity that is easy for non-Indigenous audiences to consume and understand, further reducing Indigenous identities to a set of static, recognisable signifiers (Simpson 2016, Veracini 2010). Further, allowing settler society to use these representations to reinforce the colonial worldview of Indigenous ontologies being different but still under the sphere of colonial realities (Morton 2007, Waters 2004). </w:t>
      </w:r>
    </w:p>
    <w:p w14:paraId="2D5362C5" w14:textId="49F8CBF4" w:rsidR="009F0C56" w:rsidRDefault="00653842">
      <w:pPr>
        <w:spacing w:before="280" w:after="280" w:line="276" w:lineRule="auto"/>
        <w:rPr>
          <w:rFonts w:ascii="Arial" w:eastAsia="Arial" w:hAnsi="Arial" w:cs="Arial"/>
          <w:color w:val="000000"/>
        </w:rPr>
      </w:pPr>
      <w:r>
        <w:rPr>
          <w:rFonts w:ascii="Arial" w:eastAsia="Arial" w:hAnsi="Arial" w:cs="Arial"/>
          <w:color w:val="000000"/>
        </w:rPr>
        <w:t xml:space="preserve">Ultimately, this process of settler colonial ontological homogenisation serves a dual purpose, as it enables settler society to assert control over Indigenous representations while suppressing the possibility of Indigenous perspectives disrupting or challenging the dominant colonial narrative. As Hunt notes with the ontological persecution in colonial Canada, </w:t>
      </w:r>
      <w:r>
        <w:rPr>
          <w:rFonts w:ascii="Arial" w:eastAsia="Arial" w:hAnsi="Arial" w:cs="Arial"/>
          <w:color w:val="000000"/>
        </w:rPr>
        <w:t xml:space="preserve">“Colonialism in Canada has involved the imposition of western worldviews and the simultaneous suppression of Indigenous worldviews – those heterogenous, place-based ways of knowing through which Indigeneity comes into being” (Hunt 2013, Pg 29) </w:t>
      </w:r>
    </w:p>
    <w:p w14:paraId="7300FC06" w14:textId="77777777" w:rsidR="009F0C56" w:rsidRDefault="00653842">
      <w:pPr>
        <w:spacing w:before="280" w:after="280" w:line="276" w:lineRule="auto"/>
        <w:rPr>
          <w:rFonts w:ascii="Arial" w:eastAsia="Arial" w:hAnsi="Arial" w:cs="Arial"/>
          <w:color w:val="000000"/>
        </w:rPr>
      </w:pPr>
      <w:r>
        <w:rPr>
          <w:rFonts w:ascii="Arial" w:eastAsia="Arial" w:hAnsi="Arial" w:cs="Arial"/>
          <w:color w:val="000000"/>
        </w:rPr>
        <w:lastRenderedPageBreak/>
        <w:t>This is noted for the Seminole and Miccosukee through the promotion of settler U.S. in symbols like the totem pole as universal markers of Indigeneity. In this, settler society attacks the specific cultural and ontological realities of individual Indigenous communities, such as the Miccosukee (Aldred 2000). This allows for a consolidation of colonial hegemony that maintains settler control over the interpretation and portrayal of Indigenous identity. This homogenisation shift will be explored in the followi</w:t>
      </w:r>
      <w:r>
        <w:rPr>
          <w:rFonts w:ascii="Arial" w:eastAsia="Arial" w:hAnsi="Arial" w:cs="Arial"/>
          <w:color w:val="000000"/>
        </w:rPr>
        <w:t>ng section, where an invented homogenous discourse around Indigenous representation will be analysed.</w:t>
      </w:r>
    </w:p>
    <w:p w14:paraId="07D177EE" w14:textId="77777777" w:rsidR="009F0C56" w:rsidRDefault="009F0C56">
      <w:pPr>
        <w:pStyle w:val="Heading3"/>
      </w:pPr>
    </w:p>
    <w:p w14:paraId="09F2A1C8" w14:textId="77777777" w:rsidR="009F0C56" w:rsidRDefault="00653842">
      <w:pPr>
        <w:pStyle w:val="Heading3"/>
      </w:pPr>
      <w:bookmarkStart w:id="88" w:name="_Toc240966018"/>
      <w:r>
        <w:rPr>
          <w:sz w:val="32"/>
          <w:szCs w:val="32"/>
        </w:rPr>
        <w:t>6.4 Invented Traditions within a Colonial Framework</w:t>
      </w:r>
      <w:bookmarkEnd w:id="88"/>
      <w:r>
        <w:rPr>
          <w:sz w:val="32"/>
          <w:szCs w:val="32"/>
        </w:rPr>
        <w:t xml:space="preserve"> </w:t>
      </w:r>
    </w:p>
    <w:p w14:paraId="3C353199" w14:textId="77777777" w:rsidR="009F0C56" w:rsidRDefault="00653842">
      <w:pPr>
        <w:spacing w:before="240" w:after="240" w:line="276" w:lineRule="auto"/>
        <w:rPr>
          <w:rFonts w:ascii="Arial" w:eastAsia="Arial" w:hAnsi="Arial" w:cs="Arial"/>
          <w:color w:val="000000"/>
        </w:rPr>
      </w:pPr>
      <w:r>
        <w:rPr>
          <w:rFonts w:ascii="Arial" w:eastAsia="Arial" w:hAnsi="Arial" w:cs="Arial"/>
          <w:color w:val="000000"/>
        </w:rPr>
        <w:t>Building on the previous section’s discussion of homogenisation operating as a colonial tool, used by settler society to alter Indigenous representations. This section will incorporate Hobsbawm’s concept of invented traditions to further analyse settler societies' ability to create alternative Indigenous realities that erase self-representations (Hobsbawm 2018). Invented traditions aid in providing a framework to understand how settler society has strategically constructed, through colonial archetypes, a fa</w:t>
      </w:r>
      <w:r>
        <w:rPr>
          <w:rFonts w:ascii="Arial" w:eastAsia="Arial" w:hAnsi="Arial" w:cs="Arial"/>
          <w:color w:val="000000"/>
        </w:rPr>
        <w:t xml:space="preserve">bricated ancestral heritage that portrays interactions with Indigenous cultures as older and more integrated than they are, creating a screen memory of integration (Bruyneel 2021, Veracini 2010). </w:t>
      </w:r>
    </w:p>
    <w:p w14:paraId="5FBCA068" w14:textId="77777777" w:rsidR="009F0C56" w:rsidRDefault="00653842">
      <w:pPr>
        <w:spacing w:before="240" w:after="240" w:line="276" w:lineRule="auto"/>
        <w:rPr>
          <w:rFonts w:ascii="Arial" w:eastAsia="Arial" w:hAnsi="Arial" w:cs="Arial"/>
        </w:rPr>
      </w:pPr>
      <w:r>
        <w:rPr>
          <w:rFonts w:ascii="Arial" w:eastAsia="Arial" w:hAnsi="Arial" w:cs="Arial"/>
        </w:rPr>
        <w:t>This creation of shared history functions to legitimise settler presence and further obscures authentic Indigenous identities. Creating a constructed settler memory (Bruyneel 2021).</w:t>
      </w:r>
    </w:p>
    <w:p w14:paraId="6262B036" w14:textId="77777777" w:rsidR="009F0C56" w:rsidRDefault="009F0C56">
      <w:pPr>
        <w:pBdr>
          <w:top w:val="nil"/>
          <w:left w:val="nil"/>
          <w:bottom w:val="nil"/>
          <w:right w:val="nil"/>
          <w:between w:val="nil"/>
        </w:pBdr>
        <w:spacing w:line="240" w:lineRule="auto"/>
        <w:rPr>
          <w:rFonts w:ascii="Arial" w:eastAsia="Arial" w:hAnsi="Arial" w:cs="Arial"/>
        </w:rPr>
      </w:pPr>
    </w:p>
    <w:p w14:paraId="7F0F002C" w14:textId="77777777" w:rsidR="009F0C56" w:rsidRDefault="00653842">
      <w:pPr>
        <w:keepNext/>
        <w:keepLines/>
        <w:spacing w:before="160" w:after="80"/>
        <w:rPr>
          <w:color w:val="0F4761"/>
          <w:sz w:val="32"/>
          <w:szCs w:val="32"/>
        </w:rPr>
      </w:pPr>
      <w:r>
        <w:rPr>
          <w:color w:val="0F4761"/>
          <w:sz w:val="32"/>
          <w:szCs w:val="32"/>
        </w:rPr>
        <w:t>6.5 Inventing an Indigenous reality</w:t>
      </w:r>
    </w:p>
    <w:p w14:paraId="7D86A226" w14:textId="77777777" w:rsidR="009F0C56" w:rsidRDefault="00653842">
      <w:pPr>
        <w:spacing w:before="240" w:after="240" w:line="276" w:lineRule="auto"/>
        <w:rPr>
          <w:rFonts w:ascii="Arial" w:eastAsia="Arial" w:hAnsi="Arial" w:cs="Arial"/>
          <w:color w:val="000000"/>
        </w:rPr>
      </w:pPr>
      <w:r>
        <w:rPr>
          <w:rFonts w:ascii="Arial" w:eastAsia="Arial" w:hAnsi="Arial" w:cs="Arial"/>
          <w:color w:val="000000"/>
        </w:rPr>
        <w:t>Hobsbawm’s theory of invented tradition examines how elite groups strategically construct histories to support and legitimise their control by creating alternative realities that serve their goals of domination (Hobsbawm 2018). This framework resonates heavily with settler colonial society’s goals of assimilation and erasure, where the construction of settler ‘traditional’ Indigenous representations aligns with settler aims of cultural homogenisation. In applying Hobsbawm’s theory alongside settler colonial</w:t>
      </w:r>
      <w:r>
        <w:rPr>
          <w:rFonts w:ascii="Arial" w:eastAsia="Arial" w:hAnsi="Arial" w:cs="Arial"/>
          <w:color w:val="000000"/>
        </w:rPr>
        <w:t xml:space="preserve"> theory, the chapter will highlight how invented traditions are mobilised to erase and assimilate Indigenous identities through constructed archetypes that fit within the colonial imagination of Indigenous representations.</w:t>
      </w:r>
    </w:p>
    <w:p w14:paraId="310789E9" w14:textId="4E50FFE4" w:rsidR="009F0C56" w:rsidRDefault="00653842">
      <w:pPr>
        <w:spacing w:before="240" w:after="240" w:line="276" w:lineRule="auto"/>
        <w:rPr>
          <w:rFonts w:ascii="Arial" w:eastAsia="Arial" w:hAnsi="Arial" w:cs="Arial"/>
        </w:rPr>
      </w:pPr>
      <w:r>
        <w:rPr>
          <w:rFonts w:ascii="Arial" w:eastAsia="Arial" w:hAnsi="Arial" w:cs="Arial"/>
        </w:rPr>
        <w:t xml:space="preserve">Hobsbawm (2018) describes invented traditions as being, “both ‘traditions’ actually invented, constructed and formally instituted and those emerging in a less easily traceable manner within a brief and dateable period – a matter of a few years perhaps – and establishing themselves with great rapidity.” (Hobsbawm 2018, </w:t>
      </w:r>
      <w:r w:rsidR="00CF2C48">
        <w:rPr>
          <w:rFonts w:ascii="Arial" w:eastAsia="Arial" w:hAnsi="Arial" w:cs="Arial"/>
        </w:rPr>
        <w:t xml:space="preserve">Pg. </w:t>
      </w:r>
      <w:r>
        <w:rPr>
          <w:rFonts w:ascii="Arial" w:eastAsia="Arial" w:hAnsi="Arial" w:cs="Arial"/>
        </w:rPr>
        <w:lastRenderedPageBreak/>
        <w:t>1).</w:t>
      </w:r>
      <w:r>
        <w:rPr>
          <w:rFonts w:ascii="Times New Roman" w:eastAsia="Times New Roman" w:hAnsi="Times New Roman" w:cs="Times New Roman"/>
        </w:rPr>
        <w:t xml:space="preserve"> </w:t>
      </w:r>
      <w:r>
        <w:rPr>
          <w:rFonts w:ascii="Arial" w:eastAsia="Arial" w:hAnsi="Arial" w:cs="Arial"/>
          <w:color w:val="000000"/>
        </w:rPr>
        <w:t>This notion of quickly established yet fabricated traditions is evident in how settler colonial society in Florida has constructed representations of the Seminole and Miccosukee, through homogenising them in a monolithic settler society representation (Keene et al</w:t>
      </w:r>
      <w:r w:rsidR="00CF2C48">
        <w:rPr>
          <w:rFonts w:ascii="Arial" w:eastAsia="Arial" w:hAnsi="Arial" w:cs="Arial"/>
          <w:color w:val="000000"/>
        </w:rPr>
        <w:t>.</w:t>
      </w:r>
      <w:r>
        <w:rPr>
          <w:rFonts w:ascii="Arial" w:eastAsia="Arial" w:hAnsi="Arial" w:cs="Arial"/>
          <w:color w:val="000000"/>
        </w:rPr>
        <w:t>, 2024)</w:t>
      </w:r>
      <w:hyperlink r:id="rId10" w:anchor="_ftn1">
        <w:r>
          <w:rPr>
            <w:rFonts w:ascii="Arial" w:eastAsia="Arial" w:hAnsi="Arial" w:cs="Arial"/>
            <w:color w:val="000000"/>
            <w:u w:val="single"/>
          </w:rPr>
          <w:t>[1]</w:t>
        </w:r>
      </w:hyperlink>
      <w:r>
        <w:rPr>
          <w:rFonts w:ascii="Arial" w:eastAsia="Arial" w:hAnsi="Arial" w:cs="Arial"/>
          <w:color w:val="000000"/>
        </w:rPr>
        <w:t xml:space="preserve">. </w:t>
      </w:r>
    </w:p>
    <w:p w14:paraId="09427E19" w14:textId="77777777" w:rsidR="009F0C56" w:rsidRDefault="00653842">
      <w:pPr>
        <w:spacing w:before="240" w:after="240" w:line="276" w:lineRule="auto"/>
        <w:rPr>
          <w:rFonts w:ascii="Arial" w:eastAsia="Arial" w:hAnsi="Arial" w:cs="Arial"/>
        </w:rPr>
      </w:pPr>
      <w:r>
        <w:rPr>
          <w:rFonts w:ascii="Arial" w:eastAsia="Arial" w:hAnsi="Arial" w:cs="Arial"/>
        </w:rPr>
        <w:t>Here, settler society, through Figure 1, selectively endorses and appropriates signs of Indigeneity and homogenises these into a set of Indigenous signifiers that construct an imagined Indian. Goeman, in their analysis on Indigenous imagery in mixed media, highlights how settler society “continue to rehash the plots and inherited romanticized images of Indians that burgeoned with the mass circulation of dime-store novels and, later, nickel movies” (Goeman 2011, Pg. 9) While relating to a more plural idea of</w:t>
      </w:r>
      <w:r>
        <w:rPr>
          <w:rFonts w:ascii="Arial" w:eastAsia="Arial" w:hAnsi="Arial" w:cs="Arial"/>
        </w:rPr>
        <w:t xml:space="preserve"> Indigeneity through the use of media, Goeman’s work is important as it draws parallels to this study in how settler society through, adopting Indigenous signifiers manipulates these representations in a in a way where; they become an interchangeable set of symbols that obscure cultural specificity for the Seminole and Miccosukee (Bruyneel 2021). </w:t>
      </w:r>
    </w:p>
    <w:p w14:paraId="56EC3F60" w14:textId="77777777" w:rsidR="009F0C56" w:rsidRDefault="00653842">
      <w:pPr>
        <w:spacing w:before="240" w:after="240" w:line="276" w:lineRule="auto"/>
        <w:rPr>
          <w:rFonts w:ascii="Arial" w:eastAsia="Arial" w:hAnsi="Arial" w:cs="Arial"/>
          <w:color w:val="000000"/>
        </w:rPr>
      </w:pPr>
      <w:r>
        <w:rPr>
          <w:rFonts w:ascii="Arial" w:eastAsia="Arial" w:hAnsi="Arial" w:cs="Arial"/>
          <w:color w:val="000000"/>
        </w:rPr>
        <w:t xml:space="preserve">In this, the Seminole and Miccosukee, while maintaining agency over their identities and representations, are overshadowed by corporate colonialism, which cognitively embeds a settler memory that operates as a tool in altering the perception of Indigeneity for the settler populace (Bruyneel 2021, Veracini 2008). Here, this distortion does not erase Indigenous agency but rather shifts the meaning of Indigenous symbols within the settler consciousness, further fixing them into the settler colonial archetypes </w:t>
      </w:r>
      <w:r>
        <w:rPr>
          <w:rFonts w:ascii="Arial" w:eastAsia="Arial" w:hAnsi="Arial" w:cs="Arial"/>
          <w:color w:val="000000"/>
        </w:rPr>
        <w:t>in ways that serve settler narratives.</w:t>
      </w:r>
    </w:p>
    <w:p w14:paraId="40482BDA" w14:textId="0070BE01" w:rsidR="009F0C56" w:rsidRDefault="00653842">
      <w:pPr>
        <w:spacing w:before="280" w:after="280" w:line="276" w:lineRule="auto"/>
        <w:rPr>
          <w:rFonts w:ascii="Arial" w:eastAsia="Arial" w:hAnsi="Arial" w:cs="Arial"/>
        </w:rPr>
      </w:pPr>
      <w:r>
        <w:rPr>
          <w:rFonts w:ascii="Arial" w:eastAsia="Arial" w:hAnsi="Arial" w:cs="Arial"/>
        </w:rPr>
        <w:t xml:space="preserve">Therefore, totem poles have undergone a pedagogical shift. </w:t>
      </w:r>
      <w:r w:rsidR="00CF2C48">
        <w:rPr>
          <w:rFonts w:ascii="Arial" w:eastAsia="Arial" w:hAnsi="Arial" w:cs="Arial"/>
        </w:rPr>
        <w:t>Where</w:t>
      </w:r>
      <w:r>
        <w:rPr>
          <w:rFonts w:ascii="Arial" w:eastAsia="Arial" w:hAnsi="Arial" w:cs="Arial"/>
        </w:rPr>
        <w:t xml:space="preserve"> once originally holding specific cultural and spiritual significance within certain Indigenous nations, through settler appropriation, they have been homogenised into a general Indigenous signifier that is detached from its original context (Aldred 2000, Bruyneel 2021). Even though the Totem poles in these images hold cultural importance for the Miccosukee in tribal relations, settler memory operates in dictating how Indigenous symbols are interpreted within settler spaces. This</w:t>
      </w:r>
      <w:r w:rsidR="00CF2C48">
        <w:rPr>
          <w:rFonts w:ascii="Arial" w:eastAsia="Arial" w:hAnsi="Arial" w:cs="Arial"/>
        </w:rPr>
        <w:t>,</w:t>
      </w:r>
      <w:r>
        <w:rPr>
          <w:rFonts w:ascii="Arial" w:eastAsia="Arial" w:hAnsi="Arial" w:cs="Arial"/>
        </w:rPr>
        <w:t xml:space="preserve"> for the totem pole</w:t>
      </w:r>
      <w:r w:rsidR="00CF2C48">
        <w:rPr>
          <w:rFonts w:ascii="Arial" w:eastAsia="Arial" w:hAnsi="Arial" w:cs="Arial"/>
        </w:rPr>
        <w:t>,</w:t>
      </w:r>
      <w:r>
        <w:rPr>
          <w:rFonts w:ascii="Arial" w:eastAsia="Arial" w:hAnsi="Arial" w:cs="Arial"/>
        </w:rPr>
        <w:t xml:space="preserve"> removes </w:t>
      </w:r>
      <w:r w:rsidR="00CF2C48">
        <w:rPr>
          <w:rFonts w:ascii="Arial" w:eastAsia="Arial" w:hAnsi="Arial" w:cs="Arial"/>
        </w:rPr>
        <w:t>it</w:t>
      </w:r>
      <w:r>
        <w:rPr>
          <w:rFonts w:ascii="Arial" w:eastAsia="Arial" w:hAnsi="Arial" w:cs="Arial"/>
        </w:rPr>
        <w:t xml:space="preserve"> from </w:t>
      </w:r>
      <w:r w:rsidR="00CF2C48">
        <w:rPr>
          <w:rFonts w:ascii="Arial" w:eastAsia="Arial" w:hAnsi="Arial" w:cs="Arial"/>
        </w:rPr>
        <w:t>its</w:t>
      </w:r>
      <w:r>
        <w:rPr>
          <w:rFonts w:ascii="Arial" w:eastAsia="Arial" w:hAnsi="Arial" w:cs="Arial"/>
        </w:rPr>
        <w:t xml:space="preserve"> specific cultural origins and recontextualises </w:t>
      </w:r>
      <w:r w:rsidR="00CF2C48">
        <w:rPr>
          <w:rFonts w:ascii="Arial" w:eastAsia="Arial" w:hAnsi="Arial" w:cs="Arial"/>
        </w:rPr>
        <w:t>it</w:t>
      </w:r>
      <w:r>
        <w:rPr>
          <w:rFonts w:ascii="Arial" w:eastAsia="Arial" w:hAnsi="Arial" w:cs="Arial"/>
        </w:rPr>
        <w:t xml:space="preserve"> as </w:t>
      </w:r>
      <w:r w:rsidR="00CF2C48">
        <w:rPr>
          <w:rFonts w:ascii="Arial" w:eastAsia="Arial" w:hAnsi="Arial" w:cs="Arial"/>
        </w:rPr>
        <w:t xml:space="preserve">a </w:t>
      </w:r>
      <w:r>
        <w:rPr>
          <w:rFonts w:ascii="Arial" w:eastAsia="Arial" w:hAnsi="Arial" w:cs="Arial"/>
        </w:rPr>
        <w:t xml:space="preserve">generic </w:t>
      </w:r>
      <w:r w:rsidR="00CF2C48">
        <w:rPr>
          <w:rFonts w:ascii="Arial" w:eastAsia="Arial" w:hAnsi="Arial" w:cs="Arial"/>
        </w:rPr>
        <w:t>marker</w:t>
      </w:r>
      <w:r>
        <w:rPr>
          <w:rFonts w:ascii="Arial" w:eastAsia="Arial" w:hAnsi="Arial" w:cs="Arial"/>
        </w:rPr>
        <w:t xml:space="preserve"> of Indigeneity (Goeman 2011). Working to visually assert the Totem pole as a surface-level signifier of Indianness, rather than a representation of its actual cultural, historical, or spiritual significance. </w:t>
      </w:r>
    </w:p>
    <w:p w14:paraId="2BC72C34" w14:textId="49432C40" w:rsidR="009F0C56" w:rsidRDefault="00653842">
      <w:pPr>
        <w:spacing w:before="280" w:after="280" w:line="276" w:lineRule="auto"/>
        <w:rPr>
          <w:rFonts w:ascii="Arial" w:eastAsia="Arial" w:hAnsi="Arial" w:cs="Arial"/>
        </w:rPr>
      </w:pPr>
      <w:r>
        <w:rPr>
          <w:rFonts w:ascii="Arial" w:eastAsia="Arial" w:hAnsi="Arial" w:cs="Arial"/>
        </w:rPr>
        <w:t>Through this, Indigenous self-representations are further alienated from settler society in authentically engaging with Indigenous iconography. As shown with the meaning of the totem pole, which is no longer connected to its actual origins, but instead serves as a reaffirmation of what settlers perceive Indigeneity to be, with the idea of the settler Indian (Lightfoot 2016). This shifts Indigenous representations into symbols that settlers recognise and validate within their framework, reinforcing a homogen</w:t>
      </w:r>
      <w:r>
        <w:rPr>
          <w:rFonts w:ascii="Arial" w:eastAsia="Arial" w:hAnsi="Arial" w:cs="Arial"/>
        </w:rPr>
        <w:t xml:space="preserve">ised and consumable version of Indianness. All operating to create a </w:t>
      </w:r>
      <w:r w:rsidR="00CF2C48">
        <w:rPr>
          <w:rFonts w:ascii="Arial" w:eastAsia="Arial" w:hAnsi="Arial" w:cs="Arial"/>
        </w:rPr>
        <w:lastRenderedPageBreak/>
        <w:t>pedagogical</w:t>
      </w:r>
      <w:r>
        <w:rPr>
          <w:rFonts w:ascii="Arial" w:eastAsia="Arial" w:hAnsi="Arial" w:cs="Arial"/>
        </w:rPr>
        <w:t xml:space="preserve"> shift where the totem pole becomes detached from its real history</w:t>
      </w:r>
      <w:r>
        <w:rPr>
          <w:rFonts w:ascii="Arial" w:eastAsia="Arial" w:hAnsi="Arial" w:cs="Arial"/>
        </w:rPr>
        <w:t xml:space="preserve"> and is absorbed into the settler mechanism of power, creating a vanished self-Indigenous representation (Bruyneel 2021, Simpson 2016). </w:t>
      </w:r>
    </w:p>
    <w:p w14:paraId="12F790D9" w14:textId="2BCF5B19" w:rsidR="009F0C56" w:rsidRDefault="00653842">
      <w:pPr>
        <w:spacing w:before="280" w:after="280" w:line="276" w:lineRule="auto"/>
        <w:rPr>
          <w:rFonts w:ascii="Arial" w:eastAsia="Arial" w:hAnsi="Arial" w:cs="Arial"/>
        </w:rPr>
      </w:pPr>
      <w:r>
        <w:rPr>
          <w:rFonts w:ascii="Arial" w:eastAsia="Arial" w:hAnsi="Arial" w:cs="Arial"/>
        </w:rPr>
        <w:t>Creating a pedagogical shift that</w:t>
      </w:r>
      <w:r>
        <w:rPr>
          <w:rFonts w:ascii="Arial" w:eastAsia="Arial" w:hAnsi="Arial" w:cs="Arial"/>
          <w:color w:val="008000"/>
        </w:rPr>
        <w:t xml:space="preserve"> </w:t>
      </w:r>
      <w:r>
        <w:rPr>
          <w:rFonts w:ascii="Arial" w:eastAsia="Arial" w:hAnsi="Arial" w:cs="Arial"/>
          <w:color w:val="000000"/>
        </w:rPr>
        <w:t xml:space="preserve">allows the settler to circumvent Indigenous agency, while selectively endorsing elements of Indigeneity and creating a new settler memory around these objects, where the settler coloniser controls the representations of Indigeneity in the public sphere (Veracini 2010). This works with the dream catcher, where commodification of the object into a decorative item occurs through selectively endorsing elements that fit the settler aesthetic. </w:t>
      </w:r>
      <w:r>
        <w:rPr>
          <w:rFonts w:ascii="Arial" w:eastAsia="Arial" w:hAnsi="Arial" w:cs="Arial"/>
        </w:rPr>
        <w:t>This aids in the loss of the item of its original spiritual and cultural function, which then erases the presence of the community it comes from, as well as attacking the ontological individuality of the Seminole and Miccosukee who are subsumed into the settler screening of the homogenised settler Indian (Veracini 2010, Goeman 2011). Therefore, the totem pole in settler spaces is used to strip the totem pole of its meaning</w:t>
      </w:r>
      <w:r>
        <w:rPr>
          <w:rFonts w:ascii="Arial" w:eastAsia="Arial" w:hAnsi="Arial" w:cs="Arial"/>
        </w:rPr>
        <w:t xml:space="preserve"> and function as a visual cue for settler Indian presence, as will be shown through the imagery within the analysis of the statue.</w:t>
      </w:r>
    </w:p>
    <w:p w14:paraId="3E7C9306" w14:textId="77777777" w:rsidR="009F0C56" w:rsidRDefault="00653842">
      <w:pPr>
        <w:spacing w:before="240" w:after="240" w:line="276" w:lineRule="auto"/>
        <w:rPr>
          <w:rFonts w:ascii="Arial" w:eastAsia="Arial" w:hAnsi="Arial" w:cs="Arial"/>
        </w:rPr>
      </w:pPr>
      <w:r>
        <w:rPr>
          <w:rFonts w:ascii="Arial" w:eastAsia="Arial" w:hAnsi="Arial" w:cs="Arial"/>
          <w:color w:val="000000"/>
        </w:rPr>
        <w:t xml:space="preserve">As mentioned, the statue that will be analysed in the commodification chapter (Figure 15) exemplifies how invented traditions have been used to create a monolithic </w:t>
      </w:r>
      <w:r>
        <w:rPr>
          <w:rFonts w:ascii="Arial" w:eastAsia="Arial" w:hAnsi="Arial" w:cs="Arial"/>
          <w:vertAlign w:val="superscript"/>
        </w:rPr>
        <w:footnoteReference w:id="6"/>
      </w:r>
      <w:r>
        <w:rPr>
          <w:rFonts w:ascii="Arial" w:eastAsia="Arial" w:hAnsi="Arial" w:cs="Arial"/>
        </w:rPr>
        <w:t>Indigenous identity that lacks cultural relevance for the Seminole and Miccosukee specifically (Hobsbawm 2018). The statue in the figure amalgamates features from various Indigenous groups across North America, yet it is presented throughout Miami and South Florida as the definitive representation of ‘Indigenous identity.’ This diminishes, erases, and assimilates the Seminole and Miccosukee into the sphere of settler Indigenous representations. In this, invented traditions help unpack the layered implicatio</w:t>
      </w:r>
      <w:r>
        <w:rPr>
          <w:rFonts w:ascii="Arial" w:eastAsia="Arial" w:hAnsi="Arial" w:cs="Arial"/>
        </w:rPr>
        <w:t xml:space="preserve">ns of such representations (Hobsbawm 2018). </w:t>
      </w:r>
    </w:p>
    <w:p w14:paraId="4C211DE1" w14:textId="163D5957" w:rsidR="009F0C56" w:rsidRDefault="00653842">
      <w:pPr>
        <w:spacing w:before="240" w:after="240" w:line="276" w:lineRule="auto"/>
        <w:rPr>
          <w:rFonts w:ascii="Arial" w:eastAsia="Arial" w:hAnsi="Arial" w:cs="Arial"/>
        </w:rPr>
      </w:pPr>
      <w:r>
        <w:rPr>
          <w:rFonts w:ascii="Arial" w:eastAsia="Arial" w:hAnsi="Arial" w:cs="Arial"/>
        </w:rPr>
        <w:t>Through this dynamic, the invented homogenised settler discourse forces the Seminole and Miccosukee into a position of cultural negotiation. This is done to gain a degree of visibility and acceptance within settler society; through this, they are coerced to align, at least superficially, with these colonial representations of Indigeneity. As TallBear notes</w:t>
      </w:r>
      <w:r w:rsidR="00CF2C48">
        <w:rPr>
          <w:rFonts w:ascii="Arial" w:eastAsia="Arial" w:hAnsi="Arial" w:cs="Arial"/>
        </w:rPr>
        <w:t>,</w:t>
      </w:r>
      <w:r>
        <w:rPr>
          <w:rFonts w:ascii="Arial" w:eastAsia="Arial" w:hAnsi="Arial" w:cs="Arial"/>
        </w:rPr>
        <w:t xml:space="preserve"> “Non-Indigenous Americans build on the trope of the vanishing Indian, thus establishing us as a historical resource to own, distort, and exploit for their own well-being” (TallBear 2019, Pg. 28). Here, TallBear's analysis of the vanishing Indian draws parallels with the research location of South Florida and how settlers utilise elements of Indigenous culture for self-improvement. This is further evident in the use of totem poles in Figure 1, as, despite the lack of cultural significance for the Seminole a</w:t>
      </w:r>
      <w:r>
        <w:rPr>
          <w:rFonts w:ascii="Arial" w:eastAsia="Arial" w:hAnsi="Arial" w:cs="Arial"/>
        </w:rPr>
        <w:t xml:space="preserve">nd Miccosukee, they are being used as a means to signify Indigeneity, in a way that the settler public can recognise (Trosper 2022). </w:t>
      </w:r>
    </w:p>
    <w:p w14:paraId="2D840C44" w14:textId="77777777" w:rsidR="009F0C56" w:rsidRDefault="00653842">
      <w:pPr>
        <w:spacing w:before="240" w:after="240" w:line="276" w:lineRule="auto"/>
        <w:rPr>
          <w:rFonts w:ascii="Arial" w:eastAsia="Arial" w:hAnsi="Arial" w:cs="Arial"/>
          <w:highlight w:val="cyan"/>
        </w:rPr>
      </w:pPr>
      <w:r>
        <w:rPr>
          <w:rFonts w:ascii="Arial" w:eastAsia="Arial" w:hAnsi="Arial" w:cs="Arial"/>
          <w:color w:val="000000"/>
        </w:rPr>
        <w:lastRenderedPageBreak/>
        <w:t xml:space="preserve">In this, the adoption of these symbols reflects an assimilation to the settler-defined perspectives of Indigeneity. Where invented traditions illustrate how, therefore, settler society systematically constructs a ‘tradition’ of Indigeneity that serves its narrative (Hobsbawm 2018, TallBear 2019). Consequently, this manufactured image of Indigeneity not only reinforces settler dominance but also pressures Indigenous communities to adapt their self-representations to meet settler expectations (Bruyneel 2021, </w:t>
      </w:r>
      <w:r>
        <w:rPr>
          <w:rFonts w:ascii="Arial" w:eastAsia="Arial" w:hAnsi="Arial" w:cs="Arial"/>
          <w:color w:val="000000"/>
        </w:rPr>
        <w:t xml:space="preserve">Hobsbawm 2018). In doing so, settler society consolidates control over Indigenous identity, excluding those who do not align with its definitions and, in turn, diminishes the ontological depth and diversity of Indigenous communities like the Seminole and Miccosukee. In this, invented tradition is not only situated in Indigenous communities adopting these settler-imposed traditions but also in how settler society has adopted these invented traditions itself, </w:t>
      </w:r>
      <w:r>
        <w:rPr>
          <w:rFonts w:ascii="Arial" w:eastAsia="Arial" w:hAnsi="Arial" w:cs="Arial"/>
        </w:rPr>
        <w:t>which will be explored next (Aldred 2000).</w:t>
      </w:r>
    </w:p>
    <w:p w14:paraId="3DD76A24" w14:textId="77777777" w:rsidR="009F0C56" w:rsidRDefault="009F0C56">
      <w:pPr>
        <w:pBdr>
          <w:top w:val="nil"/>
          <w:left w:val="nil"/>
          <w:bottom w:val="nil"/>
          <w:right w:val="nil"/>
          <w:between w:val="nil"/>
        </w:pBdr>
        <w:spacing w:line="240" w:lineRule="auto"/>
        <w:rPr>
          <w:rFonts w:ascii="Arial" w:eastAsia="Arial" w:hAnsi="Arial" w:cs="Arial"/>
        </w:rPr>
      </w:pPr>
    </w:p>
    <w:p w14:paraId="0C0FADF7" w14:textId="77777777" w:rsidR="009F0C56" w:rsidRDefault="00653842">
      <w:pPr>
        <w:spacing w:before="160" w:after="80" w:line="240" w:lineRule="auto"/>
        <w:rPr>
          <w:rFonts w:ascii="Times New Roman" w:eastAsia="Times New Roman" w:hAnsi="Times New Roman" w:cs="Times New Roman"/>
          <w:b/>
          <w:bCs/>
          <w:sz w:val="28"/>
          <w:szCs w:val="28"/>
        </w:rPr>
      </w:pPr>
      <w:r>
        <w:rPr>
          <w:color w:val="0F4761"/>
          <w:sz w:val="32"/>
          <w:szCs w:val="32"/>
        </w:rPr>
        <w:t>6.6 Settler society and the adoption of invented traditions </w:t>
      </w:r>
    </w:p>
    <w:p w14:paraId="509189C3" w14:textId="77777777" w:rsidR="009F0C56" w:rsidRDefault="00653842">
      <w:pPr>
        <w:spacing w:before="240" w:after="240" w:line="276" w:lineRule="auto"/>
        <w:rPr>
          <w:rFonts w:ascii="Arial" w:eastAsia="Arial" w:hAnsi="Arial" w:cs="Arial"/>
        </w:rPr>
      </w:pPr>
      <w:r>
        <w:rPr>
          <w:rFonts w:ascii="Arial" w:eastAsia="Arial" w:hAnsi="Arial" w:cs="Arial"/>
          <w:color w:val="000000"/>
        </w:rPr>
        <w:t xml:space="preserve">In the previous section, Hobsbawm’s concept of invented tradition illuminated how settler society has appropriated elements of Indigenous culture to construct a fabricated and homogenised Indigenous reality for the Seminole and Miccosukee. These invented realities systematically coerced the Miccosukee into adopting these representations to align with settler expectations, ensuring their commercial viability through the Totem Pole (Hobsbawm 2018). However, the deployment of these homogenised representations </w:t>
      </w:r>
      <w:r>
        <w:rPr>
          <w:rFonts w:ascii="Arial" w:eastAsia="Arial" w:hAnsi="Arial" w:cs="Arial"/>
          <w:color w:val="000000"/>
        </w:rPr>
        <w:t>extends beyond Miccosukee and Seminole lands. Here, settler society, particularly in Miami and South Florida, prominently features these representations in various public and commercial spaces. This usage differs from the Miccosukee or Seminole employing such symbols, as settlers incorporate these representations into the broader fabric of settler identity itself, to eliminate and create a homogenised settler identity (Saad-Filho, Morais</w:t>
      </w:r>
      <w:r>
        <w:rPr>
          <w:rFonts w:ascii="Arial" w:eastAsia="Arial" w:hAnsi="Arial" w:cs="Arial"/>
        </w:rPr>
        <w:t>, 2018).</w:t>
      </w:r>
    </w:p>
    <w:p w14:paraId="7A5EDE0B" w14:textId="28342C88" w:rsidR="009F0C56" w:rsidRDefault="00653842">
      <w:pPr>
        <w:spacing w:before="240" w:after="240" w:line="276" w:lineRule="auto"/>
        <w:rPr>
          <w:rFonts w:ascii="Arial" w:eastAsia="Arial" w:hAnsi="Arial" w:cs="Arial"/>
        </w:rPr>
      </w:pPr>
      <w:r>
        <w:rPr>
          <w:rFonts w:ascii="Arial" w:eastAsia="Arial" w:hAnsi="Arial" w:cs="Arial"/>
        </w:rPr>
        <w:t xml:space="preserve">Here, Bruyneel’s work helps situate how settler memory allows settler societies to adopt and incorporate Indigenous symbols and representations into their own cultural identity, while erasing their Indigenous origins and meanings (Bruyneel 2021). </w:t>
      </w:r>
      <w:r w:rsidR="00CF2C48">
        <w:rPr>
          <w:rFonts w:ascii="Arial" w:eastAsia="Arial" w:hAnsi="Arial" w:cs="Arial"/>
        </w:rPr>
        <w:t>This</w:t>
      </w:r>
      <w:r>
        <w:rPr>
          <w:rFonts w:ascii="Arial" w:eastAsia="Arial" w:hAnsi="Arial" w:cs="Arial"/>
        </w:rPr>
        <w:t xml:space="preserve"> process blurs the boundaries between settler and Indigenous histories, presenting the adopted symbols as integral to settler culture, rather than as appropriated </w:t>
      </w:r>
      <w:r w:rsidR="00CF2C48">
        <w:rPr>
          <w:rFonts w:ascii="Arial" w:eastAsia="Arial" w:hAnsi="Arial" w:cs="Arial"/>
        </w:rPr>
        <w:t>artefacts</w:t>
      </w:r>
      <w:r>
        <w:rPr>
          <w:rFonts w:ascii="Arial" w:eastAsia="Arial" w:hAnsi="Arial" w:cs="Arial"/>
        </w:rPr>
        <w:t xml:space="preserve"> of a separate and distinct Indigenous ontology (Aldred 2000). </w:t>
      </w:r>
    </w:p>
    <w:p w14:paraId="247954E4" w14:textId="7259F0B6" w:rsidR="009F0C56" w:rsidRDefault="00653842">
      <w:pPr>
        <w:spacing w:before="240" w:after="240" w:line="276" w:lineRule="auto"/>
        <w:rPr>
          <w:rFonts w:ascii="Arial" w:eastAsia="Arial" w:hAnsi="Arial" w:cs="Arial"/>
        </w:rPr>
      </w:pPr>
      <w:r>
        <w:rPr>
          <w:rFonts w:ascii="Arial" w:eastAsia="Arial" w:hAnsi="Arial" w:cs="Arial"/>
          <w:color w:val="000000"/>
        </w:rPr>
        <w:t xml:space="preserve">This is highlighted in the figure below. In creating what Simpson saw as, “Settler colonialism appears in its non-appearance as a sturdy, structuring logic but also a shifting and impossible assemblage is what makes this Prime Minister and so many others, able to treat something as a thing, as an event and then deny it ever happened, as it happens before your very eyes” (Simpson 2016, Pg. 440). Here, Simpson’s analysis becomes pivotal </w:t>
      </w:r>
      <w:r w:rsidR="00CF2C48">
        <w:rPr>
          <w:rFonts w:ascii="Arial" w:eastAsia="Arial" w:hAnsi="Arial" w:cs="Arial"/>
          <w:color w:val="000000"/>
        </w:rPr>
        <w:t>to</w:t>
      </w:r>
      <w:r>
        <w:rPr>
          <w:rFonts w:ascii="Arial" w:eastAsia="Arial" w:hAnsi="Arial" w:cs="Arial"/>
          <w:color w:val="000000"/>
        </w:rPr>
        <w:t xml:space="preserve"> something that the next set of images will draw on</w:t>
      </w:r>
      <w:r w:rsidR="00CF2C48">
        <w:rPr>
          <w:rFonts w:ascii="Arial" w:eastAsia="Arial" w:hAnsi="Arial" w:cs="Arial"/>
          <w:color w:val="000000"/>
        </w:rPr>
        <w:t>:</w:t>
      </w:r>
      <w:r>
        <w:rPr>
          <w:rFonts w:ascii="Arial" w:eastAsia="Arial" w:hAnsi="Arial" w:cs="Arial"/>
          <w:color w:val="000000"/>
        </w:rPr>
        <w:t xml:space="preserve"> separating the Indigenous away from Indigeneity.  While Simpson is </w:t>
      </w:r>
      <w:r>
        <w:rPr>
          <w:rFonts w:ascii="Arial" w:eastAsia="Arial" w:hAnsi="Arial" w:cs="Arial"/>
          <w:color w:val="000000"/>
        </w:rPr>
        <w:lastRenderedPageBreak/>
        <w:t>specific to Canadian politics, this work will utilise the homogenisation of Indigenous identity through the denial o</w:t>
      </w:r>
      <w:r>
        <w:rPr>
          <w:rFonts w:ascii="Arial" w:eastAsia="Arial" w:hAnsi="Arial" w:cs="Arial"/>
        </w:rPr>
        <w:t xml:space="preserve">f representations. </w:t>
      </w:r>
    </w:p>
    <w:p w14:paraId="5DBA8345" w14:textId="77777777" w:rsidR="009F0C56" w:rsidRDefault="00653842">
      <w:pPr>
        <w:pBdr>
          <w:top w:val="nil"/>
          <w:left w:val="nil"/>
          <w:bottom w:val="nil"/>
          <w:right w:val="nil"/>
          <w:between w:val="nil"/>
        </w:pBdr>
        <w:spacing w:line="240" w:lineRule="auto"/>
        <w:rPr>
          <w:color w:val="000000"/>
          <w:sz w:val="22"/>
          <w:szCs w:val="22"/>
        </w:rPr>
      </w:pPr>
      <w:bookmarkStart w:id="89" w:name="_heading=h.g27jb2sl3be9" w:colFirst="0" w:colLast="0"/>
      <w:bookmarkEnd w:id="89"/>
      <w:r>
        <w:rPr>
          <w:color w:val="000000"/>
          <w:sz w:val="22"/>
          <w:szCs w:val="22"/>
        </w:rPr>
        <w:t>Figure 2: Chickee-inspired hut on Hollywood promenade. Photo: (Virk 2023)</w:t>
      </w:r>
    </w:p>
    <w:p w14:paraId="574AE31A" w14:textId="77777777" w:rsidR="009F0C56" w:rsidRDefault="00653842">
      <w:pPr>
        <w:spacing w:before="280" w:after="280" w:line="240" w:lineRule="auto"/>
        <w:rPr>
          <w:rFonts w:ascii="Arial" w:eastAsia="Arial" w:hAnsi="Arial" w:cs="Arial"/>
          <w:sz w:val="20"/>
          <w:szCs w:val="20"/>
        </w:rPr>
      </w:pPr>
      <w:r>
        <w:rPr>
          <w:noProof/>
        </w:rPr>
        <w:drawing>
          <wp:anchor distT="0" distB="0" distL="114300" distR="114300" simplePos="0" relativeHeight="251659264" behindDoc="0" locked="0" layoutInCell="1" hidden="0" allowOverlap="1" wp14:anchorId="4BF03479" wp14:editId="5919EAE2">
            <wp:simplePos x="0" y="0"/>
            <wp:positionH relativeFrom="column">
              <wp:posOffset>-85088</wp:posOffset>
            </wp:positionH>
            <wp:positionV relativeFrom="paragraph">
              <wp:posOffset>85725</wp:posOffset>
            </wp:positionV>
            <wp:extent cx="3206750" cy="3020695"/>
            <wp:effectExtent l="0" t="0" r="0" b="0"/>
            <wp:wrapSquare wrapText="bothSides" distT="0" distB="0" distL="114300" distR="114300"/>
            <wp:docPr id="1874855862" name="image14.jpg" descr="A thatched roof with a 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4.jpg" descr="A thatched roof with a sign&#10;&#10;Description automatically generated"/>
                    <pic:cNvPicPr preferRelativeResize="0"/>
                  </pic:nvPicPr>
                  <pic:blipFill>
                    <a:blip r:embed="rId11"/>
                    <a:srcRect/>
                    <a:stretch>
                      <a:fillRect/>
                    </a:stretch>
                  </pic:blipFill>
                  <pic:spPr>
                    <a:xfrm rot="5400000">
                      <a:off x="0" y="0"/>
                      <a:ext cx="3206750" cy="3020695"/>
                    </a:xfrm>
                    <a:prstGeom prst="rect">
                      <a:avLst/>
                    </a:prstGeom>
                    <a:ln/>
                  </pic:spPr>
                </pic:pic>
              </a:graphicData>
            </a:graphic>
          </wp:anchor>
        </w:drawing>
      </w:r>
    </w:p>
    <w:p w14:paraId="6EF75201" w14:textId="77777777" w:rsidR="009F0C56" w:rsidRDefault="009F0C56">
      <w:pPr>
        <w:pBdr>
          <w:top w:val="nil"/>
          <w:left w:val="nil"/>
          <w:bottom w:val="nil"/>
          <w:right w:val="nil"/>
          <w:between w:val="nil"/>
        </w:pBdr>
        <w:spacing w:line="240" w:lineRule="auto"/>
        <w:rPr>
          <w:rFonts w:ascii="Arial" w:eastAsia="Arial" w:hAnsi="Arial" w:cs="Arial"/>
          <w:color w:val="000000"/>
        </w:rPr>
      </w:pPr>
    </w:p>
    <w:p w14:paraId="2111F058" w14:textId="77777777" w:rsidR="009F0C56" w:rsidRDefault="009F0C56">
      <w:pPr>
        <w:spacing w:before="280" w:after="280" w:line="276" w:lineRule="auto"/>
        <w:rPr>
          <w:rFonts w:ascii="Arial" w:eastAsia="Arial" w:hAnsi="Arial" w:cs="Arial"/>
        </w:rPr>
      </w:pPr>
    </w:p>
    <w:p w14:paraId="483E1CBC" w14:textId="77777777" w:rsidR="009F0C56" w:rsidRDefault="009F0C56">
      <w:pPr>
        <w:spacing w:before="280" w:after="280" w:line="276" w:lineRule="auto"/>
        <w:rPr>
          <w:rFonts w:ascii="Arial" w:eastAsia="Arial" w:hAnsi="Arial" w:cs="Arial"/>
        </w:rPr>
      </w:pPr>
    </w:p>
    <w:p w14:paraId="11E13E0D" w14:textId="77777777" w:rsidR="009F0C56" w:rsidRDefault="009F0C56">
      <w:pPr>
        <w:spacing w:before="280" w:after="280" w:line="276" w:lineRule="auto"/>
        <w:rPr>
          <w:rFonts w:ascii="Arial" w:eastAsia="Arial" w:hAnsi="Arial" w:cs="Arial"/>
        </w:rPr>
      </w:pPr>
    </w:p>
    <w:p w14:paraId="091645D4" w14:textId="77777777" w:rsidR="009F0C56" w:rsidRDefault="009F0C56">
      <w:pPr>
        <w:spacing w:before="280" w:after="280" w:line="276" w:lineRule="auto"/>
        <w:rPr>
          <w:rFonts w:ascii="Arial" w:eastAsia="Arial" w:hAnsi="Arial" w:cs="Arial"/>
        </w:rPr>
      </w:pPr>
    </w:p>
    <w:p w14:paraId="368185F8" w14:textId="77777777" w:rsidR="009F0C56" w:rsidRDefault="009F0C56">
      <w:pPr>
        <w:spacing w:before="280" w:after="280" w:line="276" w:lineRule="auto"/>
        <w:rPr>
          <w:rFonts w:ascii="Arial" w:eastAsia="Arial" w:hAnsi="Arial" w:cs="Arial"/>
        </w:rPr>
      </w:pPr>
    </w:p>
    <w:p w14:paraId="21FD5E87" w14:textId="77777777" w:rsidR="009F0C56" w:rsidRDefault="009F0C56">
      <w:pPr>
        <w:spacing w:before="280" w:after="280" w:line="276" w:lineRule="auto"/>
        <w:rPr>
          <w:rFonts w:ascii="Arial" w:eastAsia="Arial" w:hAnsi="Arial" w:cs="Arial"/>
        </w:rPr>
      </w:pPr>
    </w:p>
    <w:p w14:paraId="102015F2" w14:textId="77777777" w:rsidR="009F0C56" w:rsidRDefault="009F0C56">
      <w:pPr>
        <w:spacing w:before="280" w:after="280" w:line="276" w:lineRule="auto"/>
        <w:rPr>
          <w:rFonts w:ascii="Arial" w:eastAsia="Arial" w:hAnsi="Arial" w:cs="Arial"/>
        </w:rPr>
      </w:pPr>
    </w:p>
    <w:p w14:paraId="39F6A188" w14:textId="77617564" w:rsidR="009F0C56" w:rsidRDefault="00653842">
      <w:pPr>
        <w:spacing w:before="280" w:after="280" w:line="276" w:lineRule="auto"/>
        <w:rPr>
          <w:rFonts w:ascii="Arial" w:eastAsia="Arial" w:hAnsi="Arial" w:cs="Arial"/>
          <w:color w:val="000000"/>
        </w:rPr>
      </w:pPr>
      <w:r>
        <w:rPr>
          <w:rFonts w:ascii="Arial" w:eastAsia="Arial" w:hAnsi="Arial" w:cs="Arial"/>
          <w:color w:val="000000"/>
        </w:rPr>
        <w:t xml:space="preserve">Figure 2 captures one of the many Chickee-inspired structures found throughout the Hollywood Promenade in South Florida. The area is a prominent tourist destination in South Florida known for its beach resorts, bars, and holiday accommodations, and proximity to Fort Lauderdale and Miami. The area’s landscape is heavily adorned with chickee-style buildings, which have become a hallmark of the region, serving as signifiers of an </w:t>
      </w:r>
      <w:r w:rsidR="00CF2C48">
        <w:rPr>
          <w:rFonts w:ascii="Arial" w:eastAsia="Arial" w:hAnsi="Arial" w:cs="Arial"/>
          <w:color w:val="000000"/>
        </w:rPr>
        <w:t>idealised</w:t>
      </w:r>
      <w:r>
        <w:rPr>
          <w:rFonts w:ascii="Arial" w:eastAsia="Arial" w:hAnsi="Arial" w:cs="Arial"/>
          <w:color w:val="000000"/>
        </w:rPr>
        <w:t xml:space="preserve"> tropical holiday destination for the settler populace (Jojola 2014). Historically, though, Chickees were structures built by the Seminole and Miccosukee for practical purposes, providing shelter and ventilation against Florida’s humid tropical climate (Seminole, 2024). </w:t>
      </w:r>
    </w:p>
    <w:p w14:paraId="459FB639" w14:textId="1F9CC632" w:rsidR="009F0C56" w:rsidRDefault="00653842">
      <w:pPr>
        <w:spacing w:before="280" w:after="280" w:line="276" w:lineRule="auto"/>
        <w:rPr>
          <w:rFonts w:ascii="Arial" w:eastAsia="Arial" w:hAnsi="Arial" w:cs="Arial"/>
        </w:rPr>
      </w:pPr>
      <w:r>
        <w:rPr>
          <w:rFonts w:ascii="Arial" w:eastAsia="Arial" w:hAnsi="Arial" w:cs="Arial"/>
        </w:rPr>
        <w:t>However, their contemporary use in Hollywood and South Florida reflects a significant shift in meaning. Chickees, within settler society, have been stripped of their original cultural relevance and imbued instead with notions of exoticness, aligning with the desires and aesthetics of the settler-tourist economy (Jojola 2014). Whilst Chickee huts still serve traditional purposes and can be found in Seminole and Miccosukee settings, as shown below, they have also further become colloquially identified as a si</w:t>
      </w:r>
      <w:r>
        <w:rPr>
          <w:rFonts w:ascii="Arial" w:eastAsia="Arial" w:hAnsi="Arial" w:cs="Arial"/>
        </w:rPr>
        <w:t xml:space="preserve">gnifier of the South Florida area. However, as noted, this is not at the </w:t>
      </w:r>
      <w:r w:rsidR="00CF2C48">
        <w:rPr>
          <w:rFonts w:ascii="Arial" w:eastAsia="Arial" w:hAnsi="Arial" w:cs="Arial"/>
        </w:rPr>
        <w:t>expense</w:t>
      </w:r>
      <w:r>
        <w:rPr>
          <w:rFonts w:ascii="Arial" w:eastAsia="Arial" w:hAnsi="Arial" w:cs="Arial"/>
        </w:rPr>
        <w:t xml:space="preserve"> of the Seminole and Miccosukee</w:t>
      </w:r>
      <w:r w:rsidR="00CF2C48">
        <w:rPr>
          <w:rFonts w:ascii="Arial" w:eastAsia="Arial" w:hAnsi="Arial" w:cs="Arial"/>
        </w:rPr>
        <w:t>;</w:t>
      </w:r>
      <w:r>
        <w:rPr>
          <w:rFonts w:ascii="Arial" w:eastAsia="Arial" w:hAnsi="Arial" w:cs="Arial"/>
        </w:rPr>
        <w:t xml:space="preserve"> as shown in Figures 3 and 4, the Miccosukee and Seminole, respectively, maintain the prominence of these homes as important key cultural elements.</w:t>
      </w:r>
    </w:p>
    <w:p w14:paraId="1B1E7E0E" w14:textId="77777777" w:rsidR="009F0C56" w:rsidRDefault="009F0C56">
      <w:pPr>
        <w:spacing w:before="280" w:after="280" w:line="276" w:lineRule="auto"/>
        <w:rPr>
          <w:rFonts w:ascii="Arial" w:eastAsia="Arial" w:hAnsi="Arial" w:cs="Arial"/>
        </w:rPr>
      </w:pPr>
    </w:p>
    <w:p w14:paraId="7BD68E4A" w14:textId="77777777" w:rsidR="009F0C56" w:rsidRDefault="00653842">
      <w:pPr>
        <w:pBdr>
          <w:top w:val="nil"/>
          <w:left w:val="nil"/>
          <w:bottom w:val="nil"/>
          <w:right w:val="nil"/>
          <w:between w:val="nil"/>
        </w:pBdr>
        <w:spacing w:before="280" w:after="280" w:line="240" w:lineRule="auto"/>
        <w:rPr>
          <w:rFonts w:ascii="Arial" w:eastAsia="Arial" w:hAnsi="Arial" w:cs="Arial"/>
          <w:color w:val="000000"/>
          <w:sz w:val="18"/>
          <w:szCs w:val="18"/>
        </w:rPr>
      </w:pPr>
      <w:bookmarkStart w:id="90" w:name="_heading=h.6emez44wk4xe" w:colFirst="0" w:colLast="0"/>
      <w:bookmarkEnd w:id="90"/>
      <w:r>
        <w:rPr>
          <w:rFonts w:ascii="Arial" w:eastAsia="Arial" w:hAnsi="Arial" w:cs="Arial"/>
          <w:color w:val="000000"/>
          <w:sz w:val="18"/>
          <w:szCs w:val="18"/>
        </w:rPr>
        <w:lastRenderedPageBreak/>
        <w:t>Figure 3: 16/06/2023: Miccosukee Tiger Clan Island, conservation and previous settlement. (Virk, 2023)</w:t>
      </w:r>
    </w:p>
    <w:p w14:paraId="711D975A" w14:textId="77777777" w:rsidR="009F0C56" w:rsidRDefault="00653842">
      <w:pPr>
        <w:pBdr>
          <w:top w:val="nil"/>
          <w:left w:val="nil"/>
          <w:bottom w:val="nil"/>
          <w:right w:val="nil"/>
          <w:between w:val="nil"/>
        </w:pBdr>
        <w:spacing w:before="280" w:after="280" w:line="240" w:lineRule="auto"/>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0" distR="0" wp14:anchorId="5254D3A4" wp14:editId="1B4817DE">
            <wp:extent cx="6089650" cy="3987800"/>
            <wp:effectExtent l="0" t="0" r="0" b="0"/>
            <wp:docPr id="1874855872" name="image5.jpg" descr="A hut with a thatched roof&#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jpg" descr="A hut with a thatched roof&#10;&#10;Description automatically generated"/>
                    <pic:cNvPicPr preferRelativeResize="0"/>
                  </pic:nvPicPr>
                  <pic:blipFill>
                    <a:blip r:embed="rId12"/>
                    <a:srcRect t="20380" b="4634"/>
                    <a:stretch>
                      <a:fillRect/>
                    </a:stretch>
                  </pic:blipFill>
                  <pic:spPr>
                    <a:xfrm>
                      <a:off x="0" y="0"/>
                      <a:ext cx="6089650" cy="3987800"/>
                    </a:xfrm>
                    <a:prstGeom prst="rect">
                      <a:avLst/>
                    </a:prstGeom>
                    <a:ln/>
                  </pic:spPr>
                </pic:pic>
              </a:graphicData>
            </a:graphic>
          </wp:inline>
        </w:drawing>
      </w:r>
      <w:r>
        <w:rPr>
          <w:noProof/>
        </w:rPr>
        <w:drawing>
          <wp:anchor distT="0" distB="0" distL="114300" distR="114300" simplePos="0" relativeHeight="251660288" behindDoc="0" locked="0" layoutInCell="1" hidden="0" allowOverlap="1" wp14:anchorId="37C85898" wp14:editId="1BFB9ADC">
            <wp:simplePos x="0" y="0"/>
            <wp:positionH relativeFrom="column">
              <wp:posOffset>1395095</wp:posOffset>
            </wp:positionH>
            <wp:positionV relativeFrom="paragraph">
              <wp:posOffset>3041015</wp:posOffset>
            </wp:positionV>
            <wp:extent cx="3243580" cy="6094095"/>
            <wp:effectExtent l="0" t="0" r="0" b="0"/>
            <wp:wrapSquare wrapText="bothSides" distT="0" distB="0" distL="114300" distR="114300"/>
            <wp:docPr id="1874855881" name="image24.jpg" descr="Open photo"/>
            <wp:cNvGraphicFramePr/>
            <a:graphic xmlns:a="http://schemas.openxmlformats.org/drawingml/2006/main">
              <a:graphicData uri="http://schemas.openxmlformats.org/drawingml/2006/picture">
                <pic:pic xmlns:pic="http://schemas.openxmlformats.org/drawingml/2006/picture">
                  <pic:nvPicPr>
                    <pic:cNvPr id="0" name="image24.jpg" descr="Open photo"/>
                    <pic:cNvPicPr preferRelativeResize="0"/>
                  </pic:nvPicPr>
                  <pic:blipFill>
                    <a:blip r:embed="rId13"/>
                    <a:srcRect/>
                    <a:stretch>
                      <a:fillRect/>
                    </a:stretch>
                  </pic:blipFill>
                  <pic:spPr>
                    <a:xfrm rot="16200000">
                      <a:off x="0" y="0"/>
                      <a:ext cx="3243580" cy="6094095"/>
                    </a:xfrm>
                    <a:prstGeom prst="rect">
                      <a:avLst/>
                    </a:prstGeom>
                    <a:ln/>
                  </pic:spPr>
                </pic:pic>
              </a:graphicData>
            </a:graphic>
          </wp:anchor>
        </w:drawing>
      </w:r>
    </w:p>
    <w:p w14:paraId="17445C3F" w14:textId="5CA814F9" w:rsidR="009F0C56" w:rsidRDefault="00653842">
      <w:pPr>
        <w:pBdr>
          <w:top w:val="nil"/>
          <w:left w:val="nil"/>
          <w:bottom w:val="nil"/>
          <w:right w:val="nil"/>
          <w:between w:val="nil"/>
        </w:pBdr>
        <w:spacing w:before="280" w:after="280" w:line="240" w:lineRule="auto"/>
        <w:rPr>
          <w:rFonts w:ascii="Arial" w:eastAsia="Arial" w:hAnsi="Arial" w:cs="Arial"/>
          <w:color w:val="000000"/>
          <w:sz w:val="18"/>
          <w:szCs w:val="18"/>
        </w:rPr>
      </w:pPr>
      <w:bookmarkStart w:id="91" w:name="_heading=h.5spw4872pyin" w:colFirst="0" w:colLast="0"/>
      <w:bookmarkEnd w:id="91"/>
      <w:r>
        <w:rPr>
          <w:rFonts w:ascii="Arial" w:eastAsia="Arial" w:hAnsi="Arial" w:cs="Arial"/>
          <w:color w:val="000000"/>
          <w:sz w:val="18"/>
          <w:szCs w:val="18"/>
        </w:rPr>
        <w:t>Figure 4: 14/06/2023: Ah-Tah-Thi-Ki Museum walkway (Virk</w:t>
      </w:r>
      <w:r w:rsidR="00CF2C48">
        <w:rPr>
          <w:rFonts w:ascii="Arial" w:eastAsia="Arial" w:hAnsi="Arial" w:cs="Arial"/>
          <w:color w:val="000000"/>
          <w:sz w:val="18"/>
          <w:szCs w:val="18"/>
        </w:rPr>
        <w:t>,</w:t>
      </w:r>
      <w:r>
        <w:rPr>
          <w:rFonts w:ascii="Arial" w:eastAsia="Arial" w:hAnsi="Arial" w:cs="Arial"/>
          <w:color w:val="000000"/>
          <w:sz w:val="18"/>
          <w:szCs w:val="18"/>
        </w:rPr>
        <w:t xml:space="preserve"> 2023)</w:t>
      </w:r>
    </w:p>
    <w:p w14:paraId="34939CCD" w14:textId="77777777" w:rsidR="009F0C56" w:rsidRDefault="009F0C56">
      <w:pPr>
        <w:pBdr>
          <w:top w:val="nil"/>
          <w:left w:val="nil"/>
          <w:bottom w:val="nil"/>
          <w:right w:val="nil"/>
          <w:between w:val="nil"/>
        </w:pBdr>
        <w:spacing w:before="280" w:after="280" w:line="240" w:lineRule="auto"/>
        <w:rPr>
          <w:rFonts w:ascii="Arial" w:eastAsia="Arial" w:hAnsi="Arial" w:cs="Arial"/>
          <w:color w:val="000000"/>
          <w:sz w:val="18"/>
          <w:szCs w:val="18"/>
        </w:rPr>
      </w:pPr>
    </w:p>
    <w:p w14:paraId="1DF33BFE" w14:textId="7912DE2C" w:rsidR="009F0C56" w:rsidRDefault="00653842">
      <w:pPr>
        <w:pBdr>
          <w:top w:val="nil"/>
          <w:left w:val="nil"/>
          <w:bottom w:val="nil"/>
          <w:right w:val="nil"/>
          <w:between w:val="nil"/>
        </w:pBdr>
        <w:spacing w:before="280" w:after="280" w:line="240" w:lineRule="auto"/>
        <w:rPr>
          <w:rFonts w:ascii="Arial" w:eastAsia="Arial" w:hAnsi="Arial" w:cs="Arial"/>
          <w:color w:val="000000"/>
        </w:rPr>
      </w:pPr>
      <w:r>
        <w:rPr>
          <w:rFonts w:ascii="Arial" w:eastAsia="Arial" w:hAnsi="Arial" w:cs="Arial"/>
        </w:rPr>
        <w:t xml:space="preserve">Here, these structures created by the Seminole and Miccosukee were based on Reservations and found in tourist locations. While the Miccosukee Chickee hut was more embedded into the Everglades and only accessible through an airboat, the </w:t>
      </w:r>
      <w:r>
        <w:rPr>
          <w:rFonts w:ascii="Arial" w:eastAsia="Arial" w:hAnsi="Arial" w:cs="Arial"/>
        </w:rPr>
        <w:lastRenderedPageBreak/>
        <w:t>Chickee</w:t>
      </w:r>
      <w:r>
        <w:rPr>
          <w:rFonts w:ascii="Arial" w:eastAsia="Arial" w:hAnsi="Arial" w:cs="Arial"/>
        </w:rPr>
        <w:t xml:space="preserve"> in Figure 4</w:t>
      </w:r>
      <w:r>
        <w:rPr>
          <w:rFonts w:ascii="Arial" w:eastAsia="Arial" w:hAnsi="Arial" w:cs="Arial"/>
        </w:rPr>
        <w:t xml:space="preserve"> was located in the Ah-Tah-</w:t>
      </w:r>
      <w:r>
        <w:rPr>
          <w:rFonts w:ascii="Arial" w:eastAsia="Arial" w:hAnsi="Arial" w:cs="Arial"/>
          <w:color w:val="000000"/>
        </w:rPr>
        <w:t>Thi-Ki Museum and operated as a place to allow Seminole craftsmen to work on their trade and teach future generations. This also operated to signify their presence and history on the land, a thought that will be spoken on later during the land chapter. In this, these figures juxtapose the image in Figure 2 as well as the images below, which create a commodified item devoid of the cultural importance they hold for the Seminole and Miccosukee.</w:t>
      </w:r>
    </w:p>
    <w:p w14:paraId="175138BF" w14:textId="77777777" w:rsidR="009F0C56" w:rsidRDefault="00653842">
      <w:pPr>
        <w:pBdr>
          <w:top w:val="nil"/>
          <w:left w:val="nil"/>
          <w:bottom w:val="nil"/>
          <w:right w:val="nil"/>
          <w:between w:val="nil"/>
        </w:pBdr>
        <w:spacing w:before="280" w:after="280" w:line="240" w:lineRule="auto"/>
        <w:rPr>
          <w:rFonts w:ascii="Arial" w:eastAsia="Arial" w:hAnsi="Arial" w:cs="Arial"/>
          <w:color w:val="000000"/>
          <w:sz w:val="20"/>
          <w:szCs w:val="20"/>
        </w:rPr>
      </w:pPr>
      <w:bookmarkStart w:id="92" w:name="_heading=h.yjqckqpycx8s" w:colFirst="0" w:colLast="0"/>
      <w:bookmarkEnd w:id="92"/>
      <w:r>
        <w:rPr>
          <w:rFonts w:ascii="Arial" w:eastAsia="Arial" w:hAnsi="Arial" w:cs="Arial"/>
          <w:color w:val="000000"/>
          <w:sz w:val="20"/>
          <w:szCs w:val="20"/>
        </w:rPr>
        <w:t>Figure 5: 10/06/2023, Chickee-inspired building in residential settler area of Plantation. (Virk 2023)</w:t>
      </w:r>
    </w:p>
    <w:p w14:paraId="21FAB714" w14:textId="77777777" w:rsidR="009F0C56" w:rsidRDefault="009F0C56">
      <w:pPr>
        <w:pBdr>
          <w:top w:val="nil"/>
          <w:left w:val="nil"/>
          <w:bottom w:val="nil"/>
          <w:right w:val="nil"/>
          <w:between w:val="nil"/>
        </w:pBdr>
        <w:spacing w:before="280" w:after="280" w:line="240" w:lineRule="auto"/>
        <w:rPr>
          <w:rFonts w:ascii="Arial" w:eastAsia="Arial" w:hAnsi="Arial" w:cs="Arial"/>
          <w:color w:val="000000"/>
        </w:rPr>
      </w:pPr>
    </w:p>
    <w:p w14:paraId="2A4E3CE1" w14:textId="77777777" w:rsidR="009F0C56" w:rsidRDefault="00653842">
      <w:pPr>
        <w:pBdr>
          <w:top w:val="nil"/>
          <w:left w:val="nil"/>
          <w:bottom w:val="nil"/>
          <w:right w:val="nil"/>
          <w:between w:val="nil"/>
        </w:pBdr>
        <w:spacing w:before="280" w:after="280" w:line="240" w:lineRule="auto"/>
        <w:rPr>
          <w:rFonts w:ascii="Arial" w:eastAsia="Arial" w:hAnsi="Arial" w:cs="Arial"/>
          <w:color w:val="000000"/>
        </w:rPr>
      </w:pPr>
      <w:r>
        <w:rPr>
          <w:noProof/>
        </w:rPr>
        <w:drawing>
          <wp:anchor distT="0" distB="0" distL="114300" distR="114300" simplePos="0" relativeHeight="251661312" behindDoc="0" locked="0" layoutInCell="1" hidden="0" allowOverlap="1" wp14:anchorId="1E70A305" wp14:editId="622ABA06">
            <wp:simplePos x="0" y="0"/>
            <wp:positionH relativeFrom="column">
              <wp:posOffset>1</wp:posOffset>
            </wp:positionH>
            <wp:positionV relativeFrom="paragraph">
              <wp:posOffset>4445</wp:posOffset>
            </wp:positionV>
            <wp:extent cx="3599180" cy="4799330"/>
            <wp:effectExtent l="0" t="0" r="0" b="0"/>
            <wp:wrapSquare wrapText="bothSides" distT="0" distB="0" distL="114300" distR="114300"/>
            <wp:docPr id="1874855861" name="image11.jpg" descr="A fence with palm tre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1.jpg" descr="A fence with palm trees&#10;&#10;Description automatically generated"/>
                    <pic:cNvPicPr preferRelativeResize="0"/>
                  </pic:nvPicPr>
                  <pic:blipFill>
                    <a:blip r:embed="rId14"/>
                    <a:srcRect/>
                    <a:stretch>
                      <a:fillRect/>
                    </a:stretch>
                  </pic:blipFill>
                  <pic:spPr>
                    <a:xfrm>
                      <a:off x="0" y="0"/>
                      <a:ext cx="3599180" cy="4799330"/>
                    </a:xfrm>
                    <a:prstGeom prst="rect">
                      <a:avLst/>
                    </a:prstGeom>
                    <a:ln/>
                  </pic:spPr>
                </pic:pic>
              </a:graphicData>
            </a:graphic>
          </wp:anchor>
        </w:drawing>
      </w:r>
    </w:p>
    <w:p w14:paraId="16824993" w14:textId="77777777" w:rsidR="009F0C56" w:rsidRDefault="009F0C56">
      <w:pPr>
        <w:pBdr>
          <w:top w:val="nil"/>
          <w:left w:val="nil"/>
          <w:bottom w:val="nil"/>
          <w:right w:val="nil"/>
          <w:between w:val="nil"/>
        </w:pBdr>
        <w:spacing w:before="280" w:after="280" w:line="240" w:lineRule="auto"/>
        <w:rPr>
          <w:rFonts w:ascii="Arial" w:eastAsia="Arial" w:hAnsi="Arial" w:cs="Arial"/>
          <w:color w:val="000000"/>
        </w:rPr>
      </w:pPr>
    </w:p>
    <w:p w14:paraId="1F4D4AF8" w14:textId="77777777" w:rsidR="009F0C56" w:rsidRDefault="009F0C56">
      <w:pPr>
        <w:pBdr>
          <w:top w:val="nil"/>
          <w:left w:val="nil"/>
          <w:bottom w:val="nil"/>
          <w:right w:val="nil"/>
          <w:between w:val="nil"/>
        </w:pBdr>
        <w:spacing w:before="280" w:after="280" w:line="240" w:lineRule="auto"/>
        <w:rPr>
          <w:rFonts w:ascii="Arial" w:eastAsia="Arial" w:hAnsi="Arial" w:cs="Arial"/>
          <w:color w:val="000000"/>
        </w:rPr>
      </w:pPr>
    </w:p>
    <w:p w14:paraId="7341D944" w14:textId="77777777" w:rsidR="009F0C56" w:rsidRDefault="009F0C56">
      <w:pPr>
        <w:pBdr>
          <w:top w:val="nil"/>
          <w:left w:val="nil"/>
          <w:bottom w:val="nil"/>
          <w:right w:val="nil"/>
          <w:between w:val="nil"/>
        </w:pBdr>
        <w:spacing w:before="280" w:after="280" w:line="240" w:lineRule="auto"/>
        <w:rPr>
          <w:rFonts w:ascii="Arial" w:eastAsia="Arial" w:hAnsi="Arial" w:cs="Arial"/>
          <w:color w:val="000000"/>
        </w:rPr>
      </w:pPr>
    </w:p>
    <w:p w14:paraId="4039095A" w14:textId="77777777" w:rsidR="009F0C56" w:rsidRDefault="009F0C56">
      <w:pPr>
        <w:pBdr>
          <w:top w:val="nil"/>
          <w:left w:val="nil"/>
          <w:bottom w:val="nil"/>
          <w:right w:val="nil"/>
          <w:between w:val="nil"/>
        </w:pBdr>
        <w:spacing w:before="280" w:after="280" w:line="240" w:lineRule="auto"/>
        <w:rPr>
          <w:rFonts w:ascii="Arial" w:eastAsia="Arial" w:hAnsi="Arial" w:cs="Arial"/>
          <w:color w:val="000000"/>
        </w:rPr>
      </w:pPr>
    </w:p>
    <w:p w14:paraId="6728A114" w14:textId="77777777" w:rsidR="009F0C56" w:rsidRDefault="009F0C56">
      <w:pPr>
        <w:pBdr>
          <w:top w:val="nil"/>
          <w:left w:val="nil"/>
          <w:bottom w:val="nil"/>
          <w:right w:val="nil"/>
          <w:between w:val="nil"/>
        </w:pBdr>
        <w:spacing w:before="280" w:after="280" w:line="240" w:lineRule="auto"/>
        <w:rPr>
          <w:rFonts w:ascii="Arial" w:eastAsia="Arial" w:hAnsi="Arial" w:cs="Arial"/>
          <w:color w:val="000000"/>
        </w:rPr>
      </w:pPr>
    </w:p>
    <w:p w14:paraId="1CB85EE0" w14:textId="77777777" w:rsidR="009F0C56" w:rsidRDefault="009F0C56">
      <w:pPr>
        <w:pBdr>
          <w:top w:val="nil"/>
          <w:left w:val="nil"/>
          <w:bottom w:val="nil"/>
          <w:right w:val="nil"/>
          <w:between w:val="nil"/>
        </w:pBdr>
        <w:spacing w:before="280" w:after="280" w:line="240" w:lineRule="auto"/>
        <w:rPr>
          <w:rFonts w:ascii="Arial" w:eastAsia="Arial" w:hAnsi="Arial" w:cs="Arial"/>
          <w:color w:val="000000"/>
        </w:rPr>
      </w:pPr>
    </w:p>
    <w:p w14:paraId="681C6C59" w14:textId="77777777" w:rsidR="009F0C56" w:rsidRDefault="009F0C56">
      <w:pPr>
        <w:pBdr>
          <w:top w:val="nil"/>
          <w:left w:val="nil"/>
          <w:bottom w:val="nil"/>
          <w:right w:val="nil"/>
          <w:between w:val="nil"/>
        </w:pBdr>
        <w:spacing w:before="280" w:after="280" w:line="240" w:lineRule="auto"/>
        <w:rPr>
          <w:rFonts w:ascii="Arial" w:eastAsia="Arial" w:hAnsi="Arial" w:cs="Arial"/>
          <w:color w:val="000000"/>
        </w:rPr>
      </w:pPr>
    </w:p>
    <w:p w14:paraId="25757C48" w14:textId="77777777" w:rsidR="009F0C56" w:rsidRDefault="009F0C56">
      <w:pPr>
        <w:pBdr>
          <w:top w:val="nil"/>
          <w:left w:val="nil"/>
          <w:bottom w:val="nil"/>
          <w:right w:val="nil"/>
          <w:between w:val="nil"/>
        </w:pBdr>
        <w:spacing w:before="280" w:after="280" w:line="240" w:lineRule="auto"/>
        <w:rPr>
          <w:rFonts w:ascii="Arial" w:eastAsia="Arial" w:hAnsi="Arial" w:cs="Arial"/>
          <w:color w:val="000000"/>
        </w:rPr>
      </w:pPr>
    </w:p>
    <w:p w14:paraId="272DA9DA" w14:textId="77777777" w:rsidR="009F0C56" w:rsidRDefault="009F0C56">
      <w:pPr>
        <w:pBdr>
          <w:top w:val="nil"/>
          <w:left w:val="nil"/>
          <w:bottom w:val="nil"/>
          <w:right w:val="nil"/>
          <w:between w:val="nil"/>
        </w:pBdr>
        <w:spacing w:before="280" w:after="280" w:line="240" w:lineRule="auto"/>
        <w:rPr>
          <w:rFonts w:ascii="Arial" w:eastAsia="Arial" w:hAnsi="Arial" w:cs="Arial"/>
          <w:color w:val="000000"/>
        </w:rPr>
      </w:pPr>
    </w:p>
    <w:p w14:paraId="1DD9E5EA" w14:textId="77777777" w:rsidR="009F0C56" w:rsidRDefault="009F0C56">
      <w:pPr>
        <w:pBdr>
          <w:top w:val="nil"/>
          <w:left w:val="nil"/>
          <w:bottom w:val="nil"/>
          <w:right w:val="nil"/>
          <w:between w:val="nil"/>
        </w:pBdr>
        <w:spacing w:before="280" w:after="280" w:line="240" w:lineRule="auto"/>
        <w:rPr>
          <w:rFonts w:ascii="Arial" w:eastAsia="Arial" w:hAnsi="Arial" w:cs="Arial"/>
          <w:color w:val="000000"/>
        </w:rPr>
      </w:pPr>
    </w:p>
    <w:p w14:paraId="4B56140E" w14:textId="77777777" w:rsidR="009F0C56" w:rsidRDefault="009F0C56">
      <w:pPr>
        <w:pBdr>
          <w:top w:val="nil"/>
          <w:left w:val="nil"/>
          <w:bottom w:val="nil"/>
          <w:right w:val="nil"/>
          <w:between w:val="nil"/>
        </w:pBdr>
        <w:spacing w:before="280" w:after="280" w:line="240" w:lineRule="auto"/>
        <w:rPr>
          <w:rFonts w:ascii="Arial" w:eastAsia="Arial" w:hAnsi="Arial" w:cs="Arial"/>
          <w:color w:val="000000"/>
        </w:rPr>
      </w:pPr>
    </w:p>
    <w:p w14:paraId="404C32F4" w14:textId="77777777" w:rsidR="009F0C56" w:rsidRDefault="009F0C56">
      <w:pPr>
        <w:pBdr>
          <w:top w:val="nil"/>
          <w:left w:val="nil"/>
          <w:bottom w:val="nil"/>
          <w:right w:val="nil"/>
          <w:between w:val="nil"/>
        </w:pBdr>
        <w:spacing w:before="280" w:after="280" w:line="240" w:lineRule="auto"/>
        <w:rPr>
          <w:rFonts w:ascii="Arial" w:eastAsia="Arial" w:hAnsi="Arial" w:cs="Arial"/>
          <w:color w:val="000000"/>
        </w:rPr>
      </w:pPr>
    </w:p>
    <w:p w14:paraId="464B9AA0" w14:textId="77777777" w:rsidR="009F0C56" w:rsidRDefault="009F0C56">
      <w:pPr>
        <w:pBdr>
          <w:top w:val="nil"/>
          <w:left w:val="nil"/>
          <w:bottom w:val="nil"/>
          <w:right w:val="nil"/>
          <w:between w:val="nil"/>
        </w:pBdr>
        <w:spacing w:before="280" w:after="280" w:line="240" w:lineRule="auto"/>
        <w:rPr>
          <w:rFonts w:ascii="Arial" w:eastAsia="Arial" w:hAnsi="Arial" w:cs="Arial"/>
          <w:color w:val="000000"/>
        </w:rPr>
      </w:pPr>
    </w:p>
    <w:p w14:paraId="5D77B9C0" w14:textId="77777777" w:rsidR="009F0C56" w:rsidRDefault="009F0C56">
      <w:pPr>
        <w:pBdr>
          <w:top w:val="nil"/>
          <w:left w:val="nil"/>
          <w:bottom w:val="nil"/>
          <w:right w:val="nil"/>
          <w:between w:val="nil"/>
        </w:pBdr>
        <w:spacing w:before="280" w:after="280" w:line="240" w:lineRule="auto"/>
        <w:rPr>
          <w:rFonts w:ascii="Arial" w:eastAsia="Arial" w:hAnsi="Arial" w:cs="Arial"/>
          <w:color w:val="000000"/>
        </w:rPr>
      </w:pPr>
    </w:p>
    <w:p w14:paraId="551DDB7B" w14:textId="77777777" w:rsidR="009F0C56" w:rsidRDefault="009F0C56">
      <w:pPr>
        <w:pBdr>
          <w:top w:val="nil"/>
          <w:left w:val="nil"/>
          <w:bottom w:val="nil"/>
          <w:right w:val="nil"/>
          <w:between w:val="nil"/>
        </w:pBdr>
        <w:spacing w:before="280" w:after="280" w:line="240" w:lineRule="auto"/>
        <w:rPr>
          <w:rFonts w:ascii="Arial" w:eastAsia="Arial" w:hAnsi="Arial" w:cs="Arial"/>
          <w:color w:val="000000"/>
        </w:rPr>
      </w:pPr>
    </w:p>
    <w:p w14:paraId="7579EAA0" w14:textId="77777777" w:rsidR="009F0C56" w:rsidRDefault="009F0C56">
      <w:pPr>
        <w:pBdr>
          <w:top w:val="nil"/>
          <w:left w:val="nil"/>
          <w:bottom w:val="nil"/>
          <w:right w:val="nil"/>
          <w:between w:val="nil"/>
        </w:pBdr>
        <w:spacing w:before="280" w:after="280" w:line="240" w:lineRule="auto"/>
        <w:rPr>
          <w:rFonts w:ascii="Arial" w:eastAsia="Arial" w:hAnsi="Arial" w:cs="Arial"/>
          <w:color w:val="000000"/>
        </w:rPr>
      </w:pPr>
    </w:p>
    <w:p w14:paraId="612B005F" w14:textId="77777777" w:rsidR="009F0C56" w:rsidRDefault="009F0C56">
      <w:pPr>
        <w:pBdr>
          <w:top w:val="nil"/>
          <w:left w:val="nil"/>
          <w:bottom w:val="nil"/>
          <w:right w:val="nil"/>
          <w:between w:val="nil"/>
        </w:pBdr>
        <w:spacing w:before="280" w:after="280" w:line="240" w:lineRule="auto"/>
        <w:rPr>
          <w:rFonts w:ascii="Arial" w:eastAsia="Arial" w:hAnsi="Arial" w:cs="Arial"/>
          <w:color w:val="000000"/>
        </w:rPr>
      </w:pPr>
    </w:p>
    <w:p w14:paraId="49BA2D47" w14:textId="77777777" w:rsidR="009F0C56" w:rsidRDefault="009F0C56">
      <w:pPr>
        <w:pBdr>
          <w:top w:val="nil"/>
          <w:left w:val="nil"/>
          <w:bottom w:val="nil"/>
          <w:right w:val="nil"/>
          <w:between w:val="nil"/>
        </w:pBdr>
        <w:spacing w:before="280" w:after="280" w:line="240" w:lineRule="auto"/>
        <w:rPr>
          <w:rFonts w:ascii="Arial" w:eastAsia="Arial" w:hAnsi="Arial" w:cs="Arial"/>
          <w:color w:val="000000"/>
          <w:sz w:val="20"/>
          <w:szCs w:val="20"/>
        </w:rPr>
      </w:pPr>
    </w:p>
    <w:p w14:paraId="0667E4CC" w14:textId="77777777" w:rsidR="009F0C56" w:rsidRDefault="00653842">
      <w:pPr>
        <w:spacing w:before="240" w:after="240" w:line="240" w:lineRule="auto"/>
        <w:rPr>
          <w:rFonts w:ascii="Arial" w:eastAsia="Arial" w:hAnsi="Arial" w:cs="Arial"/>
        </w:rPr>
      </w:pPr>
      <w:r>
        <w:rPr>
          <w:rFonts w:ascii="Arial" w:eastAsia="Arial" w:hAnsi="Arial" w:cs="Arial"/>
        </w:rPr>
        <w:lastRenderedPageBreak/>
        <w:t>Figures 2 and 5 highlight a settler memory, where, through settler society's selective incorporation of Indigenous cultural elements into the dominant narrative, it strips them of political meaning while reifying settler belonging and permanence. In this process, Indigenous cultural identities and signs, such as the chickee, are extracted from their specific historical and ontological contexts and recontextualised within settler frameworks that prioritise aesthetic, leisure, and market value over Indigenous</w:t>
      </w:r>
      <w:r>
        <w:rPr>
          <w:rFonts w:ascii="Arial" w:eastAsia="Arial" w:hAnsi="Arial" w:cs="Arial"/>
        </w:rPr>
        <w:t xml:space="preserve"> self-representation (Bruyneel 2021).</w:t>
      </w:r>
    </w:p>
    <w:p w14:paraId="5AC11E14" w14:textId="77777777" w:rsidR="009F0C56" w:rsidRDefault="00653842">
      <w:pPr>
        <w:spacing w:before="240" w:after="240" w:line="240" w:lineRule="auto"/>
        <w:rPr>
          <w:rFonts w:ascii="Arial" w:eastAsia="Arial" w:hAnsi="Arial" w:cs="Arial"/>
        </w:rPr>
      </w:pPr>
      <w:r>
        <w:rPr>
          <w:rFonts w:ascii="Arial" w:eastAsia="Arial" w:hAnsi="Arial" w:cs="Arial"/>
        </w:rPr>
        <w:t>Here, the chickee, which was originally used as a practical and culturally embedded structure, used by the Seminole and Miccosukee, has become in the settler's imagination a stylised sign of exoticism and tropical leisure. This is akin to Aldred's (2000) analysis, where the appropriation of Indigenous symbols within white liberal multicultural discourse operates under the surface of inclusivity. In reality, it reinforces settler control by rendering Indigeneity into a non-threatening, consumable, and mallea</w:t>
      </w:r>
      <w:r>
        <w:rPr>
          <w:rFonts w:ascii="Arial" w:eastAsia="Arial" w:hAnsi="Arial" w:cs="Arial"/>
        </w:rPr>
        <w:t xml:space="preserve">ble entity to alter at will. </w:t>
      </w:r>
    </w:p>
    <w:p w14:paraId="3DABD968" w14:textId="47AF10A5" w:rsidR="009F0C56" w:rsidRDefault="00653842">
      <w:pPr>
        <w:spacing w:before="240" w:after="240" w:line="240" w:lineRule="auto"/>
        <w:rPr>
          <w:rFonts w:ascii="Arial" w:eastAsia="Arial" w:hAnsi="Arial" w:cs="Arial"/>
          <w:color w:val="000000"/>
        </w:rPr>
      </w:pPr>
      <w:r>
        <w:rPr>
          <w:rFonts w:ascii="Arial" w:eastAsia="Arial" w:hAnsi="Arial" w:cs="Arial"/>
          <w:color w:val="000000"/>
        </w:rPr>
        <w:t>In this, the manipulation of the chickee into an aesthetic, leisure-based sign was commonly found in bars, beach resorts, and promenades. This illustrates the pattern of partial homogenisation, where Indigenous cultural items are visibly present and public, but stripped of their relational meaning and cultural grounding (Barker 2021). Through this process of cultural alienation, selective endorsement further articulates this process of settler homogenisation, wherein settler colonial society allows selected</w:t>
      </w:r>
      <w:r>
        <w:rPr>
          <w:rFonts w:ascii="Arial" w:eastAsia="Arial" w:hAnsi="Arial" w:cs="Arial"/>
          <w:color w:val="000000"/>
        </w:rPr>
        <w:t xml:space="preserve"> Indigenous symbols or practices to exist</w:t>
      </w:r>
      <w:r>
        <w:rPr>
          <w:rFonts w:ascii="Arial" w:eastAsia="Arial" w:hAnsi="Arial" w:cs="Arial"/>
          <w:color w:val="000000"/>
        </w:rPr>
        <w:t xml:space="preserve"> only when they do not challenge settler authority or land claims (Lightfoot 2016). Therefore, the chickee is understood as a selectively endorsed element within settler landscapes, as it holds cultural significance to the Seminole and Miccosukee. However, through </w:t>
      </w:r>
      <w:r>
        <w:rPr>
          <w:rFonts w:ascii="Arial" w:eastAsia="Arial" w:hAnsi="Arial" w:cs="Arial"/>
          <w:color w:val="000000"/>
        </w:rPr>
        <w:t>settler appropriation, it has become unconsciously detached in the settler public sphere from the origin previously explored, and reimagined to serve settler interests: as a symbol of leisure, tourism, or a tropical aesthetic (Goeman 2011).</w:t>
      </w:r>
    </w:p>
    <w:p w14:paraId="04C03317" w14:textId="0FB8164F" w:rsidR="009F0C56" w:rsidRDefault="00653842">
      <w:pPr>
        <w:spacing w:before="240" w:after="240" w:line="240" w:lineRule="auto"/>
        <w:rPr>
          <w:rFonts w:ascii="Arial" w:eastAsia="Arial" w:hAnsi="Arial" w:cs="Arial"/>
          <w:color w:val="000000"/>
        </w:rPr>
      </w:pPr>
      <w:r>
        <w:rPr>
          <w:rFonts w:ascii="Arial" w:eastAsia="Arial" w:hAnsi="Arial" w:cs="Arial"/>
          <w:color w:val="000000"/>
        </w:rPr>
        <w:t xml:space="preserve">In this, by settler society electing what aspects of Indigeneity are allowed to be visible, and under what boundaries, settler society constructs a curated form of representation. In this reimagination of Indigeneity, the chickee in the settler landscape actively works to erase Seminole and Miccosukee agency and presence on the land. </w:t>
      </w:r>
      <w:r w:rsidR="00CF2C48">
        <w:rPr>
          <w:rFonts w:ascii="Arial" w:eastAsia="Arial" w:hAnsi="Arial" w:cs="Arial"/>
          <w:color w:val="000000"/>
        </w:rPr>
        <w:t>By</w:t>
      </w:r>
      <w:r>
        <w:rPr>
          <w:rFonts w:ascii="Arial" w:eastAsia="Arial" w:hAnsi="Arial" w:cs="Arial"/>
          <w:color w:val="000000"/>
        </w:rPr>
        <w:t xml:space="preserve"> displacing the ontological and epistemological origin of the chickee, settler societies engage in strategic misremembering of the Seminole and Miccosukee. Retaining only selected fragments of Indigeneity in ways that support settler legitimacy while also severing ties to Indigenous resistance and land claims (Bruyneel 2021). </w:t>
      </w:r>
    </w:p>
    <w:p w14:paraId="5C74B7B2" w14:textId="0F0CCDF1" w:rsidR="009F0C56" w:rsidRDefault="00653842">
      <w:pPr>
        <w:spacing w:before="240" w:after="240" w:line="240" w:lineRule="auto"/>
        <w:rPr>
          <w:rFonts w:ascii="Arial" w:eastAsia="Arial" w:hAnsi="Arial" w:cs="Arial"/>
          <w:color w:val="000000"/>
        </w:rPr>
      </w:pPr>
      <w:r>
        <w:rPr>
          <w:rFonts w:ascii="Arial" w:eastAsia="Arial" w:hAnsi="Arial" w:cs="Arial"/>
          <w:color w:val="000000"/>
        </w:rPr>
        <w:t xml:space="preserve">Thus, the chickee in settler memory is not about inclusive coexistence, but about symbolic absorption and homogenisation of a singular Indigenous identity. Over time, appropriated symbols like the chickee become embedded in the visual and cultural landscape of the settler sphere, creating a screen memory of Indigeneity (Veracini 2010). </w:t>
      </w:r>
      <w:r w:rsidR="00CF2C48">
        <w:rPr>
          <w:rFonts w:ascii="Arial" w:eastAsia="Arial" w:hAnsi="Arial" w:cs="Arial"/>
          <w:color w:val="000000"/>
        </w:rPr>
        <w:t>This</w:t>
      </w:r>
      <w:r>
        <w:rPr>
          <w:rFonts w:ascii="Arial" w:eastAsia="Arial" w:hAnsi="Arial" w:cs="Arial"/>
          <w:color w:val="000000"/>
        </w:rPr>
        <w:t xml:space="preserve"> leads to these signs </w:t>
      </w:r>
      <w:r w:rsidR="00CF2C48">
        <w:rPr>
          <w:rFonts w:ascii="Arial" w:eastAsia="Arial" w:hAnsi="Arial" w:cs="Arial"/>
          <w:color w:val="000000"/>
        </w:rPr>
        <w:t>becoming</w:t>
      </w:r>
      <w:r>
        <w:rPr>
          <w:rFonts w:ascii="Arial" w:eastAsia="Arial" w:hAnsi="Arial" w:cs="Arial"/>
          <w:color w:val="000000"/>
        </w:rPr>
        <w:t xml:space="preserve"> a naturalised part of a shared settler heritage, further assimilating Seminole and Miccosukee cultural representations into the hegemony of settler life, creating a screen memory (Veracini 2010). In this, the settler claims on items like the chickee</w:t>
      </w:r>
      <w:r>
        <w:rPr>
          <w:rFonts w:ascii="Arial" w:eastAsia="Arial" w:hAnsi="Arial" w:cs="Arial"/>
          <w:color w:val="000000"/>
        </w:rPr>
        <w:t xml:space="preserve"> cognitively </w:t>
      </w:r>
      <w:r w:rsidR="00CF2C48">
        <w:rPr>
          <w:rFonts w:ascii="Arial" w:eastAsia="Arial" w:hAnsi="Arial" w:cs="Arial"/>
          <w:color w:val="000000"/>
        </w:rPr>
        <w:t>work</w:t>
      </w:r>
      <w:r>
        <w:rPr>
          <w:rFonts w:ascii="Arial" w:eastAsia="Arial" w:hAnsi="Arial" w:cs="Arial"/>
          <w:color w:val="000000"/>
        </w:rPr>
        <w:t xml:space="preserve"> to distance authentic Indigenous representations away from core settler discourse, creating the vanishing Indian that only lives temporally in the past through books and statues, as discussed. In this, Moreton-Robinson’s work on the vanishing Indigenous subject, in </w:t>
      </w:r>
      <w:r>
        <w:rPr>
          <w:rFonts w:ascii="Arial" w:eastAsia="Arial" w:hAnsi="Arial" w:cs="Arial"/>
          <w:i/>
          <w:iCs/>
          <w:color w:val="000000"/>
        </w:rPr>
        <w:lastRenderedPageBreak/>
        <w:t>The White Possessive</w:t>
      </w:r>
      <w:r>
        <w:rPr>
          <w:rFonts w:ascii="Arial" w:eastAsia="Arial" w:hAnsi="Arial" w:cs="Arial"/>
          <w:color w:val="000000"/>
        </w:rPr>
        <w:t xml:space="preserve"> (2015), draws parallels to the chickee for the Seminole and Miccosukee in how settler colonial logic depends on representing Indigenous peoples as either vanishing or static. Through this, the Seminole and Miccosukee can be disqualified from making authentic claims in the present about their individuality.</w:t>
      </w:r>
    </w:p>
    <w:p w14:paraId="04B8064D" w14:textId="20382A60" w:rsidR="009F0C56" w:rsidRDefault="00653842">
      <w:pPr>
        <w:rPr>
          <w:rFonts w:ascii="Arial" w:eastAsia="Arial" w:hAnsi="Arial" w:cs="Arial"/>
          <w:highlight w:val="white"/>
        </w:rPr>
      </w:pPr>
      <w:r>
        <w:rPr>
          <w:rFonts w:ascii="Arial" w:eastAsia="Arial" w:hAnsi="Arial" w:cs="Arial"/>
        </w:rPr>
        <w:t xml:space="preserve">In this, the application of the chickee and widespread use of it in settler spaces allows the chickee to represent a dual function: where the structure is made hyper-visible, yet its cultural and Indigenous place-based significance is rendered invisible to the casual viewer </w:t>
      </w:r>
      <w:r>
        <w:rPr>
          <w:rFonts w:ascii="Arial" w:eastAsia="Arial" w:hAnsi="Arial" w:cs="Arial"/>
          <w:highlight w:val="white"/>
        </w:rPr>
        <w:t>(Oldman et al</w:t>
      </w:r>
      <w:r w:rsidR="00CF2C48">
        <w:rPr>
          <w:rFonts w:ascii="Arial" w:eastAsia="Arial" w:hAnsi="Arial" w:cs="Arial"/>
          <w:highlight w:val="white"/>
        </w:rPr>
        <w:t>.</w:t>
      </w:r>
      <w:r>
        <w:rPr>
          <w:rFonts w:ascii="Arial" w:eastAsia="Arial" w:hAnsi="Arial" w:cs="Arial"/>
          <w:highlight w:val="white"/>
        </w:rPr>
        <w:t xml:space="preserve"> 2024). </w:t>
      </w:r>
      <w:r>
        <w:rPr>
          <w:rFonts w:ascii="Arial" w:eastAsia="Arial" w:hAnsi="Arial" w:cs="Arial"/>
        </w:rPr>
        <w:t xml:space="preserve">Here, the idea of the chickee becomes a common theme in settler visuals, while the Seminole and Miccosukee vanish, not physically, but ontologically and individually (Moreton-Robinson 2015). All leading to the settler society strengthening </w:t>
      </w:r>
      <w:r w:rsidR="00CF2C48">
        <w:rPr>
          <w:rFonts w:ascii="Arial" w:eastAsia="Arial" w:hAnsi="Arial" w:cs="Arial"/>
        </w:rPr>
        <w:t>its</w:t>
      </w:r>
      <w:r>
        <w:rPr>
          <w:rFonts w:ascii="Arial" w:eastAsia="Arial" w:hAnsi="Arial" w:cs="Arial"/>
        </w:rPr>
        <w:t xml:space="preserve"> historical continuity that negates the presence of the Seminole and Miccosukee individuals with lived experiences in South Florida. In this constructed settler relation, the chickee becomes more than a chickee; it gains a settler agency in what Moreton-Robinson explored with the possessive logics of patriarchal white sovereignty, in which settler society constructs and controls the terms of Indigenous visibility (Moreton-Robinson 2015). As is seen with the chickee’s transformation into a leisure-oriented i</w:t>
      </w:r>
      <w:r>
        <w:rPr>
          <w:rFonts w:ascii="Arial" w:eastAsia="Arial" w:hAnsi="Arial" w:cs="Arial"/>
        </w:rPr>
        <w:t>con, settlers can claim closeness with Indigenous heritage while maintaining their own spatial and political dominance and separation. Thus, the more the chickee is assimilated as part of ‘settler Florida culture,’ the less room there is in acknowledging Seminole and Miccosukee presence as sovereign and contemporary actors.</w:t>
      </w:r>
    </w:p>
    <w:p w14:paraId="22D67B43" w14:textId="77777777" w:rsidR="009F0C56" w:rsidRDefault="00653842">
      <w:pPr>
        <w:spacing w:before="240" w:after="240" w:line="240" w:lineRule="auto"/>
        <w:rPr>
          <w:rFonts w:ascii="Arial" w:eastAsia="Arial" w:hAnsi="Arial" w:cs="Arial"/>
          <w:color w:val="000000"/>
        </w:rPr>
      </w:pPr>
      <w:r>
        <w:rPr>
          <w:rFonts w:ascii="Arial" w:eastAsia="Arial" w:hAnsi="Arial" w:cs="Arial"/>
        </w:rPr>
        <w:t>This is further</w:t>
      </w:r>
      <w:r>
        <w:rPr>
          <w:rFonts w:ascii="Arial" w:eastAsia="Arial" w:hAnsi="Arial" w:cs="Arial"/>
          <w:color w:val="008000"/>
        </w:rPr>
        <w:t xml:space="preserve"> </w:t>
      </w:r>
      <w:r>
        <w:rPr>
          <w:rFonts w:ascii="Arial" w:eastAsia="Arial" w:hAnsi="Arial" w:cs="Arial"/>
          <w:color w:val="000000"/>
        </w:rPr>
        <w:t>supported by Coulthard’s (2014) critique of the politics of recognition, where settler colonialism shifts from overt violent dispossession to cultural incorporation. Through this shift, the settler state increasingly adopts a façade of multicultural homogeneity that celebrates the notion of the settler Indian as it aligns with the settler, while erasing any semblance of authentic Indigenous authenticity (Goeman 2011). Hence, the framing of the chickee becomes embedded in the white liberal gaze that interpre</w:t>
      </w:r>
      <w:r>
        <w:rPr>
          <w:rFonts w:ascii="Arial" w:eastAsia="Arial" w:hAnsi="Arial" w:cs="Arial"/>
          <w:color w:val="000000"/>
        </w:rPr>
        <w:t xml:space="preserve">ts such cultural adoption as evidence of progressiveness, rather than as a reinforcement of settler colonial dominance (Aldred 2000). Here, this gaze undermines the visibility of the Seminole and Miccosukee and presents them through settler-sanctioned filters, where their ‘Indianness’ is reduced to a collection of settler aesthetic signifiers. </w:t>
      </w:r>
    </w:p>
    <w:p w14:paraId="1943712A" w14:textId="77777777" w:rsidR="009F0C56" w:rsidRDefault="00653842">
      <w:pPr>
        <w:spacing w:before="240" w:after="240" w:line="240" w:lineRule="auto"/>
        <w:rPr>
          <w:rFonts w:ascii="Arial" w:eastAsia="Arial" w:hAnsi="Arial" w:cs="Arial"/>
          <w:color w:val="000000"/>
        </w:rPr>
      </w:pPr>
      <w:r>
        <w:rPr>
          <w:rFonts w:ascii="Arial" w:eastAsia="Arial" w:hAnsi="Arial" w:cs="Arial"/>
          <w:color w:val="000000"/>
        </w:rPr>
        <w:t>In this context, Harris’s work on colonial Canada parallels the structure of settler colonialism that the chickees represent, stating, “The colonial discourse literature has impressively clariﬁed the implicit and explicit assumptions that, in the minds of imperialists and colonists, validated the colonial enterprise” (Harris 2004, Pg 179). It can be observed that the chickee hut only gained validation in the settler perspective when settler engagement occurred. Therefore, this is not merely an aesthetic tra</w:t>
      </w:r>
      <w:r>
        <w:rPr>
          <w:rFonts w:ascii="Arial" w:eastAsia="Arial" w:hAnsi="Arial" w:cs="Arial"/>
          <w:color w:val="000000"/>
        </w:rPr>
        <w:t>nsformation but an ideological erasure, as Simpson (2017) and Moreton-Robinson (2015) both suggest within their research praxis. That settler society fabricates a “post-Indigenous” landscape populated with Indigenous symbols but devoid of Indigenous people, rights, or autonomy (Clayton 2000).</w:t>
      </w:r>
    </w:p>
    <w:p w14:paraId="4B591819" w14:textId="77777777" w:rsidR="009F0C56" w:rsidRDefault="00653842">
      <w:pPr>
        <w:spacing w:before="240" w:after="240" w:line="240" w:lineRule="auto"/>
        <w:rPr>
          <w:rFonts w:ascii="Arial" w:eastAsia="Arial" w:hAnsi="Arial" w:cs="Arial"/>
          <w:color w:val="000000"/>
        </w:rPr>
      </w:pPr>
      <w:r>
        <w:rPr>
          <w:rFonts w:ascii="Arial" w:eastAsia="Arial" w:hAnsi="Arial" w:cs="Arial"/>
          <w:color w:val="000000"/>
        </w:rPr>
        <w:lastRenderedPageBreak/>
        <w:t xml:space="preserve">All this leads to a third dimension of racial homogeneity and erasure, as Newton (2022) explored with Black hypervisibility. Black hypervisibility explored how Blackness can be hyper-visible and yet socially marginalised; in this, so too can Indigenous signifiers like the chickee. Which can be omnipresent in the visual field landscape, yet divorced from the Seminole and Miccosukee’s political and ontological meanings. Through this, the more visible the chickee becomes, the less visible its originators are. </w:t>
      </w:r>
      <w:r>
        <w:rPr>
          <w:rFonts w:ascii="Arial" w:eastAsia="Arial" w:hAnsi="Arial" w:cs="Arial"/>
          <w:color w:val="000000"/>
        </w:rPr>
        <w:t xml:space="preserve">This is not erasure by omission, but by saturation, a tactic of settler colonialism that remakes Indigenous identity as a hollow image devoid of depth or resistance while still being visible (Newton 2022). </w:t>
      </w:r>
    </w:p>
    <w:p w14:paraId="33FE47A2" w14:textId="77777777" w:rsidR="009F0C56" w:rsidRDefault="00653842">
      <w:pPr>
        <w:spacing w:before="240" w:after="240" w:line="240" w:lineRule="auto"/>
        <w:rPr>
          <w:rFonts w:ascii="Arial" w:eastAsia="Arial" w:hAnsi="Arial" w:cs="Arial"/>
          <w:color w:val="000000"/>
        </w:rPr>
      </w:pPr>
      <w:r>
        <w:rPr>
          <w:rFonts w:ascii="Arial" w:eastAsia="Arial" w:hAnsi="Arial" w:cs="Arial"/>
          <w:color w:val="000000"/>
        </w:rPr>
        <w:t xml:space="preserve">As Jojola's (2014) work helps explore, the incorporation of Indigenous design into settler-dominated architecture is not merely decorative; it serves to embed settler authority within the landscape. In this, the placement of chickees in promenades, theme parks, and shopping areas acts as a spatial tool in homogenising all Indigenous identities into settler control, and relegating the Seminole and Miccosukee presence to the margins of society (Newton 2002). However, this does not imply that the Seminole and </w:t>
      </w:r>
      <w:r>
        <w:rPr>
          <w:rFonts w:ascii="Arial" w:eastAsia="Arial" w:hAnsi="Arial" w:cs="Arial"/>
          <w:color w:val="000000"/>
        </w:rPr>
        <w:t>Miccosukee lack agency in their representations. Rather, this process of homogenisation functions to re-narrate and embed the complex interplay of cultural assertion and corporate colonialism that results in chickees being unconsciously tied in the settler perception as a temporally homogenised settler item (Veracini 2010).</w:t>
      </w:r>
    </w:p>
    <w:p w14:paraId="3D0ECF71" w14:textId="77777777" w:rsidR="009F0C56" w:rsidRDefault="00653842">
      <w:pPr>
        <w:pBdr>
          <w:top w:val="nil"/>
          <w:left w:val="nil"/>
          <w:bottom w:val="nil"/>
          <w:right w:val="nil"/>
          <w:between w:val="nil"/>
        </w:pBdr>
        <w:spacing w:before="280" w:after="280" w:line="240" w:lineRule="auto"/>
        <w:rPr>
          <w:rFonts w:ascii="Arial" w:eastAsia="Arial" w:hAnsi="Arial" w:cs="Arial"/>
          <w:color w:val="000000"/>
        </w:rPr>
      </w:pPr>
      <w:r>
        <w:rPr>
          <w:rFonts w:ascii="Arial" w:eastAsia="Arial" w:hAnsi="Arial" w:cs="Arial"/>
          <w:color w:val="000000"/>
        </w:rPr>
        <w:t>Thus, the chickee’s absorption into settler culture exemplifies the homogenisation of Indigeneity. Through selective endorsement (Lightfoot 2016) and the reproduction of the “vanishing Indian” trope (Moreton-Robinson 2015), settler society reshapes Indigenous symbols to affirm ownership of space, while also neutralising Indigenous resistance and commodifying Indigenous culture into a homogenised settler history. Here, this chapter has shown how homogenisation is not benign or superficial, but is foundationa</w:t>
      </w:r>
      <w:r>
        <w:rPr>
          <w:rFonts w:ascii="Arial" w:eastAsia="Arial" w:hAnsi="Arial" w:cs="Arial"/>
          <w:color w:val="000000"/>
        </w:rPr>
        <w:t>l to the symbolic and material structure of settler colonialism in coercing the erasure of Seminole and Miccosukee individuality from the state, and other Indigenous communities in North America (Coulthard 2014).</w:t>
      </w:r>
    </w:p>
    <w:p w14:paraId="7C3907BA" w14:textId="77777777" w:rsidR="009F0C56" w:rsidRDefault="00653842">
      <w:pPr>
        <w:pStyle w:val="Heading2"/>
        <w:rPr>
          <w:rFonts w:ascii="Arial" w:eastAsia="Arial" w:hAnsi="Arial" w:cs="Arial"/>
          <w:b/>
          <w:bCs/>
          <w:sz w:val="36"/>
          <w:szCs w:val="36"/>
        </w:rPr>
      </w:pPr>
      <w:bookmarkStart w:id="93" w:name="_Toc240966019"/>
      <w:r>
        <w:rPr>
          <w:rFonts w:ascii="Arial" w:eastAsia="Arial" w:hAnsi="Arial" w:cs="Arial"/>
        </w:rPr>
        <w:t>6.7 Homogenisation and the process of commodification</w:t>
      </w:r>
      <w:bookmarkEnd w:id="93"/>
      <w:r>
        <w:rPr>
          <w:rFonts w:ascii="Arial" w:eastAsia="Arial" w:hAnsi="Arial" w:cs="Arial"/>
        </w:rPr>
        <w:t> </w:t>
      </w:r>
    </w:p>
    <w:p w14:paraId="32EA5711" w14:textId="77777777" w:rsidR="009F0C56" w:rsidRDefault="00653842">
      <w:pPr>
        <w:spacing w:before="240" w:after="240" w:line="240" w:lineRule="auto"/>
        <w:rPr>
          <w:rFonts w:ascii="Arial" w:eastAsia="Arial" w:hAnsi="Arial" w:cs="Arial"/>
          <w:color w:val="000000"/>
        </w:rPr>
      </w:pPr>
      <w:r>
        <w:rPr>
          <w:rFonts w:ascii="Arial" w:eastAsia="Arial" w:hAnsi="Arial" w:cs="Arial"/>
          <w:color w:val="000000"/>
        </w:rPr>
        <w:t>Throughout this chapter on homogenisation and across the broader analysis in previous chapters, a recurring theme has emerged: the relationship between homogenisation and commodification. This connection is particularly evident in the examination of cultural artefacts and symbols such as dreamcatchers, Indigenous-inspired statues, and chickee huts. This relationship unfolds in three interrelated ways. Initially, these symbols share an overlapping visual and semiotic characteristic of the settler Indian, whi</w:t>
      </w:r>
      <w:r>
        <w:rPr>
          <w:rFonts w:ascii="Arial" w:eastAsia="Arial" w:hAnsi="Arial" w:cs="Arial"/>
          <w:color w:val="000000"/>
        </w:rPr>
        <w:t>ch helps explain why such Indigenous-inspired goods are widespread in settler-dominated and tourist-oriented regions of Florida. Secondly, although each of these symbols originates from distinct Indigenous cultures, they have been transformed through processes of homogenisation and are often detached from their original ontological and epistemological contexts in settler spaces (Aldred, 2000). Thirdly, these symbols have been made hyper-visible and integrated into the settler economy as marketable and consu</w:t>
      </w:r>
      <w:r>
        <w:rPr>
          <w:rFonts w:ascii="Arial" w:eastAsia="Arial" w:hAnsi="Arial" w:cs="Arial"/>
          <w:color w:val="000000"/>
        </w:rPr>
        <w:t>mable goods (Newton 2022). This pattern signals the systematic settler colonial logic of homogenisation, one that warrants further scrutiny.</w:t>
      </w:r>
    </w:p>
    <w:p w14:paraId="631B019D" w14:textId="37B65F43" w:rsidR="009F0C56" w:rsidRDefault="00653842">
      <w:pPr>
        <w:spacing w:before="240" w:after="240" w:line="240" w:lineRule="auto"/>
        <w:rPr>
          <w:rFonts w:ascii="Arial" w:eastAsia="Arial" w:hAnsi="Arial" w:cs="Arial"/>
        </w:rPr>
      </w:pPr>
      <w:r>
        <w:rPr>
          <w:rFonts w:ascii="Arial" w:eastAsia="Arial" w:hAnsi="Arial" w:cs="Arial"/>
        </w:rPr>
        <w:lastRenderedPageBreak/>
        <w:t xml:space="preserve">To analyse this process, the chapter will analyse imagery sourced from settler-operated airboat companies. Here, these companies that utilise Indigenous-inspired iconography and symbolism to brand their enterprises will be analysed in how they present themselves as holders of an “authentic Florida experience.” </w:t>
      </w:r>
      <w:r w:rsidR="00CF2C48">
        <w:rPr>
          <w:rFonts w:ascii="Arial" w:eastAsia="Arial" w:hAnsi="Arial" w:cs="Arial"/>
        </w:rPr>
        <w:t>This</w:t>
      </w:r>
      <w:r>
        <w:rPr>
          <w:rFonts w:ascii="Arial" w:eastAsia="Arial" w:hAnsi="Arial" w:cs="Arial"/>
        </w:rPr>
        <w:t xml:space="preserve"> will be analysed</w:t>
      </w:r>
      <w:r>
        <w:rPr>
          <w:rFonts w:ascii="Arial" w:eastAsia="Arial" w:hAnsi="Arial" w:cs="Arial"/>
        </w:rPr>
        <w:t xml:space="preserve"> through representations that commonly feature visual cues such as headdresses, feathers, totem poles, and generic Indigenous motifs (Keene et al</w:t>
      </w:r>
      <w:r w:rsidR="00CF2C48">
        <w:rPr>
          <w:rFonts w:ascii="Arial" w:eastAsia="Arial" w:hAnsi="Arial" w:cs="Arial"/>
        </w:rPr>
        <w:t>.</w:t>
      </w:r>
      <w:r>
        <w:rPr>
          <w:rFonts w:ascii="Arial" w:eastAsia="Arial" w:hAnsi="Arial" w:cs="Arial"/>
        </w:rPr>
        <w:t xml:space="preserve"> 2024).  However, none </w:t>
      </w:r>
      <w:r>
        <w:rPr>
          <w:rFonts w:ascii="Arial" w:eastAsia="Arial" w:hAnsi="Arial" w:cs="Arial"/>
        </w:rPr>
        <w:t>accurately reflect the specific cultural identities of the Seminole or Miccosukee peoples. To explore this empirical data on a more than surface level, as with the earlier examples of dreamcatchers and chickee huts. The Indigenous imagery used by settler airboat companies will be noted as divorced from its cultural origin and repackaged to evoke a tropical, palatable form of "Indigeneity" for settler audiences (Aldred, 2000). In this, themes of plastic shamans, the vanishing Indigenous, and corporate coloni</w:t>
      </w:r>
      <w:r>
        <w:rPr>
          <w:rFonts w:ascii="Arial" w:eastAsia="Arial" w:hAnsi="Arial" w:cs="Arial"/>
        </w:rPr>
        <w:t>alism will highlight how these images enable settler societies to consume a homogenised Indigeneity without contending with Indigenous sovereignty, resistance, or presence (Aldred 2000, Moreton-Robinson 2015, Veracini 2010).</w:t>
      </w:r>
    </w:p>
    <w:p w14:paraId="1E19C718" w14:textId="77777777" w:rsidR="009F0C56" w:rsidRDefault="00653842">
      <w:pPr>
        <w:spacing w:before="240" w:after="240" w:line="240" w:lineRule="auto"/>
        <w:rPr>
          <w:rFonts w:ascii="Arial" w:eastAsia="Arial" w:hAnsi="Arial" w:cs="Arial"/>
          <w:color w:val="000000"/>
        </w:rPr>
      </w:pPr>
      <w:r>
        <w:rPr>
          <w:rFonts w:ascii="Arial" w:eastAsia="Arial" w:hAnsi="Arial" w:cs="Arial"/>
          <w:color w:val="000000"/>
        </w:rPr>
        <w:t xml:space="preserve">Therefore, by analysing these representations, this section will argue that homogenisation and commodification are entwined processes that mutually reinforce one another to erase Indigenous specificity while further exploiting Indigenous cultural elements for settler gain. In doing this, they uphold and perpetuate the settler colonial objectives of erasure, assimilation, and ontological domination (Wolfe, 2016). Here, the airboat company imagery in South Florida that will be analysed exemplifies this logic </w:t>
      </w:r>
      <w:r>
        <w:rPr>
          <w:rFonts w:ascii="Arial" w:eastAsia="Arial" w:hAnsi="Arial" w:cs="Arial"/>
          <w:color w:val="000000"/>
        </w:rPr>
        <w:t>and deepens our understanding of how settler societies mobilise commodified Indigeneity, as both a visual and economic tool, in sustaining colonial structures under the guise of being culturally inclusive/sustainable.</w:t>
      </w:r>
    </w:p>
    <w:p w14:paraId="5DF79C23" w14:textId="77777777" w:rsidR="009F0C56" w:rsidRDefault="00653842">
      <w:pPr>
        <w:spacing w:before="160" w:after="80" w:line="240" w:lineRule="auto"/>
        <w:rPr>
          <w:rFonts w:ascii="Times New Roman" w:eastAsia="Times New Roman" w:hAnsi="Times New Roman" w:cs="Times New Roman"/>
          <w:b/>
          <w:bCs/>
          <w:sz w:val="28"/>
          <w:szCs w:val="28"/>
        </w:rPr>
      </w:pPr>
      <w:r>
        <w:rPr>
          <w:color w:val="0F4761"/>
          <w:sz w:val="32"/>
          <w:szCs w:val="32"/>
        </w:rPr>
        <w:t>6.8 Presenting a settler unified version of Indigeneity </w:t>
      </w:r>
    </w:p>
    <w:p w14:paraId="7F2DE24C" w14:textId="77777777" w:rsidR="009F0C56" w:rsidRDefault="00653842">
      <w:pPr>
        <w:spacing w:before="280" w:after="280" w:line="276" w:lineRule="auto"/>
        <w:rPr>
          <w:rFonts w:ascii="Arial" w:eastAsia="Arial" w:hAnsi="Arial" w:cs="Arial"/>
        </w:rPr>
      </w:pPr>
      <w:r>
        <w:rPr>
          <w:rFonts w:ascii="Arial" w:eastAsia="Arial" w:hAnsi="Arial" w:cs="Arial"/>
        </w:rPr>
        <w:t>Settler airboat companies, as explored in the previous chapters, operate near Indigenous-owned airboat companies in South Florida. Many of these settler enterprises have existed since the 1950s, asserting their longevity as a justification for their presence in areas historically connected to Indigenous communities (West 2008). However, this dense concentration of airboat companies in these regions has created intense competition, prompting many businesses to adopt distinct marketing strategies to attract c</w:t>
      </w:r>
      <w:r>
        <w:rPr>
          <w:rFonts w:ascii="Arial" w:eastAsia="Arial" w:hAnsi="Arial" w:cs="Arial"/>
        </w:rPr>
        <w:t>ustomers and enhance profitability.</w:t>
      </w:r>
    </w:p>
    <w:p w14:paraId="1E4F79EB" w14:textId="5FE72C0D" w:rsidR="009F0C56" w:rsidRDefault="00653842">
      <w:pPr>
        <w:spacing w:before="280" w:after="280" w:line="276" w:lineRule="auto"/>
        <w:rPr>
          <w:rFonts w:ascii="Arial" w:eastAsia="Arial" w:hAnsi="Arial" w:cs="Arial"/>
          <w:color w:val="000000"/>
        </w:rPr>
      </w:pPr>
      <w:r>
        <w:rPr>
          <w:rFonts w:ascii="Arial" w:eastAsia="Arial" w:hAnsi="Arial" w:cs="Arial"/>
          <w:color w:val="000000"/>
        </w:rPr>
        <w:t>A recurring marketing strategy employed by settler airboat companies is the commodification of Indigeneity. Settler companies here frequently utilise Indigenous cultural elements to create a unique selling proposition, blending entertainment with a purportedly ‘educational’ experience that draws on the presence of Indigenous culture (Aldred 2000). This commodification manifests in various ways, from the use of Indigenous-inspired branding to the incorporation of visual imagery and references to a homogenise</w:t>
      </w:r>
      <w:r>
        <w:rPr>
          <w:rFonts w:ascii="Arial" w:eastAsia="Arial" w:hAnsi="Arial" w:cs="Arial"/>
          <w:color w:val="000000"/>
        </w:rPr>
        <w:t>d Indigenous heritage in website materials and on-site aesthetics (Keene et al</w:t>
      </w:r>
      <w:r w:rsidR="00CF2C48">
        <w:rPr>
          <w:rFonts w:ascii="Arial" w:eastAsia="Arial" w:hAnsi="Arial" w:cs="Arial"/>
          <w:color w:val="000000"/>
        </w:rPr>
        <w:t>.</w:t>
      </w:r>
      <w:r>
        <w:rPr>
          <w:rFonts w:ascii="Arial" w:eastAsia="Arial" w:hAnsi="Arial" w:cs="Arial"/>
          <w:color w:val="000000"/>
        </w:rPr>
        <w:t xml:space="preserve"> 2024). This imagery is noted below in Figure 6, at the entrance of Gator Park Inc., a large settler-owned airboat company located near the Miccosukee Indian Village on the Tamiami Trail. </w:t>
      </w:r>
    </w:p>
    <w:p w14:paraId="6A04ED08" w14:textId="77777777" w:rsidR="009F0C56" w:rsidRDefault="00653842">
      <w:pPr>
        <w:pBdr>
          <w:top w:val="nil"/>
          <w:left w:val="nil"/>
          <w:bottom w:val="nil"/>
          <w:right w:val="nil"/>
          <w:between w:val="nil"/>
        </w:pBdr>
        <w:spacing w:before="280" w:after="280" w:line="240" w:lineRule="auto"/>
        <w:rPr>
          <w:rFonts w:ascii="Arial" w:eastAsia="Arial" w:hAnsi="Arial" w:cs="Arial"/>
          <w:color w:val="000000"/>
          <w:sz w:val="18"/>
          <w:szCs w:val="18"/>
        </w:rPr>
      </w:pPr>
      <w:bookmarkStart w:id="94" w:name="_heading=h.2lvq1ojhvw3w" w:colFirst="0" w:colLast="0"/>
      <w:bookmarkEnd w:id="94"/>
      <w:r>
        <w:rPr>
          <w:rFonts w:ascii="Arial" w:eastAsia="Arial" w:hAnsi="Arial" w:cs="Arial"/>
          <w:color w:val="000000"/>
          <w:sz w:val="18"/>
          <w:szCs w:val="18"/>
        </w:rPr>
        <w:lastRenderedPageBreak/>
        <w:t>Figure 6. 20/06/2023: Gator Park Inc. entrance (Virk 2023)</w:t>
      </w:r>
    </w:p>
    <w:p w14:paraId="5A0642BE" w14:textId="77777777" w:rsidR="009F0C56" w:rsidRDefault="00653842">
      <w:pPr>
        <w:pBdr>
          <w:top w:val="nil"/>
          <w:left w:val="nil"/>
          <w:bottom w:val="nil"/>
          <w:right w:val="nil"/>
          <w:between w:val="nil"/>
        </w:pBdr>
        <w:spacing w:before="280" w:after="280" w:line="240" w:lineRule="auto"/>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0" distR="0" wp14:anchorId="1C2F75C3" wp14:editId="63C57DCC">
            <wp:extent cx="5162550" cy="3638550"/>
            <wp:effectExtent l="0" t="0" r="0" b="0"/>
            <wp:docPr id="1874855874" name="image25.jpg" descr="A building with a sign on i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5.jpg" descr="A building with a sign on it&#10;&#10;Description automatically generated"/>
                    <pic:cNvPicPr preferRelativeResize="0"/>
                  </pic:nvPicPr>
                  <pic:blipFill>
                    <a:blip r:embed="rId15"/>
                    <a:srcRect/>
                    <a:stretch>
                      <a:fillRect/>
                    </a:stretch>
                  </pic:blipFill>
                  <pic:spPr>
                    <a:xfrm>
                      <a:off x="0" y="0"/>
                      <a:ext cx="5162550" cy="3638550"/>
                    </a:xfrm>
                    <a:prstGeom prst="rect">
                      <a:avLst/>
                    </a:prstGeom>
                    <a:ln/>
                  </pic:spPr>
                </pic:pic>
              </a:graphicData>
            </a:graphic>
          </wp:inline>
        </w:drawing>
      </w:r>
    </w:p>
    <w:p w14:paraId="3D3B5003" w14:textId="77777777" w:rsidR="009F0C56" w:rsidRDefault="00653842">
      <w:pPr>
        <w:spacing w:before="280" w:after="280" w:line="276" w:lineRule="auto"/>
        <w:rPr>
          <w:rFonts w:ascii="Arial" w:eastAsia="Arial" w:hAnsi="Arial" w:cs="Arial"/>
          <w:color w:val="000000"/>
        </w:rPr>
      </w:pPr>
      <w:r>
        <w:rPr>
          <w:rFonts w:ascii="Arial" w:eastAsia="Arial" w:hAnsi="Arial" w:cs="Arial"/>
          <w:color w:val="000000"/>
        </w:rPr>
        <w:t>As discussed in the commodification chapter, Figure 6 depicts two Indigenous-inspired items prominently displayed in the title. Despite the company’s location in Florida, these images bear no cultural relevance to either the Seminole or Miccosukee. Instead, they draw upon a generic, homogenised representation of Indigeneity, constructed from settler society's bricolage of Indigenous culture (Barker 2021). This process involved selectively borrowing and blending Indigenous cultural markers, which in turn pro</w:t>
      </w:r>
      <w:r>
        <w:rPr>
          <w:rFonts w:ascii="Arial" w:eastAsia="Arial" w:hAnsi="Arial" w:cs="Arial"/>
          <w:color w:val="000000"/>
        </w:rPr>
        <w:t xml:space="preserve">duced a homogenised archetype of Indigeneity, one that erases the diversity and specificity of Indigenous communities (Lightfoot 2016). </w:t>
      </w:r>
    </w:p>
    <w:p w14:paraId="27794687" w14:textId="53BBCD74" w:rsidR="009F0C56" w:rsidRDefault="00653842">
      <w:pPr>
        <w:spacing w:before="280" w:after="280" w:line="276" w:lineRule="auto"/>
        <w:rPr>
          <w:rFonts w:ascii="Arial" w:eastAsia="Arial" w:hAnsi="Arial" w:cs="Arial"/>
          <w:color w:val="000000"/>
        </w:rPr>
      </w:pPr>
      <w:r>
        <w:rPr>
          <w:rFonts w:ascii="Arial" w:eastAsia="Arial" w:hAnsi="Arial" w:cs="Arial"/>
          <w:color w:val="000000"/>
        </w:rPr>
        <w:t xml:space="preserve">This settler representation has been furthered through media, tourism, and commercial representations, where these archetypes have become pervasive, </w:t>
      </w:r>
      <w:r>
        <w:rPr>
          <w:rFonts w:ascii="Arial" w:eastAsia="Arial" w:hAnsi="Arial" w:cs="Arial"/>
          <w:color w:val="000000"/>
        </w:rPr>
        <w:t xml:space="preserve">saturating public consciousness with monolithic images of Indigeneity. As </w:t>
      </w:r>
      <w:r w:rsidR="00CF2C48">
        <w:rPr>
          <w:rFonts w:ascii="Arial" w:eastAsia="Arial" w:hAnsi="Arial" w:cs="Arial"/>
          <w:color w:val="000000"/>
        </w:rPr>
        <w:t>Keene</w:t>
      </w:r>
      <w:r>
        <w:rPr>
          <w:rFonts w:ascii="Arial" w:eastAsia="Arial" w:hAnsi="Arial" w:cs="Arial"/>
          <w:color w:val="000000"/>
        </w:rPr>
        <w:t xml:space="preserve"> et al</w:t>
      </w:r>
      <w:r w:rsidR="00CF2C48">
        <w:rPr>
          <w:rFonts w:ascii="Arial" w:eastAsia="Arial" w:hAnsi="Arial" w:cs="Arial"/>
          <w:color w:val="000000"/>
        </w:rPr>
        <w:t>.</w:t>
      </w:r>
      <w:r>
        <w:rPr>
          <w:rFonts w:ascii="Arial" w:eastAsia="Arial" w:hAnsi="Arial" w:cs="Arial"/>
          <w:color w:val="000000"/>
        </w:rPr>
        <w:t xml:space="preserve"> have noted in their NA (Native appropriation) media appropriation of AI (American Indian) culture, “NA was, and continues to be, an element of settler colonial power over AI Peoples. White settlers not only took AI lives and lands, but they also used their power to take, and exert control over, aspects of AI cultures” (Keene et al</w:t>
      </w:r>
      <w:r w:rsidR="00CF2C48">
        <w:rPr>
          <w:rFonts w:ascii="Arial" w:eastAsia="Arial" w:hAnsi="Arial" w:cs="Arial"/>
          <w:color w:val="000000"/>
        </w:rPr>
        <w:t>.</w:t>
      </w:r>
      <w:r>
        <w:rPr>
          <w:rFonts w:ascii="Arial" w:eastAsia="Arial" w:hAnsi="Arial" w:cs="Arial"/>
          <w:color w:val="000000"/>
        </w:rPr>
        <w:t>, 2024, Pg. 662). Here, these native appropriations allow colonial representations to have gained an omnipresence in dictating representations that become universal identifiers for all Indigenous peoples in the United States. In this, the homogenised portrayal of Indigenous culture distorts the realities of individual communities, such as the Seminole and Miccosukee. Further forcing them to adapt to these representations to remain visible within the settler-dominated corporate colonial economic landscape, a</w:t>
      </w:r>
      <w:r>
        <w:rPr>
          <w:rFonts w:ascii="Arial" w:eastAsia="Arial" w:hAnsi="Arial" w:cs="Arial"/>
          <w:color w:val="000000"/>
        </w:rPr>
        <w:t>s shown in Figure 1 (Veracini 2010).</w:t>
      </w:r>
    </w:p>
    <w:p w14:paraId="72936ECC" w14:textId="77777777" w:rsidR="009F0C56" w:rsidRDefault="00653842">
      <w:pPr>
        <w:spacing w:before="280" w:after="280" w:line="276" w:lineRule="auto"/>
        <w:rPr>
          <w:rFonts w:ascii="Arial" w:eastAsia="Arial" w:hAnsi="Arial" w:cs="Arial"/>
          <w:color w:val="000000"/>
        </w:rPr>
      </w:pPr>
      <w:r>
        <w:rPr>
          <w:rFonts w:ascii="Arial" w:eastAsia="Arial" w:hAnsi="Arial" w:cs="Arial"/>
          <w:color w:val="000000"/>
        </w:rPr>
        <w:lastRenderedPageBreak/>
        <w:t>In this, the systemic dominance of these representations helps analyse why the Miccosukee, as illustrated in Figure 1, adopted the totem pole as a cultural marker, although it is unrelated to their cultural traditions. The decision to use such symbols reflects the pressure to conform to settler-imposed identifiers of Indigeneity, to remain commercially competitive in the heavily populated market they reside in (Olusoga 2021). Here, the Miccosukee align themselves visually with these Indigenous homogenised m</w:t>
      </w:r>
      <w:r>
        <w:rPr>
          <w:rFonts w:ascii="Arial" w:eastAsia="Arial" w:hAnsi="Arial" w:cs="Arial"/>
          <w:color w:val="000000"/>
        </w:rPr>
        <w:t xml:space="preserve">arkers due to increased competition. In this, homogenisation works to maintain an unconscious romantic bricolage of Indigeneity for the settler market, which distorts actual Indigenous representations (Barker 2021). </w:t>
      </w:r>
    </w:p>
    <w:p w14:paraId="1D0E8C6F" w14:textId="4451140D" w:rsidR="009F0C56" w:rsidRDefault="00653842">
      <w:pPr>
        <w:spacing w:before="280" w:after="280" w:line="276" w:lineRule="auto"/>
        <w:rPr>
          <w:rFonts w:ascii="Arial" w:eastAsia="Arial" w:hAnsi="Arial" w:cs="Arial"/>
          <w:color w:val="000000"/>
        </w:rPr>
      </w:pPr>
      <w:r>
        <w:rPr>
          <w:rFonts w:ascii="Arial" w:eastAsia="Arial" w:hAnsi="Arial" w:cs="Arial"/>
          <w:color w:val="000000"/>
        </w:rPr>
        <w:t>As Keene et al</w:t>
      </w:r>
      <w:r w:rsidR="00CF2C48">
        <w:rPr>
          <w:rFonts w:ascii="Arial" w:eastAsia="Arial" w:hAnsi="Arial" w:cs="Arial"/>
          <w:color w:val="000000"/>
        </w:rPr>
        <w:t>.</w:t>
      </w:r>
      <w:r>
        <w:rPr>
          <w:rFonts w:ascii="Arial" w:eastAsia="Arial" w:hAnsi="Arial" w:cs="Arial"/>
          <w:color w:val="000000"/>
        </w:rPr>
        <w:t xml:space="preserve"> (2024) explored, Native appropriation works in different patterns that focus on elements of Indigeneity, but construct it in ways that appease settler desires while ignoring the “racist, </w:t>
      </w:r>
      <w:r w:rsidR="00CF2C48">
        <w:rPr>
          <w:rFonts w:ascii="Arial" w:eastAsia="Arial" w:hAnsi="Arial" w:cs="Arial"/>
          <w:color w:val="000000"/>
        </w:rPr>
        <w:t>discriminatory</w:t>
      </w:r>
      <w:r>
        <w:rPr>
          <w:rFonts w:ascii="Arial" w:eastAsia="Arial" w:hAnsi="Arial" w:cs="Arial"/>
          <w:color w:val="000000"/>
        </w:rPr>
        <w:t>, and dehumanizing/objectifying” that is found in these homogenised appropriations (Keene et al</w:t>
      </w:r>
      <w:r w:rsidR="00CF2C48">
        <w:rPr>
          <w:rFonts w:ascii="Arial" w:eastAsia="Arial" w:hAnsi="Arial" w:cs="Arial"/>
          <w:color w:val="000000"/>
        </w:rPr>
        <w:t>.</w:t>
      </w:r>
      <w:r>
        <w:rPr>
          <w:rFonts w:ascii="Arial" w:eastAsia="Arial" w:hAnsi="Arial" w:cs="Arial"/>
          <w:color w:val="000000"/>
        </w:rPr>
        <w:t xml:space="preserve"> 2024. Pg, 657)</w:t>
      </w:r>
      <w:r w:rsidR="00CF2C48">
        <w:rPr>
          <w:rFonts w:ascii="Arial" w:eastAsia="Arial" w:hAnsi="Arial" w:cs="Arial"/>
          <w:color w:val="000000"/>
        </w:rPr>
        <w:t>.</w:t>
      </w:r>
      <w:r>
        <w:rPr>
          <w:rFonts w:ascii="Arial" w:eastAsia="Arial" w:hAnsi="Arial" w:cs="Arial"/>
          <w:color w:val="000000"/>
        </w:rPr>
        <w:t xml:space="preserve"> While Keene et Al’s work is foundational in exploring Indigenous representations, as they note, they are interested in Indigenous communities identifying the appropriated media representations they find within settler life themselves. Therefore, their study is more spatially general in </w:t>
      </w:r>
      <w:r w:rsidR="00CF2C48">
        <w:rPr>
          <w:rFonts w:ascii="Arial" w:eastAsia="Arial" w:hAnsi="Arial" w:cs="Arial"/>
          <w:color w:val="000000"/>
        </w:rPr>
        <w:t>scope</w:t>
      </w:r>
      <w:r>
        <w:rPr>
          <w:rFonts w:ascii="Arial" w:eastAsia="Arial" w:hAnsi="Arial" w:cs="Arial"/>
          <w:color w:val="000000"/>
        </w:rPr>
        <w:t xml:space="preserve"> and does not focus as deeply on the reasoning </w:t>
      </w:r>
      <w:r w:rsidR="00CF2C48">
        <w:rPr>
          <w:rFonts w:ascii="Arial" w:eastAsia="Arial" w:hAnsi="Arial" w:cs="Arial"/>
          <w:color w:val="000000"/>
        </w:rPr>
        <w:t>behind</w:t>
      </w:r>
      <w:r>
        <w:rPr>
          <w:rFonts w:ascii="Arial" w:eastAsia="Arial" w:hAnsi="Arial" w:cs="Arial"/>
          <w:color w:val="000000"/>
        </w:rPr>
        <w:t xml:space="preserve"> these homogenised Native appropriations. In this, through building on Keene et al.'s (2024) analysis, it can be exemplified that the relationship between commodification and homogenisation operates as a settler colonial mechanism of erasure. Where the constructed archetypes of Indigeneity, </w:t>
      </w:r>
      <w:r w:rsidR="00CF2C48">
        <w:rPr>
          <w:rFonts w:ascii="Arial" w:eastAsia="Arial" w:hAnsi="Arial" w:cs="Arial"/>
          <w:color w:val="000000"/>
        </w:rPr>
        <w:t>which</w:t>
      </w:r>
      <w:r>
        <w:rPr>
          <w:rFonts w:ascii="Arial" w:eastAsia="Arial" w:hAnsi="Arial" w:cs="Arial"/>
          <w:color w:val="000000"/>
        </w:rPr>
        <w:t xml:space="preserve"> are embedded in settler memory, replace the diverse ontologies and epistemologies of Indigenous communities with a singular, settler-defined narrative (Hunt 2013).</w:t>
      </w:r>
    </w:p>
    <w:p w14:paraId="522E4FC5" w14:textId="6509F15B" w:rsidR="009F0C56" w:rsidRDefault="00653842">
      <w:pPr>
        <w:spacing w:before="280" w:after="280" w:line="276" w:lineRule="auto"/>
        <w:rPr>
          <w:rFonts w:ascii="Arial" w:eastAsia="Arial" w:hAnsi="Arial" w:cs="Arial"/>
          <w:color w:val="000000"/>
        </w:rPr>
      </w:pPr>
      <w:r>
        <w:rPr>
          <w:rFonts w:ascii="Arial" w:eastAsia="Arial" w:hAnsi="Arial" w:cs="Arial"/>
          <w:color w:val="000000"/>
        </w:rPr>
        <w:t>In this, the Native appropriation of these figures imposes a narrative that erases alternative Indigenous realities that do not conform to the settler colonial framework. Therefore, it strips communities like the Seminole and Miccosukee of their autonomy and self-representation through the reinforcement of settler hegemony. Thus, it is understood that Indigenous representations, such as those shown in the figure above, are controlled by settler society</w:t>
      </w:r>
      <w:r>
        <w:rPr>
          <w:rFonts w:ascii="Arial" w:eastAsia="Arial" w:hAnsi="Arial" w:cs="Arial"/>
          <w:color w:val="000000"/>
        </w:rPr>
        <w:t xml:space="preserve"> through corporate colonialism rather than a bourgeois dictatorial hierarchy, in presenting a cohesive but false narrative of Indigenous identity that aligns with settler societal norms (Barker 2021, Keene et al</w:t>
      </w:r>
      <w:r w:rsidR="00CF2C48">
        <w:rPr>
          <w:rFonts w:ascii="Arial" w:eastAsia="Arial" w:hAnsi="Arial" w:cs="Arial"/>
          <w:color w:val="000000"/>
        </w:rPr>
        <w:t>.</w:t>
      </w:r>
      <w:r>
        <w:rPr>
          <w:rFonts w:ascii="Arial" w:eastAsia="Arial" w:hAnsi="Arial" w:cs="Arial"/>
          <w:color w:val="000000"/>
        </w:rPr>
        <w:t xml:space="preserve"> 2023). In this, homogenisation by appropriation, an immobilisation of the representation of Seminole and Miccosukee agency occurs. Thus, </w:t>
      </w:r>
      <w:r w:rsidR="00CF2C48">
        <w:rPr>
          <w:rFonts w:ascii="Arial" w:eastAsia="Arial" w:hAnsi="Arial" w:cs="Arial"/>
          <w:color w:val="000000"/>
        </w:rPr>
        <w:t xml:space="preserve">by </w:t>
      </w:r>
      <w:r>
        <w:rPr>
          <w:rFonts w:ascii="Arial" w:eastAsia="Arial" w:hAnsi="Arial" w:cs="Arial"/>
          <w:color w:val="000000"/>
        </w:rPr>
        <w:t xml:space="preserve">erasing and replacing Indigenous self-representations, settler society limits the ability of Indigenous communities to challenge the hegemonic narrative, allowing for deeper representational control of Indigeneity (Hobsbawm 2018). </w:t>
      </w:r>
    </w:p>
    <w:p w14:paraId="55B7236A" w14:textId="6A9834BB" w:rsidR="009F0C56" w:rsidRDefault="00653842">
      <w:pPr>
        <w:spacing w:before="280" w:after="280" w:line="276" w:lineRule="auto"/>
        <w:rPr>
          <w:rFonts w:ascii="Arial" w:eastAsia="Arial" w:hAnsi="Arial" w:cs="Arial"/>
          <w:color w:val="000000"/>
        </w:rPr>
      </w:pPr>
      <w:r>
        <w:rPr>
          <w:rFonts w:ascii="Arial" w:eastAsia="Arial" w:hAnsi="Arial" w:cs="Arial"/>
          <w:color w:val="000000"/>
        </w:rPr>
        <w:t>In this, the interplay between commodification and homogenisation is viewed as a deliberate settler colonial strategy designed to erase Indigenous diversity and embed distorted representations within settler society (Keene et al</w:t>
      </w:r>
      <w:r w:rsidR="00CF2C48">
        <w:rPr>
          <w:rFonts w:ascii="Arial" w:eastAsia="Arial" w:hAnsi="Arial" w:cs="Arial"/>
          <w:color w:val="000000"/>
        </w:rPr>
        <w:t>.</w:t>
      </w:r>
      <w:r>
        <w:rPr>
          <w:rFonts w:ascii="Arial" w:eastAsia="Arial" w:hAnsi="Arial" w:cs="Arial"/>
          <w:color w:val="000000"/>
        </w:rPr>
        <w:t xml:space="preserve"> 2024). Figure 6 highlights this bricolage of representations, operating to replace authentic Indigenous </w:t>
      </w:r>
      <w:r>
        <w:rPr>
          <w:rFonts w:ascii="Arial" w:eastAsia="Arial" w:hAnsi="Arial" w:cs="Arial"/>
          <w:color w:val="000000"/>
        </w:rPr>
        <w:lastRenderedPageBreak/>
        <w:t>identities with fabricated archetypes, vanishing authentic Indigenous representations that are geographically and culturally entwined in the land (Moreton-Robinson 2015). Thus, this process not only marginalises the Seminole and Miccosukee but also reinforces a hegemony of settler society, in normalising narratives of Indigeneity that consolidate settler power, while diminishing Indigenous agency and sel</w:t>
      </w:r>
      <w:r>
        <w:rPr>
          <w:rFonts w:ascii="Arial" w:eastAsia="Arial" w:hAnsi="Arial" w:cs="Arial"/>
          <w:color w:val="000000"/>
        </w:rPr>
        <w:t>f-representation in both cultural and economic spheres. All of which will be further explored in the next analysis section of commodification that more explicitly draws on the connections between settler colonialism, representation, homogenisation and commodification.</w:t>
      </w:r>
    </w:p>
    <w:p w14:paraId="6DD67418" w14:textId="77777777" w:rsidR="009F0C56" w:rsidRDefault="00653842">
      <w:pPr>
        <w:pStyle w:val="Heading2"/>
        <w:rPr>
          <w:rFonts w:ascii="Arial" w:eastAsia="Arial" w:hAnsi="Arial" w:cs="Arial"/>
          <w:b/>
          <w:bCs/>
          <w:sz w:val="36"/>
          <w:szCs w:val="36"/>
        </w:rPr>
      </w:pPr>
      <w:bookmarkStart w:id="95" w:name="_Toc240966020"/>
      <w:r>
        <w:rPr>
          <w:rFonts w:ascii="Arial" w:eastAsia="Arial" w:hAnsi="Arial" w:cs="Arial"/>
        </w:rPr>
        <w:t>6.9 Homogenisation and knowledge production</w:t>
      </w:r>
      <w:bookmarkEnd w:id="95"/>
    </w:p>
    <w:p w14:paraId="5730ADB6" w14:textId="3250BE69" w:rsidR="009F0C56" w:rsidRDefault="00653842">
      <w:pPr>
        <w:spacing w:before="280" w:after="280" w:line="276" w:lineRule="auto"/>
        <w:rPr>
          <w:rFonts w:ascii="Arial" w:eastAsia="Arial" w:hAnsi="Arial" w:cs="Arial"/>
          <w:color w:val="000000"/>
        </w:rPr>
      </w:pPr>
      <w:r>
        <w:rPr>
          <w:rFonts w:ascii="Arial" w:eastAsia="Arial" w:hAnsi="Arial" w:cs="Arial"/>
          <w:color w:val="000000"/>
        </w:rPr>
        <w:t xml:space="preserve">The final analysis section of this chapter will focus on how settler colonial society homogenised Indigenous knowledge structures by reshaping and distorting Indigenous knowledge and representations to fit within the settler sphere of influence through ideas such as screen memory. Here, homogenisation of knowledge drawing from Keene et Al’s (2024) work will be understood to extend beyond material culture and imagery, into the realm of ideas and narratives. </w:t>
      </w:r>
      <w:r>
        <w:rPr>
          <w:rFonts w:ascii="Arial" w:eastAsia="Arial" w:hAnsi="Arial" w:cs="Arial"/>
          <w:color w:val="000000"/>
        </w:rPr>
        <w:t>Indigenous meanings are stripped away and replaced with settler-defined perceptions of Indigeneity that alter Indigenous representations (Keene et al</w:t>
      </w:r>
      <w:r w:rsidR="00CF2C48">
        <w:rPr>
          <w:rFonts w:ascii="Arial" w:eastAsia="Arial" w:hAnsi="Arial" w:cs="Arial"/>
          <w:color w:val="000000"/>
        </w:rPr>
        <w:t>.</w:t>
      </w:r>
      <w:r>
        <w:rPr>
          <w:rFonts w:ascii="Arial" w:eastAsia="Arial" w:hAnsi="Arial" w:cs="Arial"/>
          <w:color w:val="000000"/>
        </w:rPr>
        <w:t xml:space="preserve">, 2024; Mignolo, 2012). Here, the homogenisation of knowledge will be analysed in how settler society asserts dominance by establishing its interpretations as the authoritative epistemic core (TallBear, Willey 2019). </w:t>
      </w:r>
    </w:p>
    <w:p w14:paraId="0184F5AA" w14:textId="5B0605DC" w:rsidR="009F0C56" w:rsidRDefault="00653842">
      <w:pPr>
        <w:spacing w:before="280" w:after="280" w:line="276" w:lineRule="auto"/>
        <w:rPr>
          <w:rFonts w:ascii="Arial" w:eastAsia="Arial" w:hAnsi="Arial" w:cs="Arial"/>
          <w:color w:val="000000"/>
        </w:rPr>
      </w:pPr>
      <w:r>
        <w:rPr>
          <w:rFonts w:ascii="Arial" w:eastAsia="Arial" w:hAnsi="Arial" w:cs="Arial"/>
          <w:color w:val="000000"/>
        </w:rPr>
        <w:t>This will support the previous sections of this chapter, which have demonstrated how Indigeneity has been systematically redefined through settler colonial mechanisms</w:t>
      </w:r>
      <w:r>
        <w:rPr>
          <w:rFonts w:ascii="Arial" w:eastAsia="Arial" w:hAnsi="Arial" w:cs="Arial"/>
          <w:color w:val="000000"/>
        </w:rPr>
        <w:t xml:space="preserve"> to become an easily accessible concept to the settler colonial populace. </w:t>
      </w:r>
      <w:r w:rsidR="00CF2C48">
        <w:rPr>
          <w:rFonts w:ascii="Arial" w:eastAsia="Arial" w:hAnsi="Arial" w:cs="Arial"/>
          <w:color w:val="000000"/>
        </w:rPr>
        <w:t>These</w:t>
      </w:r>
      <w:r>
        <w:rPr>
          <w:rFonts w:ascii="Arial" w:eastAsia="Arial" w:hAnsi="Arial" w:cs="Arial"/>
          <w:color w:val="000000"/>
        </w:rPr>
        <w:t xml:space="preserve"> representations from tourism and general settler life have commodified symbols and fabricated traditions that recontextualise Indigenous representations into palatable, marketable, and static constructs that align with settler objectives (Aldred 2000, Trosper 2022). </w:t>
      </w:r>
    </w:p>
    <w:p w14:paraId="64D1265D" w14:textId="6DDC6D9D" w:rsidR="009F0C56" w:rsidRDefault="00653842">
      <w:pPr>
        <w:spacing w:before="280" w:after="280" w:line="276" w:lineRule="auto"/>
        <w:rPr>
          <w:rFonts w:ascii="Arial" w:eastAsia="Arial" w:hAnsi="Arial" w:cs="Arial"/>
          <w:color w:val="000000"/>
        </w:rPr>
      </w:pPr>
      <w:r>
        <w:rPr>
          <w:rFonts w:ascii="Arial" w:eastAsia="Arial" w:hAnsi="Arial" w:cs="Arial"/>
          <w:color w:val="000000"/>
        </w:rPr>
        <w:t xml:space="preserve">To illustrate this, the section will analyse language used in media sources from Gator Park Inc. 2025. In this, </w:t>
      </w:r>
      <w:r>
        <w:rPr>
          <w:rFonts w:ascii="Arial" w:eastAsia="Arial" w:hAnsi="Arial" w:cs="Arial"/>
          <w:color w:val="000000"/>
        </w:rPr>
        <w:t>settler colonialism and the relation it has to media will be explored for how knowledge structures homogenise and reinforce settler colonial power structures. This will draw connections to the commodification chapter of Indigenous knowledge and bricolage, with distortions through media like books, analysed in the commodification chapter, that function to disconnect true and self-Indigenous representations for the Miccosukee and the Seminole (Keene et al</w:t>
      </w:r>
      <w:r w:rsidR="00CF2C48">
        <w:rPr>
          <w:rFonts w:ascii="Arial" w:eastAsia="Arial" w:hAnsi="Arial" w:cs="Arial"/>
          <w:color w:val="000000"/>
        </w:rPr>
        <w:t>.</w:t>
      </w:r>
      <w:r>
        <w:rPr>
          <w:rFonts w:ascii="Arial" w:eastAsia="Arial" w:hAnsi="Arial" w:cs="Arial"/>
          <w:color w:val="000000"/>
        </w:rPr>
        <w:t>, 2024). In this, the process of how homogenisation erases epistemic diversity and replaces it with knowledge structures that align with the broader settler colonial agenda of maintaining power and authority over Indigenous peoples</w:t>
      </w:r>
      <w:r>
        <w:rPr>
          <w:rFonts w:ascii="Arial" w:eastAsia="Arial" w:hAnsi="Arial" w:cs="Arial"/>
          <w:color w:val="000000"/>
        </w:rPr>
        <w:t xml:space="preserve"> will be brought to fruition here. </w:t>
      </w:r>
    </w:p>
    <w:p w14:paraId="46B9B30D" w14:textId="77777777" w:rsidR="009F0C56" w:rsidRDefault="00653842">
      <w:pPr>
        <w:pStyle w:val="Heading2"/>
        <w:rPr>
          <w:rFonts w:ascii="Arial" w:eastAsia="Arial" w:hAnsi="Arial" w:cs="Arial"/>
          <w:b/>
          <w:bCs/>
          <w:sz w:val="27"/>
          <w:szCs w:val="27"/>
        </w:rPr>
      </w:pPr>
      <w:bookmarkStart w:id="96" w:name="_Toc240966021"/>
      <w:r>
        <w:rPr>
          <w:rFonts w:ascii="Arial" w:eastAsia="Arial" w:hAnsi="Arial" w:cs="Arial"/>
        </w:rPr>
        <w:lastRenderedPageBreak/>
        <w:t>6.10 Language and representations</w:t>
      </w:r>
      <w:bookmarkEnd w:id="96"/>
      <w:r>
        <w:rPr>
          <w:rFonts w:ascii="Arial" w:eastAsia="Arial" w:hAnsi="Arial" w:cs="Arial"/>
        </w:rPr>
        <w:t> </w:t>
      </w:r>
    </w:p>
    <w:p w14:paraId="5D16C2ED" w14:textId="77777777" w:rsidR="009F0C56" w:rsidRDefault="00653842">
      <w:pPr>
        <w:spacing w:before="280" w:after="280" w:line="276" w:lineRule="auto"/>
        <w:rPr>
          <w:rFonts w:ascii="Arial" w:eastAsia="Arial" w:hAnsi="Arial" w:cs="Arial"/>
          <w:color w:val="000000"/>
        </w:rPr>
      </w:pPr>
      <w:r>
        <w:rPr>
          <w:rFonts w:ascii="Arial" w:eastAsia="Arial" w:hAnsi="Arial" w:cs="Arial"/>
          <w:color w:val="000000"/>
        </w:rPr>
        <w:t xml:space="preserve">As mentioned previously in the commodification chapter, language functions as a critical settler colonial tool in the homogenisation of Indigenous knowledge systems. Here, settler colonial society, as previously discussed, places immense value on the written word as a means of legitimising knowledge, which prioritises settler narratives over Indigenous oral traditions and epistemic systems (Jumper, 2020). </w:t>
      </w:r>
    </w:p>
    <w:p w14:paraId="4D40E9B2" w14:textId="7ACD03A8" w:rsidR="009F0C56" w:rsidRDefault="00653842">
      <w:pPr>
        <w:spacing w:before="280" w:after="280" w:line="276" w:lineRule="auto"/>
        <w:rPr>
          <w:rFonts w:ascii="Arial" w:eastAsia="Arial" w:hAnsi="Arial" w:cs="Arial"/>
          <w:color w:val="000000"/>
        </w:rPr>
      </w:pPr>
      <w:r>
        <w:rPr>
          <w:rFonts w:ascii="Arial" w:eastAsia="Arial" w:hAnsi="Arial" w:cs="Arial"/>
          <w:color w:val="000000"/>
        </w:rPr>
        <w:t>As Iyengar (2014) highlighted how “l</w:t>
      </w:r>
      <w:r>
        <w:rPr>
          <w:rFonts w:ascii="Arial" w:eastAsia="Arial" w:hAnsi="Arial" w:cs="Arial"/>
          <w:color w:val="000000"/>
          <w:highlight w:val="white"/>
        </w:rPr>
        <w:t>anguage ideologies</w:t>
      </w:r>
      <w:r>
        <w:rPr>
          <w:rFonts w:ascii="Arial" w:eastAsia="Arial" w:hAnsi="Arial" w:cs="Arial"/>
          <w:color w:val="000000"/>
        </w:rPr>
        <w:t xml:space="preserve"> have been foundational to U.S. settler-colonial activities –both in relation to the displacement and attempted elimination of the original inhabitants of the place, and in terms of the creation of the 'White America' that would supplant those Native inhabitants” (Pg</w:t>
      </w:r>
      <w:r w:rsidR="00CF2C48">
        <w:rPr>
          <w:rFonts w:ascii="Arial" w:eastAsia="Arial" w:hAnsi="Arial" w:cs="Arial"/>
          <w:color w:val="000000"/>
        </w:rPr>
        <w:t>.</w:t>
      </w:r>
      <w:r>
        <w:rPr>
          <w:rFonts w:ascii="Arial" w:eastAsia="Arial" w:hAnsi="Arial" w:cs="Arial"/>
          <w:color w:val="000000"/>
        </w:rPr>
        <w:t xml:space="preserve"> 34). In this, the relationship of settler colonial displacement and language becomes visible for the Seminole, Miccosukee, and Gator Park Inc., which will be analysed for how language used on the company’s website subtly displaces Indigenous communities from the epistemic core of their own histories and knowledge systems (Gator Park 2024, Iyengar 2014).</w:t>
      </w:r>
    </w:p>
    <w:p w14:paraId="4E522535" w14:textId="77777777" w:rsidR="009F0C56" w:rsidRDefault="00653842">
      <w:pPr>
        <w:spacing w:before="280" w:after="280" w:line="240" w:lineRule="auto"/>
        <w:rPr>
          <w:rFonts w:ascii="Arial" w:eastAsia="Arial" w:hAnsi="Arial" w:cs="Arial"/>
          <w:color w:val="000000"/>
          <w:sz w:val="18"/>
          <w:szCs w:val="18"/>
        </w:rPr>
      </w:pPr>
      <w:bookmarkStart w:id="97" w:name="_heading=h.rooejchvl0jd" w:colFirst="0" w:colLast="0"/>
      <w:bookmarkEnd w:id="97"/>
      <w:r>
        <w:rPr>
          <w:rFonts w:ascii="Arial" w:eastAsia="Arial" w:hAnsi="Arial" w:cs="Arial"/>
          <w:color w:val="000000"/>
          <w:sz w:val="18"/>
          <w:szCs w:val="18"/>
        </w:rPr>
        <w:t>Figure 7. 20/01/2024. Gator Park Website – Miccosukee section. (GatorParkInc 2024)</w:t>
      </w:r>
    </w:p>
    <w:p w14:paraId="406A5066" w14:textId="77777777" w:rsidR="009F0C56" w:rsidRDefault="00653842">
      <w:pPr>
        <w:spacing w:before="280" w:after="280" w:line="240" w:lineRule="auto"/>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0" distR="0" wp14:anchorId="2A77F1A6" wp14:editId="567E2E6B">
            <wp:extent cx="6121400" cy="1282700"/>
            <wp:effectExtent l="0" t="0" r="0" b="0"/>
            <wp:docPr id="1874855875" name="image12.png" descr="A close up of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2.png" descr="A close up of text&#10;&#10;Description automatically generated"/>
                    <pic:cNvPicPr preferRelativeResize="0"/>
                  </pic:nvPicPr>
                  <pic:blipFill>
                    <a:blip r:embed="rId16"/>
                    <a:srcRect/>
                    <a:stretch>
                      <a:fillRect/>
                    </a:stretch>
                  </pic:blipFill>
                  <pic:spPr>
                    <a:xfrm>
                      <a:off x="0" y="0"/>
                      <a:ext cx="6121400" cy="1282700"/>
                    </a:xfrm>
                    <a:prstGeom prst="rect">
                      <a:avLst/>
                    </a:prstGeom>
                    <a:ln/>
                  </pic:spPr>
                </pic:pic>
              </a:graphicData>
            </a:graphic>
          </wp:inline>
        </w:drawing>
      </w:r>
    </w:p>
    <w:p w14:paraId="499B3358" w14:textId="77777777" w:rsidR="009F0C56" w:rsidRDefault="00653842">
      <w:pPr>
        <w:spacing w:before="280" w:after="280" w:line="276" w:lineRule="auto"/>
        <w:rPr>
          <w:rFonts w:ascii="Arial" w:eastAsia="Arial" w:hAnsi="Arial" w:cs="Arial"/>
          <w:color w:val="000000"/>
        </w:rPr>
      </w:pPr>
      <w:r>
        <w:rPr>
          <w:rFonts w:ascii="Arial" w:eastAsia="Arial" w:hAnsi="Arial" w:cs="Arial"/>
          <w:color w:val="000000"/>
        </w:rPr>
        <w:t>On Gator Park Inc.’s website, in the ‘education’ section, there is a section on themes such as sustainability, the company’s heritage in the area, and its relationship with the Seminole and Miccosukee. In this, a significant portion is dedicated to describing the biodiversity of the Everglades and Gator Park Inc.’s role as custodians of this environment (Gator Park, 2024). The language positions the company as a key steward of the land, subtly framing settler involvement as integral to the region’s ecologic</w:t>
      </w:r>
      <w:r>
        <w:rPr>
          <w:rFonts w:ascii="Arial" w:eastAsia="Arial" w:hAnsi="Arial" w:cs="Arial"/>
          <w:color w:val="000000"/>
        </w:rPr>
        <w:t xml:space="preserve">al and cultural heritage. </w:t>
      </w:r>
    </w:p>
    <w:p w14:paraId="620D8C16" w14:textId="77777777" w:rsidR="009F0C56" w:rsidRDefault="00653842">
      <w:pPr>
        <w:spacing w:before="280" w:after="280" w:line="276" w:lineRule="auto"/>
        <w:rPr>
          <w:rFonts w:ascii="Arial" w:eastAsia="Arial" w:hAnsi="Arial" w:cs="Arial"/>
          <w:color w:val="000000"/>
        </w:rPr>
      </w:pPr>
      <w:r>
        <w:rPr>
          <w:rFonts w:ascii="Arial" w:eastAsia="Arial" w:hAnsi="Arial" w:cs="Arial"/>
          <w:color w:val="000000"/>
        </w:rPr>
        <w:t>However, Indigenous communities, specifically the Miccosukee, who live less than two miles from Gator Park, only receive a few paragraphs in the education section. These paragraphs include vague acknowledgements of the Miccosukee’s history but fail to meaningfully engage with their role on the land and the settler populations. The brevity and positioning of these statements highlight how relegating the discussion of the Miccosukee to the periphery marginalises their centrality and erases their presence as a</w:t>
      </w:r>
      <w:r>
        <w:rPr>
          <w:rFonts w:ascii="Arial" w:eastAsia="Arial" w:hAnsi="Arial" w:cs="Arial"/>
          <w:color w:val="000000"/>
        </w:rPr>
        <w:t xml:space="preserve"> living community. Thus, allowing for an elevation of settler authority, which in turn reinforces the settler narrative of dominance and stewardship (Wolfe 2016). This rewrites histories and proposes a harmonious </w:t>
      </w:r>
      <w:r>
        <w:rPr>
          <w:rFonts w:ascii="Arial" w:eastAsia="Arial" w:hAnsi="Arial" w:cs="Arial"/>
          <w:color w:val="000000"/>
        </w:rPr>
        <w:lastRenderedPageBreak/>
        <w:t xml:space="preserve">relationship between settler colonial enterprises and Indigenous communities, without addressing the colonial dynamics that have displaced, homogenised, violently attacked, and commodified Indigenous lands and cultures into a simplified romantic bricolage of what they are (Seminole 2024). </w:t>
      </w:r>
    </w:p>
    <w:p w14:paraId="3CC40F05" w14:textId="77777777" w:rsidR="009F0C56" w:rsidRDefault="00653842">
      <w:pPr>
        <w:spacing w:before="280" w:after="280" w:line="276" w:lineRule="auto"/>
        <w:rPr>
          <w:rFonts w:ascii="Arial" w:eastAsia="Arial" w:hAnsi="Arial" w:cs="Arial"/>
          <w:color w:val="000000"/>
        </w:rPr>
      </w:pPr>
      <w:r>
        <w:rPr>
          <w:rFonts w:ascii="Arial" w:eastAsia="Arial" w:hAnsi="Arial" w:cs="Arial"/>
          <w:color w:val="000000"/>
        </w:rPr>
        <w:t xml:space="preserve">In this, the website’s language reflects the creation of invented traditions that align with settler narratives. Through framing the company as a longstanding participant in the region's ecological and cultural landscape, Gator Park Inc. fabricates an alternative reality that subsumes Indigenous histories into settler-defined notions of heritage and sustainability, drawing from plastic shamans (Aldred, 2000). Here, Indigenous representations on the site reinforce the homogenisation of Indigenous identities </w:t>
      </w:r>
      <w:r>
        <w:rPr>
          <w:rFonts w:ascii="Arial" w:eastAsia="Arial" w:hAnsi="Arial" w:cs="Arial"/>
          <w:color w:val="000000"/>
        </w:rPr>
        <w:t xml:space="preserve">into a singular, settler monolithic narrative that erases the specificity and sovereignty of the Miccosukee and Seminole in contemporary discourse (Barker 2021). </w:t>
      </w:r>
    </w:p>
    <w:p w14:paraId="4881034A" w14:textId="77777777" w:rsidR="009F0C56" w:rsidRDefault="00653842">
      <w:pPr>
        <w:spacing w:before="280" w:after="280" w:line="276" w:lineRule="auto"/>
        <w:rPr>
          <w:rFonts w:ascii="Arial" w:eastAsia="Arial" w:hAnsi="Arial" w:cs="Arial"/>
          <w:color w:val="000000"/>
        </w:rPr>
      </w:pPr>
      <w:r>
        <w:rPr>
          <w:rFonts w:ascii="Arial" w:eastAsia="Arial" w:hAnsi="Arial" w:cs="Arial"/>
          <w:color w:val="000000"/>
        </w:rPr>
        <w:t>Through this, the language used by Gator Park Inc. exemplifies the power of written narratives in the homogenisation of Indigenous knowledge. As through marginalising Indigenous voices and reframing the history and ecology of the Everglades through a settler colonial lens, the website perpetuates the erasure of Miccosukee and Seminole epistemologies by dominating the epistemes that surround Indigeneity in the area (Moreton-Robinson 2015). In turn, this dynamic supports the larger settler colonial strategy o</w:t>
      </w:r>
      <w:r>
        <w:rPr>
          <w:rFonts w:ascii="Arial" w:eastAsia="Arial" w:hAnsi="Arial" w:cs="Arial"/>
          <w:color w:val="000000"/>
        </w:rPr>
        <w:t>f displacing Indigenous knowledge systems by replacing them with settler narratives that legitimise and reinforce settler colonial dominance. Therefore, this linguistic hierarchy of settler knowledge production creates “</w:t>
      </w:r>
      <w:r>
        <w:rPr>
          <w:rFonts w:ascii="Arial" w:eastAsia="Arial" w:hAnsi="Arial" w:cs="Arial"/>
          <w:color w:val="000000"/>
          <w:highlight w:val="white"/>
        </w:rPr>
        <w:t>a cruc</w:t>
      </w:r>
      <w:r>
        <w:rPr>
          <w:rFonts w:ascii="Arial" w:eastAsia="Arial" w:hAnsi="Arial" w:cs="Arial"/>
          <w:color w:val="000000"/>
        </w:rPr>
        <w:t>ial phase in the development of white supremacist settler society, with language and education playing key roles in the process of consolidating the categories of whiteness(i.e. human-ness), blackness(i.e. non-human-ness, or, in the words of Dennis Childs, “an anthropology of metaphysical deficit”), and Indian-ness (i.e. primitiveness, savageness, and necessary eliminability)</w:t>
      </w:r>
      <w:r>
        <w:rPr>
          <w:rFonts w:ascii="Arial" w:eastAsia="Arial" w:hAnsi="Arial" w:cs="Arial"/>
          <w:color w:val="000000"/>
          <w:highlight w:val="white"/>
        </w:rPr>
        <w:t>”</w:t>
      </w:r>
      <w:r>
        <w:rPr>
          <w:rFonts w:ascii="Arial" w:eastAsia="Arial" w:hAnsi="Arial" w:cs="Arial"/>
          <w:color w:val="000000"/>
          <w:sz w:val="30"/>
          <w:szCs w:val="30"/>
          <w:highlight w:val="white"/>
        </w:rPr>
        <w:t xml:space="preserve"> (</w:t>
      </w:r>
      <w:r>
        <w:rPr>
          <w:rFonts w:ascii="Arial" w:eastAsia="Arial" w:hAnsi="Arial" w:cs="Arial"/>
          <w:color w:val="000000"/>
          <w:highlight w:val="white"/>
        </w:rPr>
        <w:t>Iyengar 2014, Pg. 41). Through this,</w:t>
      </w:r>
      <w:r>
        <w:rPr>
          <w:rFonts w:ascii="Arial" w:eastAsia="Arial" w:hAnsi="Arial" w:cs="Arial"/>
          <w:color w:val="000000"/>
        </w:rPr>
        <w:t xml:space="preserve"> settler society homogenises and centralises “whiteness”, as the core of knowledge production, as Iyengar’s work on settler colonialisms manipulation of language and education helps analyse. </w:t>
      </w:r>
    </w:p>
    <w:p w14:paraId="18680ADF" w14:textId="5F7F4D18" w:rsidR="009F0C56" w:rsidRDefault="00653842">
      <w:pPr>
        <w:spacing w:before="280" w:after="280" w:line="276" w:lineRule="auto"/>
        <w:rPr>
          <w:rFonts w:ascii="Arial" w:eastAsia="Arial" w:hAnsi="Arial" w:cs="Arial"/>
          <w:color w:val="000000"/>
        </w:rPr>
      </w:pPr>
      <w:r>
        <w:rPr>
          <w:rFonts w:ascii="Arial" w:eastAsia="Arial" w:hAnsi="Arial" w:cs="Arial"/>
          <w:color w:val="000000"/>
        </w:rPr>
        <w:t>In this, the language around Seminole and Miccosukee communities on Gator Parks' website</w:t>
      </w:r>
      <w:r>
        <w:rPr>
          <w:rFonts w:ascii="Arial" w:eastAsia="Arial" w:hAnsi="Arial" w:cs="Arial"/>
          <w:color w:val="000000"/>
        </w:rPr>
        <w:t xml:space="preserve"> racially </w:t>
      </w:r>
      <w:r w:rsidR="00CF2C48">
        <w:rPr>
          <w:rFonts w:ascii="Arial" w:eastAsia="Arial" w:hAnsi="Arial" w:cs="Arial"/>
          <w:color w:val="000000"/>
        </w:rPr>
        <w:t>other</w:t>
      </w:r>
      <w:r>
        <w:rPr>
          <w:rFonts w:ascii="Arial" w:eastAsia="Arial" w:hAnsi="Arial" w:cs="Arial"/>
          <w:color w:val="000000"/>
        </w:rPr>
        <w:t xml:space="preserve"> them into the periphery of knowledge production, as Gator Park becomes the unofficial core of knowledge on the Seminole and Miccosukee. Here, settler companies homogenise the Seminole and Miccosukee in the Indigenous trope of the vanishing Indian (Moreton-Robinson 2015). This epistemologically and linguistically positions the Gator Park as </w:t>
      </w:r>
      <w:r w:rsidR="00CF2C48">
        <w:rPr>
          <w:rFonts w:ascii="Arial" w:eastAsia="Arial" w:hAnsi="Arial" w:cs="Arial"/>
          <w:color w:val="000000"/>
        </w:rPr>
        <w:t>central</w:t>
      </w:r>
      <w:r>
        <w:rPr>
          <w:rFonts w:ascii="Arial" w:eastAsia="Arial" w:hAnsi="Arial" w:cs="Arial"/>
          <w:color w:val="000000"/>
        </w:rPr>
        <w:t xml:space="preserve"> in Indigenous knowledge production (Iyengar 2014). Where the portrayal of Seminole and Miccosukee history on Gator Park Inc.’s website becomes fixed, this highlights how settler colonial structures use the homogenisation of knowledge to diminish the Seminole and Miccosukee into a homogenised set of tropes (Keene et al</w:t>
      </w:r>
      <w:r w:rsidR="00CF2C48">
        <w:rPr>
          <w:rFonts w:ascii="Arial" w:eastAsia="Arial" w:hAnsi="Arial" w:cs="Arial"/>
          <w:color w:val="000000"/>
        </w:rPr>
        <w:t>.</w:t>
      </w:r>
      <w:r>
        <w:rPr>
          <w:rFonts w:ascii="Arial" w:eastAsia="Arial" w:hAnsi="Arial" w:cs="Arial"/>
          <w:color w:val="000000"/>
        </w:rPr>
        <w:t xml:space="preserve"> 2024). </w:t>
      </w:r>
    </w:p>
    <w:p w14:paraId="6A75D072" w14:textId="197BACA8" w:rsidR="009F0C56" w:rsidRDefault="00653842">
      <w:pPr>
        <w:spacing w:before="280" w:after="280" w:line="276" w:lineRule="auto"/>
        <w:rPr>
          <w:rFonts w:ascii="Arial" w:eastAsia="Arial" w:hAnsi="Arial" w:cs="Arial"/>
          <w:color w:val="000000"/>
        </w:rPr>
      </w:pPr>
      <w:r>
        <w:rPr>
          <w:rFonts w:ascii="Arial" w:eastAsia="Arial" w:hAnsi="Arial" w:cs="Arial"/>
          <w:color w:val="000000"/>
        </w:rPr>
        <w:lastRenderedPageBreak/>
        <w:t>While Gator Park does mention key historical events, such as the Seminole Wars, and briefly acknowledges the survival of the Seminole and Miccosukee within the website, these mentions are brief and tokenise Seminole and Miccosukee epistemologies, rather than meaningfully and analytically engaging with their histories. This is most noted from the closing line of the history section: “Want to know more?”</w:t>
      </w:r>
      <w:r>
        <w:rPr>
          <w:rFonts w:ascii="Arial" w:eastAsia="Arial" w:hAnsi="Arial" w:cs="Arial"/>
          <w:color w:val="000000"/>
        </w:rPr>
        <w:t xml:space="preserve"> The line is hyperlinked in the article and takes the customer to a ticket page for the Gator Park company (Gator Park, 2024). The application notes a significant dynamic where Gator Park positions itself as the epistemic core of Indigenous knowledge. Through this framing, these tours and services are seen as the primary means of accessing information about the Seminole and Miccosukee. In this, a corporate colonialism is centred through language, where settler state-led epistemes on the Miccosukee and Semin</w:t>
      </w:r>
      <w:r>
        <w:rPr>
          <w:rFonts w:ascii="Arial" w:eastAsia="Arial" w:hAnsi="Arial" w:cs="Arial"/>
          <w:color w:val="000000"/>
        </w:rPr>
        <w:t xml:space="preserve">ole are not the epicentre of knowledge production; rather, small settler corporations can position themselves as the point-zero of source on Indigeneity in the area (Veracini 2010). </w:t>
      </w:r>
    </w:p>
    <w:p w14:paraId="44CA9189" w14:textId="6760AD84" w:rsidR="009F0C56" w:rsidRDefault="00653842">
      <w:pPr>
        <w:spacing w:before="280" w:after="280" w:line="276" w:lineRule="auto"/>
        <w:rPr>
          <w:rFonts w:ascii="Arial" w:eastAsia="Arial" w:hAnsi="Arial" w:cs="Arial"/>
          <w:color w:val="000000"/>
        </w:rPr>
      </w:pPr>
      <w:r>
        <w:rPr>
          <w:rFonts w:ascii="Arial" w:eastAsia="Arial" w:hAnsi="Arial" w:cs="Arial"/>
          <w:color w:val="000000"/>
        </w:rPr>
        <w:t>In turn, creating a colonial power structure of knowledge production that centres settler voices as a homogenised</w:t>
      </w:r>
      <w:r w:rsidR="00CF2C48">
        <w:rPr>
          <w:rFonts w:ascii="Arial" w:eastAsia="Arial" w:hAnsi="Arial" w:cs="Arial"/>
          <w:color w:val="000000"/>
        </w:rPr>
        <w:t>,</w:t>
      </w:r>
      <w:r>
        <w:rPr>
          <w:rFonts w:ascii="Arial" w:eastAsia="Arial" w:hAnsi="Arial" w:cs="Arial"/>
          <w:color w:val="000000"/>
        </w:rPr>
        <w:t xml:space="preserve"> fixed engagement </w:t>
      </w:r>
      <w:r w:rsidR="00CF2C48">
        <w:rPr>
          <w:rFonts w:ascii="Arial" w:eastAsia="Arial" w:hAnsi="Arial" w:cs="Arial"/>
          <w:color w:val="000000"/>
        </w:rPr>
        <w:t>with</w:t>
      </w:r>
      <w:r>
        <w:rPr>
          <w:rFonts w:ascii="Arial" w:eastAsia="Arial" w:hAnsi="Arial" w:cs="Arial"/>
          <w:color w:val="000000"/>
        </w:rPr>
        <w:t xml:space="preserve"> the Seminole and Miccosukee (Iyengar 2014, Mignolo 2012). In this, Gator Park is unconsciously creating a colonial mechanism that transforms the company into the epistemic core of Indigenous history, relegating the Seminole and Miccosukee to perceived passive subjects within a settler-constructed narrative. This, in turn, erases the Seminole and Miccosukee’s ability to assert self-representations. Through this process, Gator Park constructs a settler bricolage of realities that ultimately diminishes Semino</w:t>
      </w:r>
      <w:r>
        <w:rPr>
          <w:rFonts w:ascii="Arial" w:eastAsia="Arial" w:hAnsi="Arial" w:cs="Arial"/>
          <w:color w:val="000000"/>
        </w:rPr>
        <w:t>le and Miccosukee agency, as Keene et al</w:t>
      </w:r>
      <w:r w:rsidR="00CF2C48">
        <w:rPr>
          <w:rFonts w:ascii="Arial" w:eastAsia="Arial" w:hAnsi="Arial" w:cs="Arial"/>
          <w:color w:val="000000"/>
        </w:rPr>
        <w:t>.</w:t>
      </w:r>
      <w:r>
        <w:rPr>
          <w:rFonts w:ascii="Arial" w:eastAsia="Arial" w:hAnsi="Arial" w:cs="Arial"/>
          <w:color w:val="000000"/>
        </w:rPr>
        <w:t xml:space="preserve"> highlighted. With the idea of Indigenous subjects being presented as less than / savage in mixed media, as they superficially conform to settler engagements of knowledge within media (Keene et al</w:t>
      </w:r>
      <w:r w:rsidR="00CF2C48">
        <w:rPr>
          <w:rFonts w:ascii="Arial" w:eastAsia="Arial" w:hAnsi="Arial" w:cs="Arial"/>
          <w:color w:val="000000"/>
        </w:rPr>
        <w:t>.</w:t>
      </w:r>
      <w:r>
        <w:rPr>
          <w:rFonts w:ascii="Arial" w:eastAsia="Arial" w:hAnsi="Arial" w:cs="Arial"/>
          <w:color w:val="000000"/>
        </w:rPr>
        <w:t>, 2024).</w:t>
      </w:r>
    </w:p>
    <w:p w14:paraId="2A3E12BB" w14:textId="77777777" w:rsidR="009F0C56" w:rsidRDefault="00653842">
      <w:pPr>
        <w:spacing w:before="280" w:after="280" w:line="276" w:lineRule="auto"/>
        <w:rPr>
          <w:rFonts w:ascii="Arial" w:eastAsia="Arial" w:hAnsi="Arial" w:cs="Arial"/>
          <w:color w:val="000000"/>
        </w:rPr>
      </w:pPr>
      <w:r>
        <w:rPr>
          <w:rFonts w:ascii="Arial" w:eastAsia="Arial" w:hAnsi="Arial" w:cs="Arial"/>
          <w:color w:val="000000"/>
        </w:rPr>
        <w:t xml:space="preserve">Therefore, by Gator Park selectively referencing historical events and positioning themselves as the primary source for further exploration of both nations, they create a distorted, homogenised representation of Indigeneity that is built from settler colonial signifiers (Bruyneel 2021). This, therefore, allows a settler bricolage of realities that operates as a system of power, through centralising knowledge as well as forcing an erasure of Indigenous epistemologies and representations (Hunt 2013). Leading </w:t>
      </w:r>
      <w:r>
        <w:rPr>
          <w:rFonts w:ascii="Arial" w:eastAsia="Arial" w:hAnsi="Arial" w:cs="Arial"/>
          <w:color w:val="000000"/>
        </w:rPr>
        <w:t xml:space="preserve">to a constructed settler cultural hegemony, where, through settler manipulation of epistemes and knowledge centres, the Seminole and Miccosukee are homogenised into the production of settler knowledge around Indigeneity. Creating an unconscious reality around Indigenous communities from settler perceptions (Jung 1991). </w:t>
      </w:r>
    </w:p>
    <w:p w14:paraId="2A61613C" w14:textId="0DBD45A7" w:rsidR="009F0C56" w:rsidRDefault="00653842">
      <w:pPr>
        <w:spacing w:before="280" w:after="280" w:line="276" w:lineRule="auto"/>
        <w:rPr>
          <w:rFonts w:ascii="Arial" w:eastAsia="Arial" w:hAnsi="Arial" w:cs="Arial"/>
          <w:color w:val="000000"/>
        </w:rPr>
      </w:pPr>
      <w:r>
        <w:rPr>
          <w:rFonts w:ascii="Arial" w:eastAsia="Arial" w:hAnsi="Arial" w:cs="Arial"/>
          <w:color w:val="000000"/>
        </w:rPr>
        <w:t>As is noted through the main Indigenous tropes created by settlers around Indigeneity in Keene’s et Al’s work</w:t>
      </w:r>
      <w:r w:rsidR="00CF2C48">
        <w:rPr>
          <w:rFonts w:ascii="Arial" w:eastAsia="Arial" w:hAnsi="Arial" w:cs="Arial"/>
          <w:color w:val="000000"/>
        </w:rPr>
        <w:t>,</w:t>
      </w:r>
      <w:r>
        <w:rPr>
          <w:rFonts w:ascii="Arial" w:eastAsia="Arial" w:hAnsi="Arial" w:cs="Arial"/>
          <w:color w:val="000000"/>
        </w:rPr>
        <w:t xml:space="preserve"> such as</w:t>
      </w:r>
      <w:r w:rsidR="00CF2C48">
        <w:rPr>
          <w:rFonts w:ascii="Arial" w:eastAsia="Arial" w:hAnsi="Arial" w:cs="Arial"/>
          <w:color w:val="000000"/>
        </w:rPr>
        <w:t>:</w:t>
      </w:r>
      <w:r>
        <w:rPr>
          <w:rFonts w:ascii="Arial" w:eastAsia="Arial" w:hAnsi="Arial" w:cs="Arial"/>
          <w:color w:val="000000"/>
        </w:rPr>
        <w:t xml:space="preserve"> “</w:t>
      </w:r>
      <w:r>
        <w:rPr>
          <w:rFonts w:ascii="Arial" w:eastAsia="Arial" w:hAnsi="Arial" w:cs="Arial"/>
          <w:i/>
          <w:iCs/>
          <w:color w:val="000000"/>
        </w:rPr>
        <w:t>body adornment</w:t>
      </w:r>
      <w:r>
        <w:rPr>
          <w:rFonts w:ascii="Arial" w:eastAsia="Arial" w:hAnsi="Arial" w:cs="Arial"/>
          <w:color w:val="000000"/>
        </w:rPr>
        <w:t xml:space="preserve"> - as seen in the statue image, </w:t>
      </w:r>
      <w:r>
        <w:rPr>
          <w:rFonts w:ascii="Arial" w:eastAsia="Arial" w:hAnsi="Arial" w:cs="Arial"/>
          <w:i/>
          <w:iCs/>
          <w:color w:val="000000"/>
        </w:rPr>
        <w:t>impersonation</w:t>
      </w:r>
      <w:r>
        <w:rPr>
          <w:rFonts w:ascii="Arial" w:eastAsia="Arial" w:hAnsi="Arial" w:cs="Arial"/>
          <w:color w:val="000000"/>
        </w:rPr>
        <w:t xml:space="preserve"> – notable in the Wynwood tribe shop, </w:t>
      </w:r>
      <w:r>
        <w:rPr>
          <w:rFonts w:ascii="Arial" w:eastAsia="Arial" w:hAnsi="Arial" w:cs="Arial"/>
          <w:i/>
          <w:iCs/>
          <w:color w:val="000000"/>
        </w:rPr>
        <w:t>spirituality</w:t>
      </w:r>
      <w:r>
        <w:rPr>
          <w:rFonts w:ascii="Arial" w:eastAsia="Arial" w:hAnsi="Arial" w:cs="Arial"/>
          <w:color w:val="000000"/>
        </w:rPr>
        <w:t xml:space="preserve"> – visible with dream catchers, </w:t>
      </w:r>
      <w:r>
        <w:rPr>
          <w:rFonts w:ascii="Arial" w:eastAsia="Arial" w:hAnsi="Arial" w:cs="Arial"/>
          <w:i/>
          <w:iCs/>
          <w:color w:val="000000"/>
        </w:rPr>
        <w:t>selling or making items</w:t>
      </w:r>
      <w:r>
        <w:rPr>
          <w:rFonts w:ascii="Arial" w:eastAsia="Arial" w:hAnsi="Arial" w:cs="Arial"/>
          <w:color w:val="000000"/>
        </w:rPr>
        <w:t xml:space="preserve"> – the books in the first image, and </w:t>
      </w:r>
      <w:r>
        <w:rPr>
          <w:rFonts w:ascii="Arial" w:eastAsia="Arial" w:hAnsi="Arial" w:cs="Arial"/>
          <w:i/>
          <w:iCs/>
          <w:color w:val="000000"/>
        </w:rPr>
        <w:t>mascots</w:t>
      </w:r>
      <w:r>
        <w:rPr>
          <w:rFonts w:ascii="Arial" w:eastAsia="Arial" w:hAnsi="Arial" w:cs="Arial"/>
          <w:color w:val="000000"/>
        </w:rPr>
        <w:t xml:space="preserve"> – highlighted in the entrance of settler airboat company in using Indigenous imagery </w:t>
      </w:r>
      <w:r>
        <w:rPr>
          <w:rFonts w:ascii="Arial" w:eastAsia="Arial" w:hAnsi="Arial" w:cs="Arial"/>
          <w:color w:val="000000"/>
        </w:rPr>
        <w:lastRenderedPageBreak/>
        <w:t>(Keene et al</w:t>
      </w:r>
      <w:r w:rsidR="00CF2C48">
        <w:rPr>
          <w:rFonts w:ascii="Arial" w:eastAsia="Arial" w:hAnsi="Arial" w:cs="Arial"/>
          <w:color w:val="000000"/>
        </w:rPr>
        <w:t>.</w:t>
      </w:r>
      <w:r>
        <w:rPr>
          <w:rFonts w:ascii="Arial" w:eastAsia="Arial" w:hAnsi="Arial" w:cs="Arial"/>
          <w:color w:val="000000"/>
        </w:rPr>
        <w:t xml:space="preserve"> 2024, Pg. 653 – 655). Here, utilising Keene et Al’s categories as markers of settler homogenisation, Indigenous representations are fixed into homogenised categories that can be drawn on according to settler needs, erasing and displacing the Seminole and Miccosukee as visible present actors.</w:t>
      </w:r>
    </w:p>
    <w:p w14:paraId="74DBF157" w14:textId="77777777" w:rsidR="009F0C56" w:rsidRDefault="00653842">
      <w:pPr>
        <w:spacing w:before="280" w:after="280" w:line="276" w:lineRule="auto"/>
        <w:rPr>
          <w:rFonts w:ascii="Arial" w:eastAsia="Arial" w:hAnsi="Arial" w:cs="Arial"/>
          <w:color w:val="000000"/>
        </w:rPr>
      </w:pPr>
      <w:r>
        <w:rPr>
          <w:rFonts w:ascii="Arial" w:eastAsia="Arial" w:hAnsi="Arial" w:cs="Arial"/>
          <w:color w:val="000000"/>
        </w:rPr>
        <w:t>Thus, the application of language from</w:t>
      </w:r>
      <w:r>
        <w:rPr>
          <w:rFonts w:ascii="Arial" w:eastAsia="Arial" w:hAnsi="Arial" w:cs="Arial"/>
          <w:b/>
          <w:bCs/>
          <w:color w:val="000000"/>
        </w:rPr>
        <w:t xml:space="preserve"> </w:t>
      </w:r>
      <w:r>
        <w:rPr>
          <w:rFonts w:ascii="Arial" w:eastAsia="Arial" w:hAnsi="Arial" w:cs="Arial"/>
          <w:color w:val="000000"/>
        </w:rPr>
        <w:t>Gator Park illustrates the deep and entwined settler colonial strategy of homogenising knowledge structures to erase and distort Indigenous representations (Cordova, 2007). Consequently, language used in settler structures, such as Gator Park, positions itself as the core source of information about Seminole and Miccosukee history, leading to a monopolisation of knowledge production around Indigeneity (Iyengar 2014). This process, therefore, builds a settler bricolage of Indigenous representations that furt</w:t>
      </w:r>
      <w:r>
        <w:rPr>
          <w:rFonts w:ascii="Arial" w:eastAsia="Arial" w:hAnsi="Arial" w:cs="Arial"/>
          <w:color w:val="000000"/>
        </w:rPr>
        <w:t xml:space="preserve">her marginalise authentic voices, while embedding settler authority as the default epistemic framework in the area, subduing any anti-colonial voices present (Deloria 2012). </w:t>
      </w:r>
    </w:p>
    <w:p w14:paraId="34C69FCD" w14:textId="6304C658" w:rsidR="009F0C56" w:rsidRDefault="00653842">
      <w:pPr>
        <w:spacing w:before="280" w:after="280" w:line="276" w:lineRule="auto"/>
        <w:rPr>
          <w:rFonts w:ascii="Arial" w:eastAsia="Arial" w:hAnsi="Arial" w:cs="Arial"/>
          <w:color w:val="000000"/>
        </w:rPr>
      </w:pPr>
      <w:r>
        <w:rPr>
          <w:rFonts w:ascii="Arial" w:eastAsia="Arial" w:hAnsi="Arial" w:cs="Arial"/>
          <w:color w:val="000000"/>
        </w:rPr>
        <w:t>These practices, therefore, perpetuate a settler-dominated unconscious reality of what Indigeneity is and how and where it is engaged with. This further reinforces the settler colonial hegemony and erasure of Indigenous communities as contemporary cultural socio-political groups in the 21</w:t>
      </w:r>
      <w:r>
        <w:rPr>
          <w:rFonts w:ascii="Arial" w:eastAsia="Arial" w:hAnsi="Arial" w:cs="Arial"/>
          <w:color w:val="000000"/>
          <w:vertAlign w:val="superscript"/>
        </w:rPr>
        <w:t>st</w:t>
      </w:r>
      <w:r>
        <w:rPr>
          <w:rFonts w:ascii="Arial" w:eastAsia="Arial" w:hAnsi="Arial" w:cs="Arial"/>
          <w:color w:val="000000"/>
        </w:rPr>
        <w:t xml:space="preserve"> century, as settlers, through websites like Gator Park, due to proximity to urban spaces and the romantic bricolage of realities they create, make them more in keeping with settler assemblages of Indigeneity (Keene et al</w:t>
      </w:r>
      <w:r w:rsidR="00CF2C48">
        <w:rPr>
          <w:rFonts w:ascii="Arial" w:eastAsia="Arial" w:hAnsi="Arial" w:cs="Arial"/>
          <w:color w:val="000000"/>
        </w:rPr>
        <w:t>.</w:t>
      </w:r>
      <w:r>
        <w:rPr>
          <w:rFonts w:ascii="Arial" w:eastAsia="Arial" w:hAnsi="Arial" w:cs="Arial"/>
          <w:color w:val="000000"/>
        </w:rPr>
        <w:t>, 2024).</w:t>
      </w:r>
    </w:p>
    <w:p w14:paraId="42ED456D" w14:textId="77777777" w:rsidR="009F0C56" w:rsidRDefault="00653842">
      <w:pPr>
        <w:pStyle w:val="Heading2"/>
        <w:rPr>
          <w:rFonts w:ascii="Arial" w:eastAsia="Arial" w:hAnsi="Arial" w:cs="Arial"/>
          <w:b/>
          <w:bCs/>
          <w:sz w:val="36"/>
          <w:szCs w:val="36"/>
        </w:rPr>
      </w:pPr>
      <w:bookmarkStart w:id="98" w:name="_Toc240966022"/>
      <w:r>
        <w:rPr>
          <w:rFonts w:ascii="Arial" w:eastAsia="Arial" w:hAnsi="Arial" w:cs="Arial"/>
        </w:rPr>
        <w:t>6.11 Where next?</w:t>
      </w:r>
      <w:bookmarkEnd w:id="98"/>
    </w:p>
    <w:p w14:paraId="238D4B27" w14:textId="77777777" w:rsidR="009F0C56" w:rsidRDefault="00653842">
      <w:pPr>
        <w:spacing w:before="280" w:after="280" w:line="276" w:lineRule="auto"/>
        <w:rPr>
          <w:rFonts w:ascii="Arial" w:eastAsia="Arial" w:hAnsi="Arial" w:cs="Arial"/>
          <w:color w:val="000000"/>
        </w:rPr>
      </w:pPr>
      <w:r>
        <w:rPr>
          <w:rFonts w:ascii="Arial" w:eastAsia="Arial" w:hAnsi="Arial" w:cs="Arial"/>
          <w:color w:val="000000"/>
        </w:rPr>
        <w:t xml:space="preserve">Through the analysis of how settler colonial society utilises homogenisation as a colonial power structure against Indigenous culture, ontologies, and epistemologies reveal two important modes of operation are indicated. These modes highlight the profound impact of homogenisation on the Seminole and Miccosukee within the settler colonial matrix of power. </w:t>
      </w:r>
    </w:p>
    <w:p w14:paraId="7E88E7DD" w14:textId="7A12D7AB" w:rsidR="009F0C56" w:rsidRDefault="00653842">
      <w:pPr>
        <w:spacing w:before="280" w:after="280" w:line="276" w:lineRule="auto"/>
        <w:rPr>
          <w:rFonts w:ascii="Arial" w:eastAsia="Arial" w:hAnsi="Arial" w:cs="Arial"/>
          <w:color w:val="000000"/>
        </w:rPr>
      </w:pPr>
      <w:r>
        <w:rPr>
          <w:rFonts w:ascii="Arial" w:eastAsia="Arial" w:hAnsi="Arial" w:cs="Arial"/>
          <w:color w:val="000000"/>
        </w:rPr>
        <w:t xml:space="preserve">The first way homogenisation operates </w:t>
      </w:r>
      <w:r w:rsidR="00CF2C48">
        <w:rPr>
          <w:rFonts w:ascii="Arial" w:eastAsia="Arial" w:hAnsi="Arial" w:cs="Arial"/>
          <w:color w:val="000000"/>
        </w:rPr>
        <w:t>is</w:t>
      </w:r>
      <w:r>
        <w:rPr>
          <w:rFonts w:ascii="Arial" w:eastAsia="Arial" w:hAnsi="Arial" w:cs="Arial"/>
          <w:color w:val="000000"/>
        </w:rPr>
        <w:t xml:space="preserve"> the assimilation of Indigenous culture into the sphere of settler colonial society. Here, this process moulds selected elements of Indigenous culture into a fabricated settler memory, as theorised by Bruyneel. Settler memory draws a perception of harmony and shared histories between settlers and Indigenous communities, which in turn serves to legitimise settler claims to land (Bruyneel, 2021). </w:t>
      </w:r>
    </w:p>
    <w:p w14:paraId="6533FB2D" w14:textId="77777777" w:rsidR="009F0C56" w:rsidRDefault="00653842">
      <w:pPr>
        <w:spacing w:before="280" w:after="280" w:line="276" w:lineRule="auto"/>
        <w:rPr>
          <w:rFonts w:ascii="Arial" w:eastAsia="Arial" w:hAnsi="Arial" w:cs="Arial"/>
          <w:color w:val="000000"/>
        </w:rPr>
      </w:pPr>
      <w:r>
        <w:rPr>
          <w:rFonts w:ascii="Arial" w:eastAsia="Arial" w:hAnsi="Arial" w:cs="Arial"/>
          <w:color w:val="000000"/>
        </w:rPr>
        <w:t xml:space="preserve">This can be seen through the use of Gator Park, situating itself as an epistemic core for Indigenous knowledge. The second way homogenisation operates is through reducing and simplifying Indigenous identities to a singular, monolithic archetype that replaces Indigeneity with a settler-authored Indian, destroying and vanishing the Indigenous within settler Indian representations, as is highlighted for the Seminole and Miccosukee. Whose representations are erased of their diversity and specificity, </w:t>
      </w:r>
      <w:r>
        <w:rPr>
          <w:rFonts w:ascii="Arial" w:eastAsia="Arial" w:hAnsi="Arial" w:cs="Arial"/>
          <w:color w:val="000000"/>
        </w:rPr>
        <w:lastRenderedPageBreak/>
        <w:t>as seen in figures 2 and 6, being replaced with generic Indigenous iconography that is unrelated to the Seminole or Miccosukee, but adopted in settler and Indigenous spaces.</w:t>
      </w:r>
    </w:p>
    <w:p w14:paraId="1637CAC9" w14:textId="77777777" w:rsidR="009F0C56" w:rsidRDefault="00653842">
      <w:pPr>
        <w:spacing w:before="280" w:after="280" w:line="276" w:lineRule="auto"/>
        <w:rPr>
          <w:rFonts w:ascii="Arial" w:eastAsia="Arial" w:hAnsi="Arial" w:cs="Arial"/>
          <w:color w:val="000000"/>
        </w:rPr>
      </w:pPr>
      <w:r>
        <w:rPr>
          <w:rFonts w:ascii="Arial" w:eastAsia="Arial" w:hAnsi="Arial" w:cs="Arial"/>
          <w:color w:val="000000"/>
        </w:rPr>
        <w:t xml:space="preserve">In turn, these settler depictions diminish self-agency and force Indigenous communities to operate within the confines of settler-defined identities, ultimately eroding their ability to represent themselves authentically as dynamic actors and leaders within their communities (Barker 2021, Simpson 2017). </w:t>
      </w:r>
    </w:p>
    <w:p w14:paraId="756B47E6" w14:textId="77777777" w:rsidR="009F0C56" w:rsidRDefault="00653842">
      <w:pPr>
        <w:spacing w:before="280" w:after="280" w:line="276" w:lineRule="auto"/>
        <w:rPr>
          <w:rFonts w:ascii="Arial" w:eastAsia="Arial" w:hAnsi="Arial" w:cs="Arial"/>
          <w:color w:val="000000"/>
        </w:rPr>
      </w:pPr>
      <w:r>
        <w:rPr>
          <w:rFonts w:ascii="Arial" w:eastAsia="Arial" w:hAnsi="Arial" w:cs="Arial"/>
          <w:color w:val="000000"/>
        </w:rPr>
        <w:t xml:space="preserve">Settler societies can infiltrate not only the land they reside on but also the cognitive aspects of settler-Indigenous interactions, as Simpson and Bryd highlight with video games in the </w:t>
      </w:r>
    </w:p>
    <w:p w14:paraId="2FB23C51" w14:textId="60DAF8C2" w:rsidR="009F0C56" w:rsidRDefault="00653842">
      <w:pPr>
        <w:spacing w:before="280" w:after="280" w:line="276" w:lineRule="auto"/>
        <w:rPr>
          <w:rFonts w:ascii="Arial" w:eastAsia="Arial" w:hAnsi="Arial" w:cs="Arial"/>
          <w:color w:val="000000"/>
        </w:rPr>
      </w:pPr>
      <w:r>
        <w:rPr>
          <w:rFonts w:ascii="Arial" w:eastAsia="Arial" w:hAnsi="Arial" w:cs="Arial"/>
          <w:color w:val="000000"/>
        </w:rPr>
        <w:t>“</w:t>
      </w:r>
      <w:r>
        <w:rPr>
          <w:rFonts w:ascii="Arial" w:eastAsia="Arial" w:hAnsi="Arial" w:cs="Arial"/>
          <w:i/>
          <w:iCs/>
          <w:color w:val="000000"/>
        </w:rPr>
        <w:t xml:space="preserve">Rehearsal of invasion as a return of the repressed, seeking in the process to resolve histories of genocide, </w:t>
      </w:r>
      <w:r w:rsidR="00CF2C48">
        <w:rPr>
          <w:rFonts w:ascii="Arial" w:eastAsia="Arial" w:hAnsi="Arial" w:cs="Arial"/>
          <w:i/>
          <w:iCs/>
          <w:color w:val="000000"/>
        </w:rPr>
        <w:t>colonisation</w:t>
      </w:r>
      <w:r>
        <w:rPr>
          <w:rFonts w:ascii="Arial" w:eastAsia="Arial" w:hAnsi="Arial" w:cs="Arial"/>
          <w:i/>
          <w:iCs/>
          <w:color w:val="000000"/>
        </w:rPr>
        <w:t xml:space="preserve">, and slavery through the repeated immolation and recovery of onscreen avatars. Here everyone with a joystick (is that what they use these days?) can become John Wayne, can become the cowboy, the Indian, the demon, the structural fix. These transformations occur in </w:t>
      </w:r>
      <w:r w:rsidR="00CF2C48">
        <w:rPr>
          <w:rFonts w:ascii="Arial" w:eastAsia="Arial" w:hAnsi="Arial" w:cs="Arial"/>
          <w:i/>
          <w:iCs/>
          <w:color w:val="000000"/>
        </w:rPr>
        <w:t>privatised</w:t>
      </w:r>
      <w:r>
        <w:rPr>
          <w:rFonts w:ascii="Arial" w:eastAsia="Arial" w:hAnsi="Arial" w:cs="Arial"/>
          <w:i/>
          <w:iCs/>
          <w:color w:val="000000"/>
        </w:rPr>
        <w:t xml:space="preserve"> spaces: the living room– a space based on seats of leisurely, capitalistic and imagistic power</w:t>
      </w:r>
      <w:r>
        <w:rPr>
          <w:rFonts w:ascii="Arial" w:eastAsia="Arial" w:hAnsi="Arial" w:cs="Arial"/>
          <w:color w:val="000000"/>
        </w:rPr>
        <w:t>” (Simpson 2016. Pg, 433).</w:t>
      </w:r>
    </w:p>
    <w:p w14:paraId="63C0A958" w14:textId="0A08E333" w:rsidR="009F0C56" w:rsidRDefault="00653842">
      <w:pPr>
        <w:rPr>
          <w:rFonts w:ascii="Arial" w:eastAsia="Arial" w:hAnsi="Arial" w:cs="Arial"/>
          <w:highlight w:val="white"/>
        </w:rPr>
      </w:pPr>
      <w:r>
        <w:rPr>
          <w:rFonts w:ascii="Arial" w:eastAsia="Arial" w:hAnsi="Arial" w:cs="Arial"/>
          <w:color w:val="000000"/>
        </w:rPr>
        <w:t>However, not through video games as Simpson articulates, but through visual signifiers on the land in the images presented in the analysis of the thesis. Every settler, regardless of status, can engage with indigeneity through the mass-produced signifiers available in South Florida, but through a homogenised settler Indian corporate capitalist formation of indigeneity (Bryd 2019). In this, both forms of homogenization serve a larger purpose within the settler colonial framework: to manipulate and distort In</w:t>
      </w:r>
      <w:r>
        <w:rPr>
          <w:rFonts w:ascii="Arial" w:eastAsia="Arial" w:hAnsi="Arial" w:cs="Arial"/>
          <w:color w:val="000000"/>
        </w:rPr>
        <w:t xml:space="preserve">digenous realities while reinforcing settler authority through crafting a bricolage of realities that blend elements of Indigenous culture with settler narratives. This, therefore, allows settler society to entrench their claim to the land they reside in, as they recall a stewardship of knowledge as well as stewardship of Indigeneity by keeping Indigeneity ‘alive’ through the mass hypervisibility of Indigenous settler signifiers </w:t>
      </w:r>
      <w:r>
        <w:rPr>
          <w:rFonts w:ascii="Arial" w:eastAsia="Arial" w:hAnsi="Arial" w:cs="Arial"/>
          <w:highlight w:val="white"/>
        </w:rPr>
        <w:t>(Oldman et al</w:t>
      </w:r>
      <w:r w:rsidR="00CF2C48">
        <w:rPr>
          <w:rFonts w:ascii="Arial" w:eastAsia="Arial" w:hAnsi="Arial" w:cs="Arial"/>
          <w:highlight w:val="white"/>
        </w:rPr>
        <w:t>.</w:t>
      </w:r>
      <w:r>
        <w:rPr>
          <w:rFonts w:ascii="Arial" w:eastAsia="Arial" w:hAnsi="Arial" w:cs="Arial"/>
          <w:highlight w:val="white"/>
        </w:rPr>
        <w:t xml:space="preserve"> 2024)</w:t>
      </w:r>
    </w:p>
    <w:p w14:paraId="712D7E77" w14:textId="77777777" w:rsidR="009F0C56" w:rsidRDefault="00653842">
      <w:pPr>
        <w:spacing w:before="280" w:after="280" w:line="276" w:lineRule="auto"/>
        <w:rPr>
          <w:rFonts w:ascii="Arial" w:eastAsia="Arial" w:hAnsi="Arial" w:cs="Arial"/>
          <w:color w:val="000000"/>
        </w:rPr>
      </w:pPr>
      <w:r>
        <w:rPr>
          <w:rFonts w:ascii="Arial" w:eastAsia="Arial" w:hAnsi="Arial" w:cs="Arial"/>
          <w:color w:val="000000"/>
        </w:rPr>
        <w:t xml:space="preserve">Thus, through these relations drawing from Bryd’s analysis of technology and settler colonialism, a colonial sustainable-cide is noted (Bryd 2019). This will be stated as how settler colonial society adopted perceived ethical and sustainable practices around Indigeneity to mask the actuality of these colonial power structures. This topic will be heavily discussed in the following and final analysis chapter on land and topics of hypervisibility, conservation, and knowledge centres. </w:t>
      </w:r>
    </w:p>
    <w:p w14:paraId="795991D7" w14:textId="77777777" w:rsidR="009F0C56" w:rsidRDefault="00653842">
      <w:pPr>
        <w:pStyle w:val="Heading2"/>
        <w:rPr>
          <w:rFonts w:ascii="Arial" w:eastAsia="Arial" w:hAnsi="Arial" w:cs="Arial"/>
        </w:rPr>
      </w:pPr>
      <w:bookmarkStart w:id="99" w:name="_Toc240966023"/>
      <w:r>
        <w:rPr>
          <w:rFonts w:ascii="Arial" w:eastAsia="Arial" w:hAnsi="Arial" w:cs="Arial"/>
        </w:rPr>
        <w:t>6.12 Conclusion</w:t>
      </w:r>
      <w:bookmarkEnd w:id="99"/>
    </w:p>
    <w:p w14:paraId="7C3CD39F"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Through this chapter's analysis of imagery, language, and stereotypes, it became apparent that homogenisation functions as a settler colonial mechanism that </w:t>
      </w:r>
      <w:r>
        <w:rPr>
          <w:rFonts w:ascii="Arial" w:eastAsia="Arial" w:hAnsi="Arial" w:cs="Arial"/>
          <w:color w:val="000000"/>
        </w:rPr>
        <w:lastRenderedPageBreak/>
        <w:t>operates to distort the distinct cultural realities of the Seminole and Miccosukee by subsuming them into the broader, generic constructions of the “Indian.” By doing so, settler society is seen as producing representations that flatten difference, erase specificity, and replace authentic Indigenous discourses with a singular, legible, and ultimately non-authentic version of Indigenous identity.</w:t>
      </w:r>
    </w:p>
    <w:p w14:paraId="448F77F8"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Thus, by creating a standardised “Indian” figure, homogenisation enables Indigeneity to be repackaged and circulated within consumer markets, tourism, and settler imaginaries. This process not only marginalises Seminole and Miccosukee perspectives but also ensures that what settlers consume as Indigeneity reflects settler desires rather than Indigenous realities.</w:t>
      </w:r>
    </w:p>
    <w:p w14:paraId="4EFA2CA6"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Therefore, this thesis identifies that homogenisation is not an isolated event but one deeply entangled with commodification, time, and land, as will be discussed in the following analysis chapters. The following chapter develops this connection by turning directly to commodification. Building on the foundation established here, the analysis will interrogate how homogenisation and commodification work in tandem, with the former producing a simplified Indigenous identity and the latter exploiting that identi</w:t>
      </w:r>
      <w:r>
        <w:rPr>
          <w:rFonts w:ascii="Arial" w:eastAsia="Arial" w:hAnsi="Arial" w:cs="Arial"/>
          <w:color w:val="000000"/>
        </w:rPr>
        <w:t xml:space="preserve">ty as a marketable object within the capitalist-colonial order. </w:t>
      </w:r>
    </w:p>
    <w:p w14:paraId="6E8FC80D" w14:textId="77777777" w:rsidR="009F0C56" w:rsidRDefault="009F0C56">
      <w:pPr>
        <w:rPr>
          <w:color w:val="000000"/>
        </w:rPr>
      </w:pPr>
    </w:p>
    <w:p w14:paraId="1CFA7C35" w14:textId="77777777" w:rsidR="009F0C56" w:rsidRDefault="009F0C56">
      <w:pPr>
        <w:spacing w:line="240" w:lineRule="auto"/>
        <w:rPr>
          <w:rFonts w:ascii="Arial" w:eastAsia="Arial" w:hAnsi="Arial" w:cs="Arial"/>
        </w:rPr>
      </w:pPr>
    </w:p>
    <w:p w14:paraId="507BBCDE" w14:textId="77777777" w:rsidR="009F0C56" w:rsidRDefault="009F0C56"/>
    <w:p w14:paraId="360972A8" w14:textId="77777777" w:rsidR="009F0C56" w:rsidRDefault="009F0C56"/>
    <w:p w14:paraId="238060FD" w14:textId="77777777" w:rsidR="009F0C56" w:rsidRDefault="009F0C56"/>
    <w:p w14:paraId="0F15881B" w14:textId="77777777" w:rsidR="009F0C56" w:rsidRDefault="009F0C56"/>
    <w:p w14:paraId="48131E25" w14:textId="77777777" w:rsidR="009F0C56" w:rsidRDefault="009F0C56"/>
    <w:p w14:paraId="20783CF9" w14:textId="77777777" w:rsidR="009F0C56" w:rsidRDefault="009F0C56"/>
    <w:p w14:paraId="3FC7D388" w14:textId="77777777" w:rsidR="009F0C56" w:rsidRDefault="009F0C56"/>
    <w:p w14:paraId="700ACF49" w14:textId="77777777" w:rsidR="009F0C56" w:rsidRDefault="009F0C56"/>
    <w:p w14:paraId="69BF1D47" w14:textId="77777777" w:rsidR="009F0C56" w:rsidRDefault="009F0C56"/>
    <w:p w14:paraId="63D30D13" w14:textId="77777777" w:rsidR="009F0C56" w:rsidRDefault="009F0C56"/>
    <w:p w14:paraId="32A97B67" w14:textId="77777777" w:rsidR="009F0C56" w:rsidRDefault="009F0C56"/>
    <w:p w14:paraId="2AEFEEAB" w14:textId="77777777" w:rsidR="009F0C56" w:rsidRDefault="009F0C56"/>
    <w:p w14:paraId="51A3DE34" w14:textId="77777777" w:rsidR="009F0C56" w:rsidRDefault="009F0C56"/>
    <w:p w14:paraId="169040B1" w14:textId="77777777" w:rsidR="009F0C56" w:rsidRDefault="009F0C56"/>
    <w:p w14:paraId="370E8AF0" w14:textId="77777777" w:rsidR="009F0C56" w:rsidRDefault="00653842">
      <w:pPr>
        <w:pStyle w:val="Heading1"/>
        <w:rPr>
          <w:rFonts w:ascii="Arial" w:eastAsia="Arial" w:hAnsi="Arial" w:cs="Arial"/>
          <w:u w:val="single"/>
        </w:rPr>
      </w:pPr>
      <w:r>
        <w:br w:type="page"/>
      </w:r>
    </w:p>
    <w:p w14:paraId="43F4DB59" w14:textId="77777777" w:rsidR="009F0C56" w:rsidRDefault="00653842">
      <w:pPr>
        <w:pStyle w:val="Heading1"/>
        <w:rPr>
          <w:rFonts w:ascii="Arial" w:eastAsia="Arial" w:hAnsi="Arial" w:cs="Arial"/>
          <w:color w:val="000000"/>
          <w:u w:val="single"/>
        </w:rPr>
      </w:pPr>
      <w:bookmarkStart w:id="100" w:name="_Toc240966024"/>
      <w:r>
        <w:rPr>
          <w:rFonts w:ascii="Arial" w:eastAsia="Arial" w:hAnsi="Arial" w:cs="Arial"/>
          <w:u w:val="single"/>
        </w:rPr>
        <w:lastRenderedPageBreak/>
        <w:t>7.0 Commodification and Indigenous Culture.</w:t>
      </w:r>
      <w:bookmarkEnd w:id="100"/>
    </w:p>
    <w:p w14:paraId="238FCE15" w14:textId="77777777" w:rsidR="009F0C56" w:rsidRDefault="009F0C56">
      <w:pPr>
        <w:rPr>
          <w:rFonts w:ascii="Arial" w:eastAsia="Arial" w:hAnsi="Arial" w:cs="Arial"/>
        </w:rPr>
      </w:pPr>
    </w:p>
    <w:p w14:paraId="5EE1D2EB" w14:textId="77777777" w:rsidR="009F0C56" w:rsidRDefault="00653842">
      <w:pPr>
        <w:pStyle w:val="Heading2"/>
        <w:rPr>
          <w:rFonts w:ascii="Arial" w:eastAsia="Arial" w:hAnsi="Arial" w:cs="Arial"/>
        </w:rPr>
      </w:pPr>
      <w:bookmarkStart w:id="101" w:name="_Toc240966025"/>
      <w:r>
        <w:rPr>
          <w:rFonts w:ascii="Arial" w:eastAsia="Arial" w:hAnsi="Arial" w:cs="Arial"/>
        </w:rPr>
        <w:t>Introduction</w:t>
      </w:r>
      <w:bookmarkEnd w:id="101"/>
    </w:p>
    <w:p w14:paraId="186572AA"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Building from the previous discussion of homogenisation, this chapter turns to examine the role of commodification in positioning how Seminole and Miccosukee representations are constructed, produced, and consumed within South Florida. While homogenisation standardises Indigeneity into a singular, legible identity, commodification takes this constructed figure and transforms it into a marketable product. Through doing so, neoliberal institutions of mass consumption and reification emerge as powerful mechani</w:t>
      </w:r>
      <w:r>
        <w:rPr>
          <w:rFonts w:ascii="Arial" w:eastAsia="Arial" w:hAnsi="Arial" w:cs="Arial"/>
          <w:color w:val="000000"/>
        </w:rPr>
        <w:t>sms of representational control, allowing settler society to dictate how Indigeneity is seen, valued, and engaged with (Aldred 2000).</w:t>
      </w:r>
    </w:p>
    <w:p w14:paraId="06ECAFD0" w14:textId="2127E7D5"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This chapter, therefore, focuses on key visual and textual themes of epistemology, spirituality, language, and the “homogenised Indian” caricature, to highlight how settler society reifies Indigenous objects, symbols, epistemologies, and spiritualities, without inherent capitalist value, and distorts them through the settler gaze, re-marketing them as authentic reflections of “local” Indigeneity. This will be highlighted particularly by dreamcatchers, statues, and spiritual language. Even though these commo</w:t>
      </w:r>
      <w:r>
        <w:rPr>
          <w:rFonts w:ascii="Arial" w:eastAsia="Arial" w:hAnsi="Arial" w:cs="Arial"/>
          <w:color w:val="000000"/>
        </w:rPr>
        <w:t xml:space="preserve">dified forms do not reflect Seminole or Miccosukee epistemologies, </w:t>
      </w:r>
      <w:r w:rsidR="00CF2C48">
        <w:rPr>
          <w:rFonts w:ascii="Arial" w:eastAsia="Arial" w:hAnsi="Arial" w:cs="Arial"/>
          <w:color w:val="000000"/>
        </w:rPr>
        <w:t>they reflect</w:t>
      </w:r>
      <w:r>
        <w:rPr>
          <w:rFonts w:ascii="Arial" w:eastAsia="Arial" w:hAnsi="Arial" w:cs="Arial"/>
          <w:color w:val="000000"/>
        </w:rPr>
        <w:t xml:space="preserve"> </w:t>
      </w:r>
      <w:r>
        <w:rPr>
          <w:rFonts w:ascii="Arial" w:eastAsia="Arial" w:hAnsi="Arial" w:cs="Arial"/>
          <w:color w:val="000000"/>
        </w:rPr>
        <w:t>the demands of settler desire and consumer culture.</w:t>
      </w:r>
    </w:p>
    <w:p w14:paraId="4121800D"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In this way, commodification will be engaged with not only as an economic process but as a colonial strategy that works in tandem with homogenisation to depoliticise and decontextualise Indigenous identity. Instead, it is embedded within the capitalist colonial matrix of power. Thus, this chapter extends the analysis by interrogating the </w:t>
      </w:r>
      <w:r>
        <w:rPr>
          <w:rFonts w:ascii="Arial" w:eastAsia="Arial" w:hAnsi="Arial" w:cs="Arial"/>
          <w:i/>
          <w:iCs/>
          <w:color w:val="000000"/>
        </w:rPr>
        <w:t>how</w:t>
      </w:r>
      <w:r>
        <w:rPr>
          <w:rFonts w:ascii="Arial" w:eastAsia="Arial" w:hAnsi="Arial" w:cs="Arial"/>
          <w:color w:val="000000"/>
        </w:rPr>
        <w:t xml:space="preserve"> and </w:t>
      </w:r>
      <w:r>
        <w:rPr>
          <w:rFonts w:ascii="Arial" w:eastAsia="Arial" w:hAnsi="Arial" w:cs="Arial"/>
          <w:i/>
          <w:iCs/>
          <w:color w:val="000000"/>
        </w:rPr>
        <w:t>why</w:t>
      </w:r>
      <w:r>
        <w:rPr>
          <w:rFonts w:ascii="Arial" w:eastAsia="Arial" w:hAnsi="Arial" w:cs="Arial"/>
          <w:color w:val="000000"/>
        </w:rPr>
        <w:t xml:space="preserve"> of representational manipulation, situating commodification as central to the broader settler-colonial project of erasure, control, and containment.</w:t>
      </w:r>
    </w:p>
    <w:p w14:paraId="3D3A431F" w14:textId="77777777" w:rsidR="009F0C56" w:rsidRDefault="00653842">
      <w:pPr>
        <w:pStyle w:val="Heading3"/>
        <w:rPr>
          <w:sz w:val="32"/>
          <w:szCs w:val="32"/>
        </w:rPr>
      </w:pPr>
      <w:bookmarkStart w:id="102" w:name="_Toc240966026"/>
      <w:r>
        <w:rPr>
          <w:sz w:val="32"/>
          <w:szCs w:val="32"/>
        </w:rPr>
        <w:t>7.1 Commodification of the colonial Indian</w:t>
      </w:r>
      <w:bookmarkEnd w:id="102"/>
    </w:p>
    <w:p w14:paraId="7F2DD247" w14:textId="77777777" w:rsidR="009F0C56" w:rsidRDefault="00653842">
      <w:pPr>
        <w:spacing w:line="240" w:lineRule="auto"/>
        <w:rPr>
          <w:rFonts w:ascii="Arial" w:eastAsia="Arial" w:hAnsi="Arial" w:cs="Arial"/>
          <w:color w:val="000000"/>
        </w:rPr>
      </w:pPr>
      <w:r>
        <w:rPr>
          <w:rFonts w:ascii="Arial" w:eastAsia="Arial" w:hAnsi="Arial" w:cs="Arial"/>
          <w:color w:val="000000"/>
        </w:rPr>
        <w:t>One theme that has arisen throughout the research is the commodification of Indigenous culture and identity by settler society. This chapter is integral to the discussion of Indigenous representations, as Indigenous culture emerged as a recurring theme throughout my ethnographic fieldwork. Here, these representations focused on a homogenised understanding of Indigeneity. This monolithic commodification of Indigeneity focused on material items as well as the reification of culture (Bin 2018). Particular them</w:t>
      </w:r>
      <w:r>
        <w:rPr>
          <w:rFonts w:ascii="Arial" w:eastAsia="Arial" w:hAnsi="Arial" w:cs="Arial"/>
          <w:color w:val="000000"/>
        </w:rPr>
        <w:t>es that were commonplace were the use of dream catchers, Indigenous statues, and sepia-toned images, which are all related to co-opted Indigenous epistemologies and ontologies.  </w:t>
      </w:r>
    </w:p>
    <w:p w14:paraId="1BE8DBB7" w14:textId="50E689BA" w:rsidR="009F0C56" w:rsidRDefault="00653842">
      <w:pPr>
        <w:rPr>
          <w:rFonts w:ascii="Arial" w:eastAsia="Arial" w:hAnsi="Arial" w:cs="Arial"/>
          <w:color w:val="000000"/>
        </w:rPr>
      </w:pPr>
      <w:r>
        <w:rPr>
          <w:rFonts w:ascii="Arial" w:eastAsia="Arial" w:hAnsi="Arial" w:cs="Arial"/>
          <w:color w:val="000000"/>
        </w:rPr>
        <w:t>The way settler colonial society commodified Indigenous culture is through a bricolage of realities and interpretations to explore the colonial dynamics at play</w:t>
      </w:r>
      <w:r>
        <w:rPr>
          <w:rFonts w:ascii="Arial" w:eastAsia="Arial" w:hAnsi="Arial" w:cs="Arial"/>
          <w:color w:val="000000"/>
          <w:vertAlign w:val="superscript"/>
        </w:rPr>
        <w:footnoteReference w:id="7"/>
      </w:r>
      <w:r>
        <w:rPr>
          <w:rFonts w:ascii="Arial" w:eastAsia="Arial" w:hAnsi="Arial" w:cs="Arial"/>
          <w:color w:val="000000"/>
        </w:rPr>
        <w:t xml:space="preserve"> (Barker 2021).  In this</w:t>
      </w:r>
      <w:r w:rsidR="00CF2C48">
        <w:rPr>
          <w:rFonts w:ascii="Arial" w:eastAsia="Arial" w:hAnsi="Arial" w:cs="Arial"/>
          <w:color w:val="000000"/>
        </w:rPr>
        <w:t xml:space="preserve"> chapter</w:t>
      </w:r>
      <w:r>
        <w:rPr>
          <w:rFonts w:ascii="Arial" w:eastAsia="Arial" w:hAnsi="Arial" w:cs="Arial"/>
          <w:color w:val="000000"/>
        </w:rPr>
        <w:t>, the</w:t>
      </w:r>
      <w:r>
        <w:rPr>
          <w:color w:val="000000"/>
        </w:rPr>
        <w:t xml:space="preserve"> </w:t>
      </w:r>
      <w:r>
        <w:rPr>
          <w:rFonts w:ascii="Arial" w:eastAsia="Arial" w:hAnsi="Arial" w:cs="Arial"/>
          <w:color w:val="000000"/>
        </w:rPr>
        <w:t>chapter</w:t>
      </w:r>
      <w:r>
        <w:rPr>
          <w:rFonts w:ascii="Arial" w:eastAsia="Arial" w:hAnsi="Arial" w:cs="Arial"/>
          <w:color w:val="000000"/>
        </w:rPr>
        <w:t xml:space="preserve"> will explore how the Seminole and Miccosukee’s individuality is repressed in settler colonial society through </w:t>
      </w:r>
      <w:r>
        <w:rPr>
          <w:rFonts w:ascii="Arial" w:eastAsia="Arial" w:hAnsi="Arial" w:cs="Arial"/>
          <w:color w:val="000000"/>
        </w:rPr>
        <w:lastRenderedPageBreak/>
        <w:t xml:space="preserve">commodification. To explore the commodification of Indigenous culture, the understanding of what and how commodification operates will be integral to the project. In this, the framework of what a ‘commodity’ is will be investigated to highlight how representations are constructed. This will be followed by a critical analysis of the photos written on and the relation these have to commodification. </w:t>
      </w:r>
    </w:p>
    <w:p w14:paraId="4F41C0F0" w14:textId="77777777" w:rsidR="009F0C56" w:rsidRDefault="009F0C56">
      <w:pPr>
        <w:rPr>
          <w:rFonts w:ascii="Arial" w:eastAsia="Arial" w:hAnsi="Arial" w:cs="Arial"/>
          <w:color w:val="000000"/>
        </w:rPr>
      </w:pPr>
    </w:p>
    <w:p w14:paraId="28939FA4" w14:textId="77777777" w:rsidR="009F0C56" w:rsidRDefault="00653842">
      <w:pPr>
        <w:pStyle w:val="Heading3"/>
        <w:rPr>
          <w:sz w:val="32"/>
          <w:szCs w:val="32"/>
        </w:rPr>
      </w:pPr>
      <w:bookmarkStart w:id="103" w:name="_Toc240966027"/>
      <w:r>
        <w:rPr>
          <w:sz w:val="32"/>
          <w:szCs w:val="32"/>
        </w:rPr>
        <w:t>7.2 Understanding the commodity</w:t>
      </w:r>
      <w:bookmarkEnd w:id="103"/>
    </w:p>
    <w:p w14:paraId="426011FF" w14:textId="77777777" w:rsidR="009F0C56" w:rsidRDefault="00653842">
      <w:pPr>
        <w:pBdr>
          <w:top w:val="nil"/>
          <w:left w:val="nil"/>
          <w:bottom w:val="nil"/>
          <w:right w:val="nil"/>
          <w:between w:val="nil"/>
        </w:pBdr>
        <w:spacing w:before="240" w:after="240" w:line="240" w:lineRule="auto"/>
        <w:rPr>
          <w:rFonts w:ascii="Arial" w:eastAsia="Arial" w:hAnsi="Arial" w:cs="Arial"/>
          <w:color w:val="000000"/>
        </w:rPr>
      </w:pPr>
      <w:r>
        <w:rPr>
          <w:rFonts w:ascii="Arial" w:eastAsia="Arial" w:hAnsi="Arial" w:cs="Arial"/>
          <w:color w:val="000000"/>
        </w:rPr>
        <w:t xml:space="preserve">Commodification as a concept stems from Marx’s work on capital, particularly on the idea of commodity fetishism and alienation. Marx draws from Adam Smith's work on commodities but explores at a deeper level what a commodity is and the relations it has to society (Castree, 2003). This complex relationship is traditionally rooted in an economic argument; however, this thesis also identifies elements needed to analyse the process of creating colonial representations for the Seminole and Miccosukee. </w:t>
      </w:r>
    </w:p>
    <w:p w14:paraId="7A9F3F0C" w14:textId="77777777" w:rsidR="009F0C56" w:rsidRDefault="00653842">
      <w:pPr>
        <w:pBdr>
          <w:top w:val="nil"/>
          <w:left w:val="nil"/>
          <w:bottom w:val="nil"/>
          <w:right w:val="nil"/>
          <w:between w:val="nil"/>
        </w:pBdr>
        <w:spacing w:before="240" w:after="240" w:line="240" w:lineRule="auto"/>
        <w:rPr>
          <w:rFonts w:ascii="Arial" w:eastAsia="Arial" w:hAnsi="Arial" w:cs="Arial"/>
          <w:color w:val="000000"/>
        </w:rPr>
      </w:pPr>
      <w:r>
        <w:rPr>
          <w:rFonts w:ascii="Arial" w:eastAsia="Arial" w:hAnsi="Arial" w:cs="Arial"/>
        </w:rPr>
        <w:t>The economic element here differs from the political and cultural spheres that represent distinct yet interconnected dimensions of society (Moreton 2007). This contrast can be noted through the economic factors related to the production and distribution of resources on a micro and macro level, the political factors concerning governance and power structures within a society, and the cultural elements encompassing beliefs, values, and practices. While all share commonalities, they all differ in relation to I</w:t>
      </w:r>
      <w:r>
        <w:rPr>
          <w:rFonts w:ascii="Arial" w:eastAsia="Arial" w:hAnsi="Arial" w:cs="Arial"/>
        </w:rPr>
        <w:t xml:space="preserve">ndigenous representations. </w:t>
      </w:r>
      <w:r>
        <w:rPr>
          <w:rFonts w:ascii="Arial" w:eastAsia="Arial" w:hAnsi="Arial" w:cs="Arial"/>
          <w:color w:val="000000"/>
        </w:rPr>
        <w:t>Thus, to understand the role commodification plays within representation, this work will deconstruct ideas around: commodity; commodity fetishisation; and alienation, which will be explored in relation to each other.</w:t>
      </w:r>
    </w:p>
    <w:p w14:paraId="4A42A047" w14:textId="77777777" w:rsidR="009F0C56" w:rsidRDefault="00653842">
      <w:pPr>
        <w:pStyle w:val="Heading2"/>
        <w:rPr>
          <w:rFonts w:ascii="Arial" w:eastAsia="Arial" w:hAnsi="Arial" w:cs="Arial"/>
        </w:rPr>
      </w:pPr>
      <w:bookmarkStart w:id="104" w:name="_Toc240966028"/>
      <w:r>
        <w:rPr>
          <w:rFonts w:ascii="Arial" w:eastAsia="Arial" w:hAnsi="Arial" w:cs="Arial"/>
        </w:rPr>
        <w:t>7.3 The commodity, alienation, and commodity fetishism in the cycle of representation</w:t>
      </w:r>
      <w:bookmarkEnd w:id="104"/>
    </w:p>
    <w:p w14:paraId="790B9370" w14:textId="79DDF19D" w:rsidR="009F0C56" w:rsidRDefault="00653842">
      <w:pPr>
        <w:pBdr>
          <w:top w:val="nil"/>
          <w:left w:val="nil"/>
          <w:bottom w:val="nil"/>
          <w:right w:val="nil"/>
          <w:between w:val="nil"/>
        </w:pBdr>
        <w:spacing w:before="240" w:after="240" w:line="240" w:lineRule="auto"/>
        <w:rPr>
          <w:rFonts w:ascii="Arial" w:eastAsia="Arial" w:hAnsi="Arial" w:cs="Arial"/>
          <w:color w:val="000000"/>
        </w:rPr>
      </w:pPr>
      <w:r>
        <w:rPr>
          <w:rFonts w:ascii="Arial" w:eastAsia="Arial" w:hAnsi="Arial" w:cs="Arial"/>
          <w:color w:val="000000"/>
        </w:rPr>
        <w:t xml:space="preserve">In </w:t>
      </w:r>
      <w:r>
        <w:rPr>
          <w:rFonts w:ascii="Arial" w:eastAsia="Arial" w:hAnsi="Arial" w:cs="Arial"/>
          <w:i/>
          <w:iCs/>
          <w:color w:val="000000"/>
        </w:rPr>
        <w:t>Capital, volume 1</w:t>
      </w:r>
      <w:r>
        <w:rPr>
          <w:rFonts w:ascii="Arial" w:eastAsia="Arial" w:hAnsi="Arial" w:cs="Arial"/>
          <w:color w:val="000000"/>
        </w:rPr>
        <w:t>, Marx worked to understand what a commodity is within the capitalist World, noting that when capitalism estranges the activity of the proletariat from themselves, then “</w:t>
      </w:r>
      <w:r>
        <w:rPr>
          <w:rFonts w:ascii="Arial" w:eastAsia="Arial" w:hAnsi="Arial" w:cs="Arial"/>
          <w:i/>
          <w:iCs/>
          <w:color w:val="000000"/>
        </w:rPr>
        <w:t xml:space="preserve">the </w:t>
      </w:r>
      <w:r>
        <w:rPr>
          <w:rFonts w:ascii="Arial" w:eastAsia="Arial" w:hAnsi="Arial" w:cs="Arial"/>
          <w:i/>
          <w:iCs/>
          <w:color w:val="000000"/>
        </w:rPr>
        <w:t>total of their own labour is presented to them as a social relation existing not between themselves, but between the products of their labour</w:t>
      </w:r>
      <w:r>
        <w:rPr>
          <w:rFonts w:ascii="Arial" w:eastAsia="Arial" w:hAnsi="Arial" w:cs="Arial"/>
          <w:color w:val="000000"/>
        </w:rPr>
        <w:t xml:space="preserve">” (Marx, 1971. Pg. 72). Here Marx unveiled that when one’s labour becomes independent of oneself, capitalist society augments the labour away from the </w:t>
      </w:r>
      <w:r>
        <w:rPr>
          <w:rFonts w:ascii="Arial" w:eastAsia="Arial" w:hAnsi="Arial" w:cs="Arial"/>
        </w:rPr>
        <w:t>worker, changing</w:t>
      </w:r>
      <w:r>
        <w:rPr>
          <w:rFonts w:ascii="Arial" w:eastAsia="Arial" w:hAnsi="Arial" w:cs="Arial"/>
          <w:color w:val="000000"/>
        </w:rPr>
        <w:t xml:space="preserve"> it into </w:t>
      </w:r>
      <w:r>
        <w:t xml:space="preserve">a </w:t>
      </w:r>
      <w:r>
        <w:rPr>
          <w:rFonts w:ascii="Arial" w:eastAsia="Arial" w:hAnsi="Arial" w:cs="Arial"/>
          <w:color w:val="000000"/>
        </w:rPr>
        <w:t xml:space="preserve">commodity that is to be traded for alternative commodities needed for life (Marx 19171). Importantly, </w:t>
      </w:r>
      <w:r>
        <w:rPr>
          <w:rFonts w:ascii="Arial" w:eastAsia="Arial" w:hAnsi="Arial" w:cs="Arial"/>
        </w:rPr>
        <w:t>Marx highlights that capitalists control the means of production</w:t>
      </w:r>
      <w:r w:rsidR="00CF2C48">
        <w:rPr>
          <w:rFonts w:ascii="Arial" w:eastAsia="Arial" w:hAnsi="Arial" w:cs="Arial"/>
        </w:rPr>
        <w:t>;</w:t>
      </w:r>
      <w:r>
        <w:rPr>
          <w:rFonts w:ascii="Arial" w:eastAsia="Arial" w:hAnsi="Arial" w:cs="Arial"/>
        </w:rPr>
        <w:t xml:space="preserve"> as in these examples, the worker always works for the capitalist rather than themselves; in this, their labour is controlled by the capitalist.</w:t>
      </w:r>
      <w:r>
        <w:rPr>
          <w:rFonts w:ascii="Arial" w:eastAsia="Arial" w:hAnsi="Arial" w:cs="Arial"/>
          <w:color w:val="008000"/>
        </w:rPr>
        <w:t xml:space="preserve"> </w:t>
      </w:r>
      <w:r>
        <w:rPr>
          <w:rFonts w:ascii="Arial" w:eastAsia="Arial" w:hAnsi="Arial" w:cs="Arial"/>
          <w:color w:val="000000"/>
        </w:rPr>
        <w:t>This becomes evident where Marx argued that the capitalist turns a person’s labour power into a commodity itself; this commodification of labour</w:t>
      </w:r>
      <w:r>
        <w:rPr>
          <w:rFonts w:ascii="Arial" w:eastAsia="Arial" w:hAnsi="Arial" w:cs="Arial"/>
          <w:color w:val="008000"/>
        </w:rPr>
        <w:t xml:space="preserve"> </w:t>
      </w:r>
      <w:r>
        <w:rPr>
          <w:rFonts w:ascii="Arial" w:eastAsia="Arial" w:hAnsi="Arial" w:cs="Arial"/>
        </w:rPr>
        <w:t>distances</w:t>
      </w:r>
      <w:r>
        <w:rPr>
          <w:rFonts w:ascii="Arial" w:eastAsia="Arial" w:hAnsi="Arial" w:cs="Arial"/>
          <w:color w:val="000000"/>
        </w:rPr>
        <w:t xml:space="preserve"> the worker from the work they create. Hence, the creation of a commodity is a form of distancing and separation, which works to lock people into capitalist relationships. </w:t>
      </w:r>
    </w:p>
    <w:p w14:paraId="4C24331C" w14:textId="107ABD67" w:rsidR="009F0C56" w:rsidRDefault="00653842">
      <w:pPr>
        <w:pBdr>
          <w:top w:val="nil"/>
          <w:left w:val="nil"/>
          <w:bottom w:val="nil"/>
          <w:right w:val="nil"/>
          <w:between w:val="nil"/>
        </w:pBdr>
        <w:spacing w:before="240" w:after="240" w:line="240" w:lineRule="auto"/>
        <w:rPr>
          <w:rFonts w:ascii="Arial" w:eastAsia="Arial" w:hAnsi="Arial" w:cs="Arial"/>
          <w:color w:val="000000"/>
        </w:rPr>
      </w:pPr>
      <w:r>
        <w:rPr>
          <w:rFonts w:ascii="Arial" w:eastAsia="Arial" w:hAnsi="Arial" w:cs="Arial"/>
          <w:color w:val="000000"/>
        </w:rPr>
        <w:t xml:space="preserve">This locking is done for the capitalist to profit from the proletariat. </w:t>
      </w:r>
      <w:r w:rsidR="00CF2C48">
        <w:rPr>
          <w:rFonts w:ascii="Arial" w:eastAsia="Arial" w:hAnsi="Arial" w:cs="Arial"/>
          <w:color w:val="000000"/>
        </w:rPr>
        <w:t>This</w:t>
      </w:r>
      <w:r>
        <w:rPr>
          <w:rFonts w:ascii="Arial" w:eastAsia="Arial" w:hAnsi="Arial" w:cs="Arial"/>
          <w:color w:val="000000"/>
        </w:rPr>
        <w:t xml:space="preserve"> relationship is explicitly a form of extraction that works to extract and exploit marginalised communities (Merrifield, 2011)</w:t>
      </w:r>
      <w:r>
        <w:rPr>
          <w:rFonts w:ascii="Arial" w:eastAsia="Arial" w:hAnsi="Arial" w:cs="Arial"/>
          <w:color w:val="444746"/>
        </w:rPr>
        <w:t xml:space="preserve">. </w:t>
      </w:r>
      <w:r>
        <w:rPr>
          <w:rFonts w:ascii="Arial" w:eastAsia="Arial" w:hAnsi="Arial" w:cs="Arial"/>
          <w:color w:val="000000"/>
        </w:rPr>
        <w:t xml:space="preserve">As Gilmore notes, capitalist institutions consciously </w:t>
      </w:r>
      <w:r>
        <w:rPr>
          <w:rFonts w:ascii="Arial" w:eastAsia="Arial" w:hAnsi="Arial" w:cs="Arial"/>
          <w:color w:val="000000"/>
        </w:rPr>
        <w:lastRenderedPageBreak/>
        <w:t>alter the proletariat notion and “</w:t>
      </w:r>
      <w:r>
        <w:rPr>
          <w:rFonts w:ascii="Arial" w:eastAsia="Arial" w:hAnsi="Arial" w:cs="Arial"/>
        </w:rPr>
        <w:t>shift what they do to continue extracting part of the surplus, which is to say to extract the social wage that capital is required to pay in the form of taxes and fees and so on.” (Estes, Gilmore, Loperena 2021). As Gilmore argues, capitalist systems exemplify the state's use of organised systems to manage populations produced by organised abandonment. This, alongside Wijburg et al</w:t>
      </w:r>
      <w:r w:rsidR="00CF2C48">
        <w:rPr>
          <w:rFonts w:ascii="Arial" w:eastAsia="Arial" w:hAnsi="Arial" w:cs="Arial"/>
        </w:rPr>
        <w:t>. 's</w:t>
      </w:r>
      <w:r>
        <w:rPr>
          <w:rFonts w:ascii="Arial" w:eastAsia="Arial" w:hAnsi="Arial" w:cs="Arial"/>
        </w:rPr>
        <w:t xml:space="preserve"> (2024) work on extractive tourism, highlights how proletarian extraction functions through the alienation of workers from their labour, which allows capitalists to capture surplus value while shifting the burden of fees and taxes back onto the working class. This dynamic forces workers to repurchase the goods they produce at inflated prices, embedding them further in the commodity cycle and reinforcing systemic dispossession. This alienates the proletariat from relating </w:t>
      </w:r>
      <w:r>
        <w:rPr>
          <w:rFonts w:ascii="Arial" w:eastAsia="Arial" w:hAnsi="Arial" w:cs="Arial"/>
          <w:color w:val="000000"/>
        </w:rPr>
        <w:t>to their work; rather, the proletariat views it as a commodity-commodity transaction, which entrenches them into the capitalist relation, which prevents social revolt (Saad-Filho, Morais 2018)</w:t>
      </w:r>
    </w:p>
    <w:p w14:paraId="23C9AA17" w14:textId="2F2979D6" w:rsidR="009F0C56" w:rsidRDefault="00653842">
      <w:pPr>
        <w:pBdr>
          <w:top w:val="nil"/>
          <w:left w:val="nil"/>
          <w:bottom w:val="nil"/>
          <w:right w:val="nil"/>
          <w:between w:val="nil"/>
        </w:pBdr>
        <w:spacing w:before="240" w:after="240" w:line="240" w:lineRule="auto"/>
        <w:rPr>
          <w:rFonts w:ascii="Arial" w:eastAsia="Arial" w:hAnsi="Arial" w:cs="Arial"/>
          <w:color w:val="000000"/>
        </w:rPr>
      </w:pPr>
      <w:r>
        <w:rPr>
          <w:rFonts w:ascii="Arial" w:eastAsia="Arial" w:hAnsi="Arial" w:cs="Arial"/>
          <w:color w:val="000000"/>
        </w:rPr>
        <w:t>Therefore, the idea of the commodity-commodity transaction being normalised by capitalists alienates the worker from their labour and the notion of surplus value</w:t>
      </w:r>
      <w:r w:rsidR="00CF2C48">
        <w:rPr>
          <w:rFonts w:ascii="Arial" w:eastAsia="Arial" w:hAnsi="Arial" w:cs="Arial"/>
          <w:color w:val="000000"/>
        </w:rPr>
        <w:t>.</w:t>
      </w:r>
      <w:r>
        <w:rPr>
          <w:rFonts w:ascii="Arial" w:eastAsia="Arial" w:hAnsi="Arial" w:cs="Arial"/>
          <w:color w:val="000000"/>
          <w:vertAlign w:val="superscript"/>
        </w:rPr>
        <w:footnoteReference w:id="8"/>
      </w:r>
      <w:r>
        <w:rPr>
          <w:rFonts w:ascii="Arial" w:eastAsia="Arial" w:hAnsi="Arial" w:cs="Arial"/>
          <w:color w:val="000000"/>
        </w:rPr>
        <w:t xml:space="preserve">. Marx </w:t>
      </w:r>
      <w:r>
        <w:rPr>
          <w:rFonts w:ascii="Arial" w:eastAsia="Arial" w:hAnsi="Arial" w:cs="Arial"/>
        </w:rPr>
        <w:t>writes that</w:t>
      </w:r>
      <w:r>
        <w:rPr>
          <w:rFonts w:ascii="Arial" w:eastAsia="Arial" w:hAnsi="Arial" w:cs="Arial"/>
          <w:color w:val="000000"/>
        </w:rPr>
        <w:t xml:space="preserve"> alienation is a process where the worker loses their ability to rationally act as an autonomous economic entity</w:t>
      </w:r>
      <w:r>
        <w:t xml:space="preserve">; </w:t>
      </w:r>
      <w:r>
        <w:rPr>
          <w:rFonts w:ascii="Arial" w:eastAsia="Arial" w:hAnsi="Arial" w:cs="Arial"/>
        </w:rPr>
        <w:t>instead</w:t>
      </w:r>
      <w:r>
        <w:t>,</w:t>
      </w:r>
      <w:r>
        <w:rPr>
          <w:rFonts w:ascii="Arial" w:eastAsia="Arial" w:hAnsi="Arial" w:cs="Arial"/>
          <w:color w:val="000000"/>
        </w:rPr>
        <w:t xml:space="preserve"> they become foreign to their work and the value created (Morton, 2008). This separation from their labour allows capitalists to give the impression that the worker earns a fair monetary exchange for their labour. In a hypothetical transaction, the worker could be paid £15.00 an hour. However, for this wage to be paid, the worker will need to produce goods at a higher exchange value than the labour costs being offered, say £100.00 in value. This hourly difference creates a surplus value for the capitalist o</w:t>
      </w:r>
      <w:r>
        <w:rPr>
          <w:rFonts w:ascii="Arial" w:eastAsia="Arial" w:hAnsi="Arial" w:cs="Arial"/>
          <w:color w:val="000000"/>
        </w:rPr>
        <w:t xml:space="preserve">f £85.00, even though the worker was the manufacturer (Marx, 1971). </w:t>
      </w:r>
    </w:p>
    <w:p w14:paraId="0A8F03EF" w14:textId="77777777" w:rsidR="009F0C56" w:rsidRDefault="00653842">
      <w:pPr>
        <w:pBdr>
          <w:top w:val="nil"/>
          <w:left w:val="nil"/>
          <w:bottom w:val="nil"/>
          <w:right w:val="nil"/>
          <w:between w:val="nil"/>
        </w:pBdr>
        <w:spacing w:before="240" w:after="240" w:line="240" w:lineRule="auto"/>
        <w:rPr>
          <w:rFonts w:ascii="Arial" w:eastAsia="Arial" w:hAnsi="Arial" w:cs="Arial"/>
          <w:color w:val="000000"/>
        </w:rPr>
      </w:pPr>
      <w:r>
        <w:rPr>
          <w:rFonts w:ascii="Arial" w:eastAsia="Arial" w:hAnsi="Arial" w:cs="Arial"/>
        </w:rPr>
        <w:t xml:space="preserve">Within this, alienation manifests through the separation of the worker from their labour power, producing the illusion that they earn a fair wage and generate personal profit. Rather than recognising their role in sustaining capitalist accumulation through their exploitation </w:t>
      </w:r>
      <w:r>
        <w:rPr>
          <w:rFonts w:ascii="Arial" w:eastAsia="Arial" w:hAnsi="Arial" w:cs="Arial"/>
          <w:color w:val="000000"/>
        </w:rPr>
        <w:t>(Bin, 2018). Therefore, in this transaction, the worker is coming out poorer, as through this exchange, commodities will cost more than £15 to purchase. (Marx, 1971) </w:t>
      </w:r>
      <w:r>
        <w:rPr>
          <w:rFonts w:ascii="Arial" w:eastAsia="Arial" w:hAnsi="Arial" w:cs="Arial"/>
        </w:rPr>
        <w:t xml:space="preserve">However, capitalist society is structured to make the exchange of labour for wages appear equitable, largely through the legitimisation of perceived capitalist risk in meeting market demand for commodities. It is precisely here that Marx’s notion of </w:t>
      </w:r>
      <w:r>
        <w:rPr>
          <w:rFonts w:ascii="Arial" w:eastAsia="Arial" w:hAnsi="Arial" w:cs="Arial"/>
          <w:i/>
          <w:iCs/>
        </w:rPr>
        <w:t>commodity fetishism</w:t>
      </w:r>
      <w:r>
        <w:rPr>
          <w:rFonts w:ascii="Arial" w:eastAsia="Arial" w:hAnsi="Arial" w:cs="Arial"/>
        </w:rPr>
        <w:t xml:space="preserve"> emerges, as social relations between people are obscured and reconfigured as relationships between things, reshaping how value and exploitation are represented within the market (Lindquist 2024, Marx 1992).</w:t>
      </w:r>
    </w:p>
    <w:p w14:paraId="2B96978E" w14:textId="77777777" w:rsidR="009F0C56" w:rsidRDefault="00653842">
      <w:pPr>
        <w:pStyle w:val="Heading3"/>
        <w:rPr>
          <w:sz w:val="32"/>
          <w:szCs w:val="32"/>
        </w:rPr>
      </w:pPr>
      <w:bookmarkStart w:id="105" w:name="_Toc240966029"/>
      <w:r>
        <w:rPr>
          <w:sz w:val="32"/>
          <w:szCs w:val="32"/>
        </w:rPr>
        <w:t>7.4 Commodity fetishism and the commodification of representation</w:t>
      </w:r>
      <w:bookmarkEnd w:id="105"/>
    </w:p>
    <w:p w14:paraId="4B40F11C" w14:textId="77777777" w:rsidR="009F0C56" w:rsidRDefault="00653842">
      <w:pPr>
        <w:pBdr>
          <w:top w:val="nil"/>
          <w:left w:val="nil"/>
          <w:bottom w:val="nil"/>
          <w:right w:val="nil"/>
          <w:between w:val="nil"/>
        </w:pBdr>
        <w:spacing w:before="240" w:after="240" w:line="240" w:lineRule="auto"/>
        <w:rPr>
          <w:rFonts w:ascii="Arial" w:eastAsia="Arial" w:hAnsi="Arial" w:cs="Arial"/>
          <w:color w:val="000000"/>
        </w:rPr>
      </w:pPr>
      <w:r>
        <w:rPr>
          <w:rFonts w:ascii="Arial" w:eastAsia="Arial" w:hAnsi="Arial" w:cs="Arial"/>
        </w:rPr>
        <w:t xml:space="preserve">Commodity fetishism operates by embedding itself within the social consciousness, through attributing economic value to commodities based not on their material utility or the labour that produces them, but on representations shaped and sustained by the market. In this process, value becomes a floating signifier, detached from any </w:t>
      </w:r>
      <w:r>
        <w:rPr>
          <w:rFonts w:ascii="Arial" w:eastAsia="Arial" w:hAnsi="Arial" w:cs="Arial"/>
        </w:rPr>
        <w:lastRenderedPageBreak/>
        <w:t>fixed material referent; instead, it is shaped by the shifting, dematerialised consciousness of capitalism</w:t>
      </w:r>
      <w:r>
        <w:rPr>
          <w:rFonts w:ascii="Arial" w:eastAsia="Arial" w:hAnsi="Arial" w:cs="Arial"/>
          <w:color w:val="000000"/>
        </w:rPr>
        <w:t xml:space="preserve"> (Sherlock 1997). As such, value is fluid and malleable, dependent on how a commodity is marketed and perceived, and is constructed through variables such as time, perceived scarcity, or imagined desire, all of which work to imbue commodities with an aura of significance. A key example is the diamond: despite being geologically abundant, it has been transformed into a rare and luxurious item through persistent marketing and cultural narratives (Marx 1971, Harvey 2001). Here, representations from capitalist </w:t>
      </w:r>
      <w:r>
        <w:rPr>
          <w:rFonts w:ascii="Arial" w:eastAsia="Arial" w:hAnsi="Arial" w:cs="Arial"/>
          <w:color w:val="000000"/>
        </w:rPr>
        <w:t xml:space="preserve">society dictate an imagined history of an item or form of labour. These representations work to create values and commodify an item in the market. </w:t>
      </w:r>
    </w:p>
    <w:p w14:paraId="156EA6CD" w14:textId="77777777" w:rsidR="009F0C56" w:rsidRDefault="00653842">
      <w:pPr>
        <w:pBdr>
          <w:top w:val="nil"/>
          <w:left w:val="nil"/>
          <w:bottom w:val="nil"/>
          <w:right w:val="nil"/>
          <w:between w:val="nil"/>
        </w:pBdr>
        <w:spacing w:before="240" w:after="240" w:line="240" w:lineRule="auto"/>
        <w:rPr>
          <w:rFonts w:ascii="Arial" w:eastAsia="Arial" w:hAnsi="Arial" w:cs="Arial"/>
          <w:color w:val="000000"/>
        </w:rPr>
      </w:pPr>
      <w:r>
        <w:rPr>
          <w:rFonts w:ascii="Arial" w:eastAsia="Arial" w:hAnsi="Arial" w:cs="Arial"/>
          <w:color w:val="000000"/>
        </w:rPr>
        <w:t>In this, commodifying an object gives a commodity an imagined exchange value while also creating an assemblage of signifiers that work to highlight a false or invented truth. Through this invented truth, the commodity is attributed with signifiers constructed and controlled by capitalists (Wolfe, 2016). The discourse around the commodity then assumes alternative representations, forming alternate discourses that serve the interests of capital by reshaping how objects and, by extension, subjects are perceive</w:t>
      </w:r>
      <w:r>
        <w:rPr>
          <w:rFonts w:ascii="Arial" w:eastAsia="Arial" w:hAnsi="Arial" w:cs="Arial"/>
          <w:color w:val="000000"/>
        </w:rPr>
        <w:t xml:space="preserve">d (Nitzan Bichler 2009). This logic is not limited to material goods but extends to people and identities. A striking example of this can be seen in settler colonial contexts, where the manipulation of Indigenous identity mirrors the same representational violence used in commodity fetishism. </w:t>
      </w:r>
    </w:p>
    <w:p w14:paraId="5101C1F7" w14:textId="657740D6" w:rsidR="009F0C56" w:rsidRDefault="00653842">
      <w:pPr>
        <w:pBdr>
          <w:top w:val="nil"/>
          <w:left w:val="nil"/>
          <w:bottom w:val="nil"/>
          <w:right w:val="nil"/>
          <w:between w:val="nil"/>
        </w:pBdr>
        <w:spacing w:before="240" w:after="240" w:line="240" w:lineRule="auto"/>
        <w:rPr>
          <w:rFonts w:ascii="Arial" w:eastAsia="Arial" w:hAnsi="Arial" w:cs="Arial"/>
        </w:rPr>
      </w:pPr>
      <w:r>
        <w:rPr>
          <w:rFonts w:ascii="Arial" w:eastAsia="Arial" w:hAnsi="Arial" w:cs="Arial"/>
        </w:rPr>
        <w:t xml:space="preserve">Waters (2004) highlights how settlers, through ignorance and power, constructed a new Indigeneity rooted in the “complicity, hyper-bounded, value-laden, binary dualist constructs,” projecting narrow interpretations of individual Indigenous actions onto entire communities (p. 101). These constructed representations are anchored in a Eurocentric epistemology that </w:t>
      </w:r>
      <w:r w:rsidR="00CF2C48">
        <w:rPr>
          <w:rFonts w:ascii="Arial" w:eastAsia="Arial" w:hAnsi="Arial" w:cs="Arial"/>
        </w:rPr>
        <w:t>positions</w:t>
      </w:r>
      <w:r>
        <w:rPr>
          <w:rFonts w:ascii="Arial" w:eastAsia="Arial" w:hAnsi="Arial" w:cs="Arial"/>
        </w:rPr>
        <w:t xml:space="preserve"> Indigenous peoples as simultaneously part of and separate from settler space. These binaries are deeply embedded in European languages, as highlighted by Waters' argument, leading to a discussion of the homogenised "Indian" that allows for the conflation of Seminole with Lakota representations.</w:t>
      </w:r>
      <w:r>
        <w:rPr>
          <w:rFonts w:ascii="Quattrocento Sans" w:eastAsia="Quattrocento Sans" w:hAnsi="Quattrocento Sans" w:cs="Quattrocento Sans"/>
          <w:sz w:val="18"/>
          <w:szCs w:val="18"/>
        </w:rPr>
        <w:t xml:space="preserve"> </w:t>
      </w:r>
      <w:r>
        <w:rPr>
          <w:rFonts w:ascii="Arial" w:eastAsia="Arial" w:hAnsi="Arial" w:cs="Arial"/>
          <w:color w:val="000000"/>
        </w:rPr>
        <w:t>As Tlostanova and Mignolo (2012) argue, this partial assimilation creates a value-laden identity for the Indigenous subjects that alienates them from their self-definitions, reinforcing a</w:t>
      </w:r>
      <w:r>
        <w:rPr>
          <w:rFonts w:ascii="Arial" w:eastAsia="Arial" w:hAnsi="Arial" w:cs="Arial"/>
          <w:color w:val="008000"/>
        </w:rPr>
        <w:t xml:space="preserve"> </w:t>
      </w:r>
      <w:r>
        <w:rPr>
          <w:rFonts w:ascii="Arial" w:eastAsia="Arial" w:hAnsi="Arial" w:cs="Arial"/>
        </w:rPr>
        <w:t>binarized and hierarchical worldview.</w:t>
      </w:r>
    </w:p>
    <w:p w14:paraId="4B7B031C" w14:textId="279154BD" w:rsidR="009F0C56" w:rsidRDefault="00653842">
      <w:pPr>
        <w:spacing w:before="280" w:after="280" w:line="240" w:lineRule="auto"/>
        <w:rPr>
          <w:rFonts w:ascii="Arial" w:eastAsia="Arial" w:hAnsi="Arial" w:cs="Arial"/>
        </w:rPr>
      </w:pPr>
      <w:r>
        <w:rPr>
          <w:rFonts w:ascii="Arial" w:eastAsia="Arial" w:hAnsi="Arial" w:cs="Arial"/>
        </w:rPr>
        <w:t xml:space="preserve">This process of </w:t>
      </w:r>
      <w:r w:rsidR="00CF2C48">
        <w:rPr>
          <w:rFonts w:ascii="Arial" w:eastAsia="Arial" w:hAnsi="Arial" w:cs="Arial"/>
          <w:color w:val="000000"/>
        </w:rPr>
        <w:t>binarisation</w:t>
      </w:r>
      <w:r>
        <w:rPr>
          <w:rFonts w:ascii="Arial" w:eastAsia="Arial" w:hAnsi="Arial" w:cs="Arial"/>
          <w:color w:val="000000"/>
        </w:rPr>
        <w:t xml:space="preserve"> further reinforces the notion of a singular, homogenised settler Indian identity, effectively erasing the cultural specificity and self-determined identities of the Seminole and Miccosukee as discussed during the homogenisation chapter. An example of this relationship is the commodification of the dreamcatcher, which will be examined later in this chapter. While widely circulated within settler capitalist society, the dream catcher exemplifies how Indigenous representations are appropriated and commerciali</w:t>
      </w:r>
      <w:r>
        <w:rPr>
          <w:rFonts w:ascii="Arial" w:eastAsia="Arial" w:hAnsi="Arial" w:cs="Arial"/>
          <w:color w:val="000000"/>
        </w:rPr>
        <w:t xml:space="preserve">sed to generate profit, while simultaneously erasing the distinct cultural expressions of specific Indigenous nations, like the Seminole and Miccosukee (Aldred 2000). Therefore, by commodifying a generalised and decontextualised </w:t>
      </w:r>
      <w:r>
        <w:rPr>
          <w:rFonts w:ascii="Arial" w:eastAsia="Arial" w:hAnsi="Arial" w:cs="Arial"/>
        </w:rPr>
        <w:t xml:space="preserve">"Indian" identity, settler society can overwrite Indigenous self-representation and suppress forms of cultural expression that might otherwise challenge the dominant settler capitalist colonial order. </w:t>
      </w:r>
    </w:p>
    <w:p w14:paraId="493335F8"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 xml:space="preserve">As Cordova (2007) argues, these acts of appropriation function as mechanisms of control, ensuring that representations of Indigeneity remain palatable, non-threatening, and aligned with settler interests. Here, fetishisation and </w:t>
      </w:r>
      <w:r>
        <w:rPr>
          <w:rFonts w:ascii="Arial" w:eastAsia="Arial" w:hAnsi="Arial" w:cs="Arial"/>
          <w:color w:val="000000"/>
        </w:rPr>
        <w:lastRenderedPageBreak/>
        <w:t>commodification of Indigenous imagery serve not only to generate capital but also to secure a narrative of truth that cannot be easily contested. In this, the exploitative and racist foundations of these relationships are concealed and transformed into myth through the very act of commodification. These power structures will be examined further in the following section.</w:t>
      </w:r>
    </w:p>
    <w:p w14:paraId="4CAA3B0B" w14:textId="77777777" w:rsidR="009F0C56" w:rsidRDefault="00653842">
      <w:pPr>
        <w:pStyle w:val="Heading3"/>
        <w:rPr>
          <w:sz w:val="32"/>
          <w:szCs w:val="32"/>
        </w:rPr>
      </w:pPr>
      <w:bookmarkStart w:id="106" w:name="_Toc240966030"/>
      <w:r>
        <w:rPr>
          <w:sz w:val="32"/>
          <w:szCs w:val="32"/>
        </w:rPr>
        <w:t>7.5 The intersection of race, capital, commodification, and Indigeneity</w:t>
      </w:r>
      <w:bookmarkEnd w:id="106"/>
    </w:p>
    <w:p w14:paraId="39A7E791" w14:textId="77777777" w:rsidR="009F0C56" w:rsidRDefault="00653842">
      <w:pPr>
        <w:pBdr>
          <w:top w:val="nil"/>
          <w:left w:val="nil"/>
          <w:bottom w:val="nil"/>
          <w:right w:val="nil"/>
          <w:between w:val="nil"/>
        </w:pBdr>
        <w:spacing w:before="240" w:after="240" w:line="240" w:lineRule="auto"/>
        <w:rPr>
          <w:rFonts w:ascii="Arial" w:eastAsia="Arial" w:hAnsi="Arial" w:cs="Arial"/>
        </w:rPr>
      </w:pPr>
      <w:r>
        <w:rPr>
          <w:rFonts w:ascii="Arial" w:eastAsia="Arial" w:hAnsi="Arial" w:cs="Arial"/>
          <w:color w:val="000000"/>
        </w:rPr>
        <w:t>In this context of the racial / capital intersections of Indigeneity, it will be noted that the convergence of power in the commodification of Indigenous communities in Florida asserts that all capital is racialised (Robinson 2000). In The White Possessive, Moreton-Robinson explores the racialisation of capital in the Australian context, focusing on Indigenous communities (Moreton-Robinson, 2015). Moreton-Robinson argues that proximity to patriarchal whiteness determines access to power within the capitalis</w:t>
      </w:r>
      <w:r>
        <w:rPr>
          <w:rFonts w:ascii="Arial" w:eastAsia="Arial" w:hAnsi="Arial" w:cs="Arial"/>
          <w:color w:val="000000"/>
        </w:rPr>
        <w:t xml:space="preserve">t matrix, noting that “patriarchal whiteness manifested itself in Australian law by defining who was and who was not white and conferred privilege by identifying what legal entitlements accrued to those </w:t>
      </w:r>
      <w:r>
        <w:rPr>
          <w:rFonts w:ascii="Arial" w:eastAsia="Arial" w:hAnsi="Arial" w:cs="Arial"/>
        </w:rPr>
        <w:t xml:space="preserve">categorised as white. Whiteness became a form of property” (Moreton-Robinson 2015, p. 66). </w:t>
      </w:r>
    </w:p>
    <w:p w14:paraId="796B85F5" w14:textId="133E88AF" w:rsidR="009F0C56" w:rsidRDefault="00653842">
      <w:pPr>
        <w:pBdr>
          <w:top w:val="nil"/>
          <w:left w:val="nil"/>
          <w:bottom w:val="nil"/>
          <w:right w:val="nil"/>
          <w:between w:val="nil"/>
        </w:pBdr>
        <w:spacing w:before="240" w:after="240" w:line="240" w:lineRule="auto"/>
        <w:rPr>
          <w:rFonts w:ascii="Arial" w:eastAsia="Arial" w:hAnsi="Arial" w:cs="Arial"/>
          <w:sz w:val="36"/>
          <w:szCs w:val="36"/>
        </w:rPr>
      </w:pPr>
      <w:r>
        <w:rPr>
          <w:rFonts w:ascii="Arial" w:eastAsia="Arial" w:hAnsi="Arial" w:cs="Arial"/>
        </w:rPr>
        <w:t xml:space="preserve">Moreton-Robinson’s framework expands upon Marx’s concept of capital, emphasising that the capitalist system is not merely class-based, but structured through a deeper colonial matrix of power, akin to what Aníbal Quijano terms the coloniality of power (Quijano 2007). This, along with authors such as Gilmore and Robinson, explores </w:t>
      </w:r>
      <w:r w:rsidR="00CF2C48">
        <w:rPr>
          <w:rFonts w:ascii="Arial" w:eastAsia="Arial" w:hAnsi="Arial" w:cs="Arial"/>
        </w:rPr>
        <w:t>how</w:t>
      </w:r>
      <w:r>
        <w:rPr>
          <w:rFonts w:ascii="Arial" w:eastAsia="Arial" w:hAnsi="Arial" w:cs="Arial"/>
        </w:rPr>
        <w:t xml:space="preserve"> racial capitalism points to racialisation as a tool for defining who is most ‘disposable’ in terms of primitive accumulation and then super-exploitation of labour through acts such as slavery.</w:t>
      </w:r>
      <w:r>
        <w:rPr>
          <w:rFonts w:ascii="Arial" w:eastAsia="Arial" w:hAnsi="Arial" w:cs="Arial"/>
          <w:sz w:val="36"/>
          <w:szCs w:val="36"/>
        </w:rPr>
        <w:t xml:space="preserve"> </w:t>
      </w:r>
    </w:p>
    <w:p w14:paraId="2CFEF181" w14:textId="77777777" w:rsidR="009F0C56" w:rsidRDefault="00653842">
      <w:pPr>
        <w:pBdr>
          <w:top w:val="nil"/>
          <w:left w:val="nil"/>
          <w:bottom w:val="nil"/>
          <w:right w:val="nil"/>
          <w:between w:val="nil"/>
        </w:pBdr>
        <w:spacing w:before="240" w:after="240" w:line="240" w:lineRule="auto"/>
        <w:rPr>
          <w:rFonts w:ascii="Arial" w:eastAsia="Arial" w:hAnsi="Arial" w:cs="Arial"/>
          <w:color w:val="000000"/>
          <w:sz w:val="36"/>
          <w:szCs w:val="36"/>
        </w:rPr>
      </w:pPr>
      <w:r>
        <w:rPr>
          <w:rFonts w:ascii="Arial" w:eastAsia="Arial" w:hAnsi="Arial" w:cs="Arial"/>
        </w:rPr>
        <w:t xml:space="preserve">Accordingly, through adopting this decolonial perspective, this study argues that capitalism works to entrench and reproduce colonial power dynamics globally, especially for colonised and marginalised communities. Where the capitalist system maintains these hierarchies through the interlocking structures of what bell hooks (1984) calls the “white-supremacist capitalist patriarchy,” where control over representation functions as a key mechanism of domination. </w:t>
      </w:r>
      <w:r>
        <w:rPr>
          <w:rFonts w:ascii="Arial" w:eastAsia="Arial" w:hAnsi="Arial" w:cs="Arial"/>
          <w:color w:val="000000"/>
        </w:rPr>
        <w:t>Through these interlocking settler-capitalist power structures, commodification becomes an integral tool to maintain the capitalist hierarchies that profit from the exploitation of global marginalised bodies. Within this, commodification and representation become entwined and inseparable, and are used to strengthen the settler colonial sphere of dominance on the conscious and unconscious levels of racial capitalism.</w:t>
      </w:r>
    </w:p>
    <w:p w14:paraId="4B83B21C" w14:textId="6C940C29" w:rsidR="009F0C56" w:rsidRDefault="00653842">
      <w:pPr>
        <w:spacing w:before="280" w:after="280" w:line="240" w:lineRule="auto"/>
        <w:rPr>
          <w:rFonts w:ascii="Arial" w:eastAsia="Arial" w:hAnsi="Arial" w:cs="Arial"/>
          <w:color w:val="000000"/>
        </w:rPr>
      </w:pPr>
      <w:r>
        <w:rPr>
          <w:rFonts w:ascii="Arial" w:eastAsia="Arial" w:hAnsi="Arial" w:cs="Arial"/>
          <w:color w:val="000000"/>
        </w:rPr>
        <w:t xml:space="preserve">This further grounds the racialised workings of capitalism, but </w:t>
      </w:r>
      <w:r w:rsidR="00CF2C48">
        <w:rPr>
          <w:rFonts w:ascii="Arial" w:eastAsia="Arial" w:hAnsi="Arial" w:cs="Arial"/>
          <w:color w:val="000000"/>
        </w:rPr>
        <w:t>raises</w:t>
      </w:r>
      <w:r>
        <w:rPr>
          <w:rFonts w:ascii="Arial" w:eastAsia="Arial" w:hAnsi="Arial" w:cs="Arial"/>
          <w:color w:val="000000"/>
        </w:rPr>
        <w:t xml:space="preserve"> questions of how racial capitalism and settler colonialism operate. Settler colonial structures operate through the racialisation and separation of Indigenous and Black subjects. This separation is particularly significant in the case of the Seminole, which has deep familial and historical ties with Black communities, as discussed in the literature review (Seminole, 2023). Here, settler colonialism is understood to sever these ties by locating Blackness and Indigeneity in distinct, non-overlapping racial c</w:t>
      </w:r>
      <w:r>
        <w:rPr>
          <w:rFonts w:ascii="Arial" w:eastAsia="Arial" w:hAnsi="Arial" w:cs="Arial"/>
          <w:color w:val="000000"/>
        </w:rPr>
        <w:t xml:space="preserve">ategories (Bruyneel 2021). Fanon (2001) notes how this </w:t>
      </w:r>
      <w:r w:rsidR="00CF2C48">
        <w:rPr>
          <w:rFonts w:ascii="Arial" w:eastAsia="Arial" w:hAnsi="Arial" w:cs="Arial"/>
          <w:color w:val="000000"/>
        </w:rPr>
        <w:t>binarization</w:t>
      </w:r>
      <w:r>
        <w:rPr>
          <w:rFonts w:ascii="Arial" w:eastAsia="Arial" w:hAnsi="Arial" w:cs="Arial"/>
          <w:color w:val="000000"/>
        </w:rPr>
        <w:t xml:space="preserve"> is central to colonial regimes of control, which isolate and redefine communities through imposed racial </w:t>
      </w:r>
      <w:r>
        <w:rPr>
          <w:rFonts w:ascii="Arial" w:eastAsia="Arial" w:hAnsi="Arial" w:cs="Arial"/>
          <w:color w:val="000000"/>
        </w:rPr>
        <w:lastRenderedPageBreak/>
        <w:t xml:space="preserve">logics. Sithole (2016) expands this, arguing that the Black subject, within settler colonial frameworks, “exists in exclusionary structures of reality, which renders the existence of such a subject as a non-existence” (p. 27). </w:t>
      </w:r>
    </w:p>
    <w:p w14:paraId="1654CA9E" w14:textId="77777777" w:rsidR="009F0C56" w:rsidRDefault="00653842">
      <w:pPr>
        <w:spacing w:before="280" w:after="280" w:line="240" w:lineRule="auto"/>
        <w:rPr>
          <w:rFonts w:ascii="Arial" w:eastAsia="Arial" w:hAnsi="Arial" w:cs="Arial"/>
        </w:rPr>
      </w:pPr>
      <w:r>
        <w:rPr>
          <w:rFonts w:ascii="Arial" w:eastAsia="Arial" w:hAnsi="Arial" w:cs="Arial"/>
          <w:color w:val="000000"/>
        </w:rPr>
        <w:t xml:space="preserve">In this way, settler colonialism constructs bounded and oppositional racial categories that work to erase complex interwoven histories, while positioning white-settler society at the centre of all relations, rendering others peripheral and subordinate. As by having one form of racialisation, justifying the violent appropriation of labour, and another, justifying the violent appropriation of land, even though there are overlaps within these constructed boundaries. This separation allowed the settler society </w:t>
      </w:r>
      <w:r>
        <w:rPr>
          <w:rFonts w:ascii="Arial" w:eastAsia="Arial" w:hAnsi="Arial" w:cs="Arial"/>
          <w:color w:val="000000"/>
        </w:rPr>
        <w:t xml:space="preserve">to </w:t>
      </w:r>
      <w:r>
        <w:rPr>
          <w:rFonts w:ascii="Arial" w:eastAsia="Arial" w:hAnsi="Arial" w:cs="Arial"/>
        </w:rPr>
        <w:t>dispossess the oppressed communities of joint anti-colonial resistance. Bruyneel, in his work on settler memory, highlights how Blackness and Indigeneity were crucially and structurally separated to prevent the “cross-race, working-class coalition”. (Bruyneel 2021. Pg. 28)</w:t>
      </w:r>
    </w:p>
    <w:p w14:paraId="4DEDDF32" w14:textId="77777777" w:rsidR="009F0C56" w:rsidRDefault="00653842">
      <w:pPr>
        <w:spacing w:before="280" w:after="280" w:line="240" w:lineRule="auto"/>
        <w:rPr>
          <w:rFonts w:ascii="Arial" w:eastAsia="Arial" w:hAnsi="Arial" w:cs="Arial"/>
        </w:rPr>
      </w:pPr>
      <w:r>
        <w:rPr>
          <w:rFonts w:ascii="Arial" w:eastAsia="Arial" w:hAnsi="Arial" w:cs="Arial"/>
          <w:color w:val="000000"/>
        </w:rPr>
        <w:t>Therefore, this research seeks to interrogate the commodification of race within the settler-colonial-capitalist framework. Thus, tracing the origins of commodification and examining how societies relate to commodities, the work will analyse the representational practices that enable the continued subjugation of Seminole and Miccosukee communities. Further drawing on critical theory and visual geographies, the study will explore how Indigenous ontologies, cultures, and epistemologies are appropriated and co</w:t>
      </w:r>
      <w:r>
        <w:rPr>
          <w:rFonts w:ascii="Arial" w:eastAsia="Arial" w:hAnsi="Arial" w:cs="Arial"/>
          <w:color w:val="000000"/>
        </w:rPr>
        <w:t>mmodified, revealing how these representational forms function as tools of repression within settler colonial power structures</w:t>
      </w:r>
      <w:r>
        <w:rPr>
          <w:rFonts w:ascii="Arial" w:eastAsia="Arial" w:hAnsi="Arial" w:cs="Arial"/>
          <w:color w:val="008000"/>
        </w:rPr>
        <w:t>.</w:t>
      </w:r>
    </w:p>
    <w:p w14:paraId="39986C2A" w14:textId="77777777" w:rsidR="009F0C56" w:rsidRDefault="00653842">
      <w:pPr>
        <w:pStyle w:val="Heading3"/>
        <w:rPr>
          <w:sz w:val="32"/>
          <w:szCs w:val="32"/>
        </w:rPr>
      </w:pPr>
      <w:bookmarkStart w:id="107" w:name="_Toc240966031"/>
      <w:r>
        <w:rPr>
          <w:sz w:val="32"/>
          <w:szCs w:val="32"/>
        </w:rPr>
        <w:t>7.6 Purchasing the Indigenous</w:t>
      </w:r>
      <w:bookmarkEnd w:id="107"/>
      <w:r>
        <w:rPr>
          <w:sz w:val="32"/>
          <w:szCs w:val="32"/>
        </w:rPr>
        <w:t xml:space="preserve"> </w:t>
      </w:r>
    </w:p>
    <w:p w14:paraId="277A496C" w14:textId="2E996D3B" w:rsidR="009F0C56" w:rsidRDefault="00653842">
      <w:pPr>
        <w:spacing w:before="240" w:after="240" w:line="240" w:lineRule="auto"/>
        <w:rPr>
          <w:rFonts w:ascii="Arial" w:eastAsia="Arial" w:hAnsi="Arial" w:cs="Arial"/>
          <w:color w:val="000000"/>
        </w:rPr>
      </w:pPr>
      <w:r>
        <w:rPr>
          <w:rFonts w:ascii="Arial" w:eastAsia="Arial" w:hAnsi="Arial" w:cs="Arial"/>
          <w:color w:val="000000"/>
        </w:rPr>
        <w:t xml:space="preserve">In this section, an analysis of how settler society has created a purchasable Indigenous narrative/interaction will be explored. Using visual geographies, the section breaks down images collected from the fieldwork to highlight how Indigenous signifiers are moulded by the settler state and sold to the settler populace as authentic Indigenous </w:t>
      </w:r>
      <w:r>
        <w:rPr>
          <w:rFonts w:ascii="Arial" w:eastAsia="Arial" w:hAnsi="Arial" w:cs="Arial"/>
        </w:rPr>
        <w:t>knowledge</w:t>
      </w:r>
      <w:r>
        <w:rPr>
          <w:rFonts w:ascii="Arial" w:eastAsia="Arial" w:hAnsi="Arial" w:cs="Arial"/>
          <w:color w:val="000000"/>
        </w:rPr>
        <w:t xml:space="preserve"> and items. Functioning</w:t>
      </w:r>
      <w:r>
        <w:t xml:space="preserve"> </w:t>
      </w:r>
      <w:r>
        <w:rPr>
          <w:rFonts w:ascii="Arial" w:eastAsia="Arial" w:hAnsi="Arial" w:cs="Arial"/>
          <w:color w:val="000000"/>
        </w:rPr>
        <w:t xml:space="preserve">to </w:t>
      </w:r>
      <w:r w:rsidR="00CF2C48">
        <w:rPr>
          <w:rFonts w:ascii="Arial" w:eastAsia="Arial" w:hAnsi="Arial" w:cs="Arial"/>
          <w:color w:val="000000"/>
        </w:rPr>
        <w:t>alienate</w:t>
      </w:r>
      <w:r>
        <w:rPr>
          <w:rFonts w:ascii="Arial" w:eastAsia="Arial" w:hAnsi="Arial" w:cs="Arial"/>
          <w:color w:val="000000"/>
        </w:rPr>
        <w:t xml:space="preserve"> the settler populace away from the true Identity of the Seminole and Miccosukee, which erases their ontologies and epistemologies as separate from the settler Indian.</w:t>
      </w:r>
    </w:p>
    <w:p w14:paraId="195F76A0" w14:textId="77777777" w:rsidR="009F0C56" w:rsidRDefault="00653842">
      <w:pPr>
        <w:pStyle w:val="Heading3"/>
        <w:rPr>
          <w:sz w:val="32"/>
          <w:szCs w:val="32"/>
        </w:rPr>
      </w:pPr>
      <w:bookmarkStart w:id="108" w:name="_Toc240966032"/>
      <w:r>
        <w:rPr>
          <w:sz w:val="32"/>
          <w:szCs w:val="32"/>
        </w:rPr>
        <w:t>7.7 Indigenous culture as a purchasable concept</w:t>
      </w:r>
      <w:bookmarkEnd w:id="108"/>
    </w:p>
    <w:p w14:paraId="7E56890D" w14:textId="1E752831" w:rsidR="009F0C56" w:rsidRDefault="00653842">
      <w:pPr>
        <w:rPr>
          <w:rFonts w:ascii="Arial" w:eastAsia="Arial" w:hAnsi="Arial" w:cs="Arial"/>
          <w:color w:val="000000"/>
        </w:rPr>
      </w:pPr>
      <w:r>
        <w:rPr>
          <w:rFonts w:ascii="Arial" w:eastAsia="Arial" w:hAnsi="Arial" w:cs="Arial"/>
          <w:color w:val="000000"/>
        </w:rPr>
        <w:t xml:space="preserve">One manner in which the commodification of Indigenous culture occurs is noted through engaging with Indigenous ‘authentic’ stereotypes. </w:t>
      </w:r>
      <w:r>
        <w:rPr>
          <w:rFonts w:ascii="Arial" w:eastAsia="Arial" w:hAnsi="Arial" w:cs="Arial"/>
        </w:rPr>
        <w:t>As seen in Figure 8, the theme of accessing the “authentic Indian” becomes apparent via the market, where settlers are encouraged to purchase their way into an imagined Indigeneity. Aldred (2000) argues that settlers often “romanticise 'authentic' and 'traditional' Indigenous culture whose spirituality can save them from their own sense of malaise</w:t>
      </w:r>
      <w:r>
        <w:rPr>
          <w:rFonts w:ascii="Arial" w:eastAsia="Arial" w:hAnsi="Arial" w:cs="Arial"/>
          <w:color w:val="000000"/>
        </w:rPr>
        <w:t>” (Aldred 2000, Pg. 329</w:t>
      </w:r>
      <w:r w:rsidR="00CF2C48">
        <w:rPr>
          <w:rFonts w:ascii="Arial" w:eastAsia="Arial" w:hAnsi="Arial" w:cs="Arial"/>
          <w:color w:val="000000"/>
        </w:rPr>
        <w:t>;</w:t>
      </w:r>
      <w:r>
        <w:rPr>
          <w:rFonts w:ascii="Arial" w:eastAsia="Arial" w:hAnsi="Arial" w:cs="Arial"/>
          <w:color w:val="000000"/>
        </w:rPr>
        <w:t xml:space="preserve"> Mategui 1971). Aldred notes this need for a spiritual home is not neutral or respectful, rather, it relies on and perpetuates settler colonial representations of Indigeneity, which flatten the complexity and commodify sacred knowledge systems, as shown below in Figure 8.</w:t>
      </w:r>
    </w:p>
    <w:p w14:paraId="58D4A903" w14:textId="77777777" w:rsidR="009F0C56" w:rsidRDefault="009F0C56">
      <w:pPr>
        <w:spacing w:before="240" w:after="240" w:line="240" w:lineRule="auto"/>
        <w:rPr>
          <w:rFonts w:ascii="Arial" w:eastAsia="Arial" w:hAnsi="Arial" w:cs="Arial"/>
          <w:color w:val="000000"/>
          <w:sz w:val="18"/>
          <w:szCs w:val="18"/>
        </w:rPr>
      </w:pPr>
    </w:p>
    <w:p w14:paraId="7164CA81" w14:textId="77777777" w:rsidR="009F0C56" w:rsidRDefault="009F0C56">
      <w:pPr>
        <w:spacing w:before="240" w:after="240" w:line="240" w:lineRule="auto"/>
        <w:rPr>
          <w:rFonts w:ascii="Arial" w:eastAsia="Arial" w:hAnsi="Arial" w:cs="Arial"/>
          <w:color w:val="000000"/>
          <w:sz w:val="18"/>
          <w:szCs w:val="18"/>
        </w:rPr>
      </w:pPr>
    </w:p>
    <w:p w14:paraId="42B99EB7" w14:textId="77777777" w:rsidR="009F0C56" w:rsidRDefault="009F0C56">
      <w:pPr>
        <w:spacing w:before="240" w:after="240" w:line="240" w:lineRule="auto"/>
        <w:rPr>
          <w:rFonts w:ascii="Arial" w:eastAsia="Arial" w:hAnsi="Arial" w:cs="Arial"/>
          <w:color w:val="000000"/>
          <w:sz w:val="18"/>
          <w:szCs w:val="18"/>
        </w:rPr>
      </w:pPr>
    </w:p>
    <w:p w14:paraId="660AA307" w14:textId="77777777" w:rsidR="009F0C56" w:rsidRDefault="00653842">
      <w:pPr>
        <w:spacing w:before="240" w:after="240" w:line="240" w:lineRule="auto"/>
        <w:rPr>
          <w:rFonts w:ascii="Arial" w:eastAsia="Arial" w:hAnsi="Arial" w:cs="Arial"/>
          <w:sz w:val="18"/>
          <w:szCs w:val="18"/>
        </w:rPr>
      </w:pPr>
      <w:bookmarkStart w:id="109" w:name="_heading=h.38r9e4xfmeub" w:colFirst="0" w:colLast="0"/>
      <w:bookmarkEnd w:id="109"/>
      <w:r>
        <w:rPr>
          <w:rFonts w:ascii="Arial" w:eastAsia="Arial" w:hAnsi="Arial" w:cs="Arial"/>
          <w:color w:val="000000"/>
          <w:sz w:val="18"/>
          <w:szCs w:val="18"/>
        </w:rPr>
        <w:t>Figure 8 – covers of books in Barnes and Noble Book Shop Miami, 19/07/23</w:t>
      </w:r>
    </w:p>
    <w:p w14:paraId="411D277F" w14:textId="77777777" w:rsidR="009F0C56" w:rsidRDefault="00653842">
      <w:pPr>
        <w:spacing w:before="240" w:after="240" w:line="240" w:lineRule="auto"/>
        <w:rPr>
          <w:rFonts w:ascii="Arial" w:eastAsia="Arial" w:hAnsi="Arial" w:cs="Arial"/>
          <w:color w:val="000000"/>
        </w:rPr>
      </w:pPr>
      <w:r>
        <w:rPr>
          <w:rFonts w:ascii="Arial" w:eastAsia="Arial" w:hAnsi="Arial" w:cs="Arial"/>
        </w:rPr>
        <w:t xml:space="preserve">     </w:t>
      </w:r>
      <w:r>
        <w:rPr>
          <w:noProof/>
        </w:rPr>
        <w:drawing>
          <wp:anchor distT="0" distB="0" distL="114300" distR="114300" simplePos="0" relativeHeight="251662336" behindDoc="0" locked="0" layoutInCell="1" hidden="0" allowOverlap="1" wp14:anchorId="41C792CA" wp14:editId="20573A02">
            <wp:simplePos x="0" y="0"/>
            <wp:positionH relativeFrom="column">
              <wp:posOffset>3</wp:posOffset>
            </wp:positionH>
            <wp:positionV relativeFrom="paragraph">
              <wp:posOffset>8255</wp:posOffset>
            </wp:positionV>
            <wp:extent cx="5346700" cy="3740150"/>
            <wp:effectExtent l="0" t="0" r="0" b="0"/>
            <wp:wrapSquare wrapText="bothSides" distT="0" distB="0" distL="114300" distR="114300"/>
            <wp:docPr id="1874855873" name="image3.jpg" descr="A group of books on a shelf&#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jpg" descr="A group of books on a shelf&#10;&#10;Description automatically generated"/>
                    <pic:cNvPicPr preferRelativeResize="0"/>
                  </pic:nvPicPr>
                  <pic:blipFill>
                    <a:blip r:embed="rId17"/>
                    <a:srcRect b="11429"/>
                    <a:stretch>
                      <a:fillRect/>
                    </a:stretch>
                  </pic:blipFill>
                  <pic:spPr>
                    <a:xfrm>
                      <a:off x="0" y="0"/>
                      <a:ext cx="5346700" cy="3740150"/>
                    </a:xfrm>
                    <a:prstGeom prst="rect">
                      <a:avLst/>
                    </a:prstGeom>
                    <a:ln/>
                  </pic:spPr>
                </pic:pic>
              </a:graphicData>
            </a:graphic>
          </wp:anchor>
        </w:drawing>
      </w:r>
    </w:p>
    <w:p w14:paraId="168118D1" w14:textId="77777777" w:rsidR="009F0C56" w:rsidRDefault="009F0C56">
      <w:pPr>
        <w:spacing w:before="240" w:after="240" w:line="240" w:lineRule="auto"/>
        <w:rPr>
          <w:rFonts w:ascii="Arial" w:eastAsia="Arial" w:hAnsi="Arial" w:cs="Arial"/>
        </w:rPr>
      </w:pPr>
    </w:p>
    <w:p w14:paraId="71A1D00E" w14:textId="77777777" w:rsidR="009F0C56" w:rsidRDefault="009F0C56">
      <w:pPr>
        <w:spacing w:before="240" w:after="240" w:line="240" w:lineRule="auto"/>
        <w:rPr>
          <w:rFonts w:ascii="Arial" w:eastAsia="Arial" w:hAnsi="Arial" w:cs="Arial"/>
          <w:color w:val="000000"/>
        </w:rPr>
      </w:pPr>
    </w:p>
    <w:p w14:paraId="67B7A9E3" w14:textId="77777777" w:rsidR="009F0C56" w:rsidRDefault="009F0C56">
      <w:pPr>
        <w:spacing w:before="240" w:after="240" w:line="240" w:lineRule="auto"/>
        <w:rPr>
          <w:rFonts w:ascii="Arial" w:eastAsia="Arial" w:hAnsi="Arial" w:cs="Arial"/>
          <w:color w:val="000000"/>
        </w:rPr>
      </w:pPr>
    </w:p>
    <w:p w14:paraId="0BFD4C99" w14:textId="77777777" w:rsidR="009F0C56" w:rsidRDefault="009F0C56">
      <w:pPr>
        <w:spacing w:before="240" w:after="240" w:line="240" w:lineRule="auto"/>
        <w:rPr>
          <w:rFonts w:ascii="Arial" w:eastAsia="Arial" w:hAnsi="Arial" w:cs="Arial"/>
          <w:color w:val="000000"/>
        </w:rPr>
      </w:pPr>
    </w:p>
    <w:p w14:paraId="0F7048FA" w14:textId="77777777" w:rsidR="009F0C56" w:rsidRDefault="009F0C56">
      <w:pPr>
        <w:spacing w:before="240" w:after="240" w:line="240" w:lineRule="auto"/>
        <w:rPr>
          <w:rFonts w:ascii="Arial" w:eastAsia="Arial" w:hAnsi="Arial" w:cs="Arial"/>
          <w:color w:val="000000"/>
        </w:rPr>
      </w:pPr>
    </w:p>
    <w:p w14:paraId="61AC458E" w14:textId="77777777" w:rsidR="009F0C56" w:rsidRDefault="009F0C56">
      <w:pPr>
        <w:spacing w:before="240" w:after="240" w:line="240" w:lineRule="auto"/>
        <w:rPr>
          <w:rFonts w:ascii="Arial" w:eastAsia="Arial" w:hAnsi="Arial" w:cs="Arial"/>
          <w:color w:val="000000"/>
        </w:rPr>
      </w:pPr>
    </w:p>
    <w:p w14:paraId="28F55545" w14:textId="77777777" w:rsidR="009F0C56" w:rsidRDefault="009F0C56">
      <w:pPr>
        <w:spacing w:before="280" w:after="280" w:line="240" w:lineRule="auto"/>
        <w:rPr>
          <w:rFonts w:ascii="Arial" w:eastAsia="Arial" w:hAnsi="Arial" w:cs="Arial"/>
        </w:rPr>
      </w:pPr>
    </w:p>
    <w:p w14:paraId="66D4F522" w14:textId="77777777" w:rsidR="009F0C56" w:rsidRDefault="009F0C56">
      <w:pPr>
        <w:spacing w:before="280" w:after="280" w:line="240" w:lineRule="auto"/>
        <w:rPr>
          <w:rFonts w:ascii="Arial" w:eastAsia="Arial" w:hAnsi="Arial" w:cs="Arial"/>
        </w:rPr>
      </w:pPr>
    </w:p>
    <w:p w14:paraId="12CCF49E" w14:textId="77777777" w:rsidR="009F0C56" w:rsidRDefault="009F0C56">
      <w:pPr>
        <w:spacing w:before="280" w:after="280" w:line="240" w:lineRule="auto"/>
        <w:rPr>
          <w:rFonts w:ascii="Arial" w:eastAsia="Arial" w:hAnsi="Arial" w:cs="Arial"/>
        </w:rPr>
      </w:pPr>
    </w:p>
    <w:p w14:paraId="5BD10E04" w14:textId="77777777" w:rsidR="009F0C56" w:rsidRDefault="009F0C56">
      <w:pPr>
        <w:spacing w:before="280" w:after="280" w:line="240" w:lineRule="auto"/>
        <w:rPr>
          <w:rFonts w:ascii="Arial" w:eastAsia="Arial" w:hAnsi="Arial" w:cs="Arial"/>
        </w:rPr>
      </w:pPr>
    </w:p>
    <w:p w14:paraId="7E138744" w14:textId="77777777" w:rsidR="009F0C56" w:rsidRDefault="009F0C56">
      <w:pPr>
        <w:spacing w:before="280" w:after="280" w:line="240" w:lineRule="auto"/>
        <w:rPr>
          <w:rFonts w:ascii="Arial" w:eastAsia="Arial" w:hAnsi="Arial" w:cs="Arial"/>
        </w:rPr>
      </w:pPr>
    </w:p>
    <w:p w14:paraId="4E393769" w14:textId="77777777" w:rsidR="009F0C56" w:rsidRDefault="00653842">
      <w:pPr>
        <w:pBdr>
          <w:top w:val="nil"/>
          <w:left w:val="nil"/>
          <w:bottom w:val="nil"/>
          <w:right w:val="nil"/>
          <w:between w:val="nil"/>
        </w:pBdr>
        <w:spacing w:before="240" w:after="240" w:line="240" w:lineRule="auto"/>
        <w:rPr>
          <w:rFonts w:ascii="Arial" w:eastAsia="Arial" w:hAnsi="Arial" w:cs="Arial"/>
        </w:rPr>
      </w:pPr>
      <w:r>
        <w:rPr>
          <w:rFonts w:ascii="Arial" w:eastAsia="Arial" w:hAnsi="Arial" w:cs="Arial"/>
          <w:color w:val="000000"/>
        </w:rPr>
        <w:t>Figure 8 highlights this relation in the sale of books on “Spirit Animals” and “Native American wisdom,” texts authored or curated by non-Indigenous writers. These books are marketed as holders of genuine Indigenous spirituality, but are instead settler-produced cultural products that draw off a homogenised Indigenous settler belief. Through this commodification of knowledge, diverse Indigenous epistemologies and ontologies are merged into a palatable, essentialised form of knowledge meant for settler consu</w:t>
      </w:r>
      <w:r>
        <w:rPr>
          <w:rFonts w:ascii="Arial" w:eastAsia="Arial" w:hAnsi="Arial" w:cs="Arial"/>
          <w:color w:val="000000"/>
        </w:rPr>
        <w:t xml:space="preserve">mption (Aldred 2000). Here, these books are packaged as forms of authentic Indigenous wisdom, which settler society could use to appease their search for “enlightenment” (Dussel 2018). The materials in Figure 8 illustrate how colonial signifiers such as “timelessness,” “mysticism,” and “spiritual wisdom” signal an Indigenous authenticity to the settler reader (Nani 2011). </w:t>
      </w:r>
    </w:p>
    <w:p w14:paraId="040F8CCB" w14:textId="77777777" w:rsidR="009F0C56" w:rsidRDefault="00653842">
      <w:pPr>
        <w:pBdr>
          <w:top w:val="nil"/>
          <w:left w:val="nil"/>
          <w:bottom w:val="nil"/>
          <w:right w:val="nil"/>
          <w:between w:val="nil"/>
        </w:pBdr>
        <w:spacing w:before="240" w:after="240" w:line="240" w:lineRule="auto"/>
        <w:rPr>
          <w:rFonts w:ascii="Arial" w:eastAsia="Arial" w:hAnsi="Arial" w:cs="Arial"/>
        </w:rPr>
      </w:pPr>
      <w:r>
        <w:rPr>
          <w:rFonts w:ascii="Arial" w:eastAsia="Arial" w:hAnsi="Arial" w:cs="Arial"/>
        </w:rPr>
        <w:t xml:space="preserve">Here, the titles, along with the sepia-toned covers and rustic designs, evoke a sense of aged wisdom that cognitively locates the “Indian” in a distant, idealised past (Mategui 1971). This aesthetic strategy adds prominence to the books while also decontextualising the content. As the sepia tones implicitly tell the settler consumer that they are engaging with sacred, ancient truths, when in fact they are consuming a stylised version of colonial fantasy (Mignolo 2018). </w:t>
      </w:r>
      <w:r>
        <w:rPr>
          <w:rFonts w:ascii="Arial" w:eastAsia="Arial" w:hAnsi="Arial" w:cs="Arial"/>
          <w:color w:val="000000"/>
        </w:rPr>
        <w:t xml:space="preserve">This, </w:t>
      </w:r>
      <w:r>
        <w:rPr>
          <w:rFonts w:ascii="Arial" w:eastAsia="Arial" w:hAnsi="Arial" w:cs="Arial"/>
        </w:rPr>
        <w:t>along with the placement of these books being prominently displayed near the tills in Barnes &amp; Noble, the largest chain bookstore in the US</w:t>
      </w:r>
      <w:r>
        <w:rPr>
          <w:rFonts w:ascii="Arial" w:eastAsia="Arial" w:hAnsi="Arial" w:cs="Arial"/>
          <w:color w:val="000000"/>
        </w:rPr>
        <w:t xml:space="preserve">, reinforces to the settler reader an ideological perception of the Indian. As their visibility at the point of sale means the last impression the </w:t>
      </w:r>
      <w:r>
        <w:rPr>
          <w:rFonts w:ascii="Arial" w:eastAsia="Arial" w:hAnsi="Arial" w:cs="Arial"/>
          <w:color w:val="000000"/>
        </w:rPr>
        <w:lastRenderedPageBreak/>
        <w:t>consumer has is one of a romanticised Indian, this works in reifying settler narratives as the dominant truth in the visual landscape of Indigeneity.</w:t>
      </w:r>
    </w:p>
    <w:p w14:paraId="6398EC76" w14:textId="77777777" w:rsidR="009F0C56" w:rsidRDefault="00653842">
      <w:pPr>
        <w:pBdr>
          <w:top w:val="nil"/>
          <w:left w:val="nil"/>
          <w:bottom w:val="nil"/>
          <w:right w:val="nil"/>
          <w:between w:val="nil"/>
        </w:pBdr>
        <w:spacing w:before="240" w:after="240" w:line="240" w:lineRule="auto"/>
        <w:rPr>
          <w:rFonts w:ascii="Arial" w:eastAsia="Arial" w:hAnsi="Arial" w:cs="Arial"/>
        </w:rPr>
      </w:pPr>
      <w:r>
        <w:t>T</w:t>
      </w:r>
      <w:r>
        <w:rPr>
          <w:rFonts w:ascii="Arial" w:eastAsia="Arial" w:hAnsi="Arial" w:cs="Arial"/>
        </w:rPr>
        <w:t xml:space="preserve">herefore, through this placement, </w:t>
      </w:r>
      <w:r>
        <w:rPr>
          <w:rFonts w:ascii="Arial" w:eastAsia="Arial" w:hAnsi="Arial" w:cs="Arial"/>
          <w:color w:val="000000"/>
        </w:rPr>
        <w:t xml:space="preserve">a bricolage of settler-inspired narratives of Indigenous communities in the US is constructed, as it forges a homogenised narrative for the Seminole and Miccosukee </w:t>
      </w:r>
      <w:r>
        <w:rPr>
          <w:rFonts w:ascii="Arial" w:eastAsia="Arial" w:hAnsi="Arial" w:cs="Arial"/>
        </w:rPr>
        <w:t>that overwrites their representations with a homogenised discourse. In this</w:t>
      </w:r>
      <w:r>
        <w:rPr>
          <w:rFonts w:ascii="Arial" w:eastAsia="Arial" w:hAnsi="Arial" w:cs="Arial"/>
          <w:color w:val="000000"/>
        </w:rPr>
        <w:t xml:space="preserve">, the use of colonial signifiers in Figure 8 corresponds to settler </w:t>
      </w:r>
      <w:r>
        <w:rPr>
          <w:rFonts w:ascii="Arial" w:eastAsia="Arial" w:hAnsi="Arial" w:cs="Arial"/>
        </w:rPr>
        <w:t>societies' desire</w:t>
      </w:r>
      <w:r>
        <w:rPr>
          <w:rFonts w:ascii="Arial" w:eastAsia="Arial" w:hAnsi="Arial" w:cs="Arial"/>
          <w:color w:val="000000"/>
        </w:rPr>
        <w:t xml:space="preserve"> to engage with an exotic but ‘authentic’ form of knowledge (Aldred, 2000). </w:t>
      </w:r>
      <w:r>
        <w:rPr>
          <w:rFonts w:ascii="Arial" w:eastAsia="Arial" w:hAnsi="Arial" w:cs="Arial"/>
        </w:rPr>
        <w:t>Here, the books in Figure 8 do this by offering a “fake authenticity,” which allows settlers to feel spiritually enlightened without engaging with the political and historical realities of Indigenous communities in Florida. This builds on and expands Aldred’s work on plastic shamans, as Aldred’s work analysed the selling of “authentic” Indigenous experiences. Here, this idea of “self-improvement” within the context of this research, from the books and dream catcher, offers an ontological/epistemological</w:t>
      </w:r>
      <w:r>
        <w:rPr>
          <w:rFonts w:ascii="Arial" w:eastAsia="Arial" w:hAnsi="Arial" w:cs="Arial"/>
          <w:color w:val="008000"/>
        </w:rPr>
        <w:t xml:space="preserve"> </w:t>
      </w:r>
      <w:r>
        <w:rPr>
          <w:rFonts w:ascii="Arial" w:eastAsia="Arial" w:hAnsi="Arial" w:cs="Arial"/>
          <w:color w:val="000000"/>
        </w:rPr>
        <w:t>idea of commodification, with the purchasing of Indigenous “wisdoms”. Here, settler society is noted in commodifying the perceived settler essence of what Indigenous wisdoms are and selling them as a commodified item to the settler market. Yet, as Aldred noted with the sale of “authentic” experiences, this relationship of purchasing “wisdoms” is a form of settler society indulging in the fantasy of Indigen</w:t>
      </w:r>
      <w:r>
        <w:rPr>
          <w:rFonts w:ascii="Arial" w:eastAsia="Arial" w:hAnsi="Arial" w:cs="Arial"/>
        </w:rPr>
        <w:t xml:space="preserve">eity, through a white-liberal settler gaze (Aldred 2000). </w:t>
      </w:r>
    </w:p>
    <w:p w14:paraId="7CB444DA" w14:textId="77777777" w:rsidR="009F0C56" w:rsidRDefault="00653842">
      <w:pPr>
        <w:pBdr>
          <w:top w:val="nil"/>
          <w:left w:val="nil"/>
          <w:bottom w:val="nil"/>
          <w:right w:val="nil"/>
          <w:between w:val="nil"/>
        </w:pBdr>
        <w:spacing w:before="240" w:after="240" w:line="240" w:lineRule="auto"/>
        <w:rPr>
          <w:rFonts w:ascii="Arial" w:eastAsia="Arial" w:hAnsi="Arial" w:cs="Arial"/>
        </w:rPr>
      </w:pPr>
      <w:r>
        <w:rPr>
          <w:rFonts w:ascii="Arial" w:eastAsia="Arial" w:hAnsi="Arial" w:cs="Arial"/>
        </w:rPr>
        <w:t>Therefore, their engagement with Indigenous “wisdoms” for “self-improvement” is colonially tied to a settler surface-level</w:t>
      </w:r>
      <w:r>
        <w:rPr>
          <w:rFonts w:ascii="Arial" w:eastAsia="Arial" w:hAnsi="Arial" w:cs="Arial"/>
          <w:color w:val="008000"/>
        </w:rPr>
        <w:t xml:space="preserve"> </w:t>
      </w:r>
      <w:r>
        <w:rPr>
          <w:rFonts w:ascii="Arial" w:eastAsia="Arial" w:hAnsi="Arial" w:cs="Arial"/>
          <w:color w:val="000000"/>
        </w:rPr>
        <w:t>interpretation of Indigenous wisdoms, rather than an actual anti-colonial engagement. In this, the idea of purchasing Indigenous “wisdoms”, for “self-improvement”, is an epistemological mask/screening. That hides real Indigenous philosophies, ontologies, and epistemologies under a settler façade of inclusivity through the commodification of purchasing Indian “</w:t>
      </w:r>
      <w:r>
        <w:rPr>
          <w:rFonts w:ascii="Arial" w:eastAsia="Arial" w:hAnsi="Arial" w:cs="Arial"/>
        </w:rPr>
        <w:t>self-improvement wisdoms”. Ultimately, erasing authentic Indigenous knowledge into a collection of simplified extracted items that bear a conflated semblance to ‘Indigenous wisdom’. Consequently, this idea of “wisdoms” for sale attacks the representation of Indigenous epistemes and diminishes them into a palatable, simplified, settler-friendly</w:t>
      </w:r>
      <w:r>
        <w:rPr>
          <w:rFonts w:ascii="Arial" w:eastAsia="Arial" w:hAnsi="Arial" w:cs="Arial"/>
          <w:color w:val="008000"/>
        </w:rPr>
        <w:t xml:space="preserve"> </w:t>
      </w:r>
      <w:r>
        <w:rPr>
          <w:rFonts w:ascii="Arial" w:eastAsia="Arial" w:hAnsi="Arial" w:cs="Arial"/>
          <w:color w:val="000000"/>
        </w:rPr>
        <w:t xml:space="preserve">commodity. That does not challenge the settler colonial status quo of Indigenous simplicity, as Keene et al (2024) noted, in their Indigenous stereotypes analysis. </w:t>
      </w:r>
      <w:r>
        <w:rPr>
          <w:rFonts w:ascii="Arial" w:eastAsia="Arial" w:hAnsi="Arial" w:cs="Arial"/>
        </w:rPr>
        <w:t>As is further supported by the use of</w:t>
      </w:r>
      <w:r>
        <w:rPr>
          <w:rFonts w:ascii="Arial" w:eastAsia="Arial" w:hAnsi="Arial" w:cs="Arial"/>
          <w:color w:val="000000"/>
        </w:rPr>
        <w:t xml:space="preserve"> sepia tones within the books, which, as mentioned, makes the books seem more important. </w:t>
      </w:r>
    </w:p>
    <w:p w14:paraId="2AC2652B" w14:textId="77777777" w:rsidR="009F0C56" w:rsidRDefault="00653842">
      <w:pPr>
        <w:pBdr>
          <w:top w:val="nil"/>
          <w:left w:val="nil"/>
          <w:bottom w:val="nil"/>
          <w:right w:val="nil"/>
          <w:between w:val="nil"/>
        </w:pBdr>
        <w:spacing w:before="240" w:after="240" w:line="240" w:lineRule="auto"/>
        <w:rPr>
          <w:rFonts w:ascii="Arial" w:eastAsia="Arial" w:hAnsi="Arial" w:cs="Arial"/>
        </w:rPr>
      </w:pPr>
      <w:r>
        <w:rPr>
          <w:rFonts w:ascii="Arial" w:eastAsia="Arial" w:hAnsi="Arial" w:cs="Arial"/>
          <w:color w:val="000000"/>
        </w:rPr>
        <w:t xml:space="preserve">However, this fake authentic representation through sepia tones works to cognitively locate the information in the books </w:t>
      </w:r>
      <w:r>
        <w:rPr>
          <w:rFonts w:ascii="Arial" w:eastAsia="Arial" w:hAnsi="Arial" w:cs="Arial"/>
        </w:rPr>
        <w:t>within the</w:t>
      </w:r>
      <w:r>
        <w:rPr>
          <w:rFonts w:ascii="Arial" w:eastAsia="Arial" w:hAnsi="Arial" w:cs="Arial"/>
          <w:color w:val="000000"/>
        </w:rPr>
        <w:t xml:space="preserve"> past, making it appear ‘authentic’ (Mategui 1971). Through this, settler society in South Florida is not only alienated from real Indigenous knowledge systems but actively participates in their erasure through purchasing these items (Jumper, 2020). Therefore, through representing a settler-inspired understanding of Indian </w:t>
      </w:r>
      <w:r>
        <w:rPr>
          <w:rFonts w:ascii="Arial" w:eastAsia="Arial" w:hAnsi="Arial" w:cs="Arial"/>
        </w:rPr>
        <w:t>knowledge</w:t>
      </w:r>
      <w:r>
        <w:rPr>
          <w:rFonts w:ascii="Arial" w:eastAsia="Arial" w:hAnsi="Arial" w:cs="Arial"/>
          <w:color w:val="000000"/>
        </w:rPr>
        <w:t xml:space="preserve">, the purchaser believes they can buy into Indigenous culture and assimilate into such epistemologies for self-improvement. (Aldred 2000, Hooks, 1984). This erases Seminole and </w:t>
      </w:r>
      <w:r>
        <w:rPr>
          <w:rFonts w:ascii="Arial" w:eastAsia="Arial" w:hAnsi="Arial" w:cs="Arial"/>
        </w:rPr>
        <w:t>Miccosukee</w:t>
      </w:r>
      <w:r>
        <w:rPr>
          <w:rFonts w:ascii="Arial" w:eastAsia="Arial" w:hAnsi="Arial" w:cs="Arial"/>
          <w:color w:val="000000"/>
        </w:rPr>
        <w:t xml:space="preserve"> ways of being, as the collective unconscious of colonial reality becomes the source of these ‘wisdoms’ </w:t>
      </w:r>
      <w:r>
        <w:rPr>
          <w:rFonts w:ascii="Arial" w:eastAsia="Arial" w:hAnsi="Arial" w:cs="Arial"/>
          <w:color w:val="000000"/>
          <w:highlight w:val="white"/>
        </w:rPr>
        <w:t>rather than local Indigenous authors like Jumper (2020).</w:t>
      </w:r>
    </w:p>
    <w:p w14:paraId="7EAFF3C4" w14:textId="2E3BAF38" w:rsidR="009F0C56" w:rsidRDefault="00653842">
      <w:pPr>
        <w:spacing w:before="280" w:after="280" w:line="240" w:lineRule="auto"/>
        <w:rPr>
          <w:rFonts w:ascii="Arial" w:eastAsia="Arial" w:hAnsi="Arial" w:cs="Arial"/>
        </w:rPr>
      </w:pPr>
      <w:r>
        <w:rPr>
          <w:rFonts w:ascii="Arial" w:eastAsia="Arial" w:hAnsi="Arial" w:cs="Arial"/>
          <w:color w:val="000000"/>
        </w:rPr>
        <w:t xml:space="preserve">Furthermore, this ability for the settler to purchase their way into Indigenous spaces, the books prop up the coloniality of representation. </w:t>
      </w:r>
      <w:r w:rsidR="00CF2C48">
        <w:rPr>
          <w:rFonts w:ascii="Arial" w:eastAsia="Arial" w:hAnsi="Arial" w:cs="Arial"/>
          <w:color w:val="000000"/>
        </w:rPr>
        <w:t>The</w:t>
      </w:r>
      <w:r>
        <w:rPr>
          <w:rFonts w:ascii="Arial" w:eastAsia="Arial" w:hAnsi="Arial" w:cs="Arial"/>
          <w:color w:val="000000"/>
        </w:rPr>
        <w:t xml:space="preserve"> books in Figure 8 blend </w:t>
      </w:r>
      <w:r>
        <w:rPr>
          <w:rFonts w:ascii="Arial" w:eastAsia="Arial" w:hAnsi="Arial" w:cs="Arial"/>
          <w:color w:val="000000"/>
        </w:rPr>
        <w:lastRenderedPageBreak/>
        <w:t xml:space="preserve">colonial constructed ideals of Indigenous spirituality with a “self-help pop psychology” (Aldred 2000, Pg. 343). Here, the colonially attributed and constructed pseudo-psychology within these books </w:t>
      </w:r>
      <w:r>
        <w:rPr>
          <w:rFonts w:ascii="Arial" w:eastAsia="Arial" w:hAnsi="Arial" w:cs="Arial"/>
        </w:rPr>
        <w:t xml:space="preserve">epistemologically highlights the belief of the settler Indian over actual </w:t>
      </w:r>
      <w:r>
        <w:rPr>
          <w:rFonts w:ascii="Arial" w:eastAsia="Arial" w:hAnsi="Arial" w:cs="Arial"/>
          <w:color w:val="000000"/>
        </w:rPr>
        <w:t xml:space="preserve">Indigenous epistemes. </w:t>
      </w:r>
      <w:r>
        <w:rPr>
          <w:rFonts w:ascii="Arial" w:eastAsia="Arial" w:hAnsi="Arial" w:cs="Arial"/>
        </w:rPr>
        <w:t>In this, the marketing of pseudo-spiritual discourses erases and transforms once sacred knowledge into caricatures, making the book appear helpful, but in reality, they are erasing Indigenous philosophies and spiritualities (Trask, 1999). This trend is not isolated: it persists throughout settler Florida society, where items such as dreamcatchers and war bonnets, discussed in Figures 9 and 10, are similarly co-opted, commodified, and rendered into everyday symbols of a deeply distorted Indigeneity.</w:t>
      </w:r>
    </w:p>
    <w:p w14:paraId="3F279B8B" w14:textId="77777777" w:rsidR="009F0C56" w:rsidRDefault="00653842">
      <w:pPr>
        <w:pBdr>
          <w:top w:val="nil"/>
          <w:left w:val="nil"/>
          <w:bottom w:val="nil"/>
          <w:right w:val="nil"/>
          <w:between w:val="nil"/>
        </w:pBdr>
        <w:spacing w:before="240" w:after="240" w:line="240" w:lineRule="auto"/>
        <w:rPr>
          <w:rFonts w:ascii="Arial" w:eastAsia="Arial" w:hAnsi="Arial" w:cs="Arial"/>
          <w:color w:val="000000"/>
        </w:rPr>
      </w:pPr>
      <w:bookmarkStart w:id="110" w:name="_heading=h.xoogphbl99qs" w:colFirst="0" w:colLast="0"/>
      <w:bookmarkEnd w:id="110"/>
      <w:r>
        <w:rPr>
          <w:rFonts w:ascii="Arial" w:eastAsia="Arial" w:hAnsi="Arial" w:cs="Arial"/>
          <w:color w:val="000000"/>
          <w:sz w:val="18"/>
          <w:szCs w:val="18"/>
        </w:rPr>
        <w:t>Figure 9 – Dream catcher shop door entrance, Coral Gables high street. 10/07.2023</w:t>
      </w:r>
    </w:p>
    <w:p w14:paraId="6D86E85A" w14:textId="77777777" w:rsidR="009F0C56" w:rsidRDefault="00653842">
      <w:pPr>
        <w:pBdr>
          <w:top w:val="nil"/>
          <w:left w:val="nil"/>
          <w:bottom w:val="nil"/>
          <w:right w:val="nil"/>
          <w:between w:val="nil"/>
        </w:pBdr>
        <w:spacing w:before="240" w:after="240" w:line="240" w:lineRule="auto"/>
        <w:rPr>
          <w:rFonts w:ascii="Arial" w:eastAsia="Arial" w:hAnsi="Arial" w:cs="Arial"/>
          <w:color w:val="000000"/>
        </w:rPr>
      </w:pPr>
      <w:r>
        <w:rPr>
          <w:noProof/>
        </w:rPr>
        <w:drawing>
          <wp:anchor distT="0" distB="0" distL="114300" distR="114300" simplePos="0" relativeHeight="251663360" behindDoc="0" locked="0" layoutInCell="1" hidden="0" allowOverlap="1" wp14:anchorId="4D592469" wp14:editId="6FD6A722">
            <wp:simplePos x="0" y="0"/>
            <wp:positionH relativeFrom="column">
              <wp:posOffset>2</wp:posOffset>
            </wp:positionH>
            <wp:positionV relativeFrom="paragraph">
              <wp:posOffset>7620</wp:posOffset>
            </wp:positionV>
            <wp:extent cx="4648200" cy="4425950"/>
            <wp:effectExtent l="0" t="0" r="0" b="0"/>
            <wp:wrapSquare wrapText="bothSides" distT="0" distB="0" distL="114300" distR="114300"/>
            <wp:docPr id="1874855860" name="image2.jpg" descr="A glass door with a decor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A glass door with a decoration&#10;&#10;Description automatically generated"/>
                    <pic:cNvPicPr preferRelativeResize="0"/>
                  </pic:nvPicPr>
                  <pic:blipFill>
                    <a:blip r:embed="rId18"/>
                    <a:srcRect b="10145"/>
                    <a:stretch>
                      <a:fillRect/>
                    </a:stretch>
                  </pic:blipFill>
                  <pic:spPr>
                    <a:xfrm>
                      <a:off x="0" y="0"/>
                      <a:ext cx="4648200" cy="4425950"/>
                    </a:xfrm>
                    <a:prstGeom prst="rect">
                      <a:avLst/>
                    </a:prstGeom>
                    <a:ln/>
                  </pic:spPr>
                </pic:pic>
              </a:graphicData>
            </a:graphic>
          </wp:anchor>
        </w:drawing>
      </w:r>
    </w:p>
    <w:p w14:paraId="6B8CC21F" w14:textId="77777777" w:rsidR="009F0C56" w:rsidRDefault="009F0C56">
      <w:pPr>
        <w:pBdr>
          <w:top w:val="nil"/>
          <w:left w:val="nil"/>
          <w:bottom w:val="nil"/>
          <w:right w:val="nil"/>
          <w:between w:val="nil"/>
        </w:pBdr>
        <w:spacing w:before="240" w:after="240" w:line="240" w:lineRule="auto"/>
        <w:rPr>
          <w:rFonts w:ascii="Arial" w:eastAsia="Arial" w:hAnsi="Arial" w:cs="Arial"/>
          <w:color w:val="000000"/>
          <w:sz w:val="18"/>
          <w:szCs w:val="18"/>
        </w:rPr>
      </w:pPr>
    </w:p>
    <w:p w14:paraId="1200222A" w14:textId="77777777" w:rsidR="009F0C56" w:rsidRDefault="009F0C56">
      <w:pPr>
        <w:pBdr>
          <w:top w:val="nil"/>
          <w:left w:val="nil"/>
          <w:bottom w:val="nil"/>
          <w:right w:val="nil"/>
          <w:between w:val="nil"/>
        </w:pBdr>
        <w:spacing w:before="240" w:after="240" w:line="240" w:lineRule="auto"/>
        <w:rPr>
          <w:rFonts w:ascii="Arial" w:eastAsia="Arial" w:hAnsi="Arial" w:cs="Arial"/>
          <w:color w:val="000000"/>
          <w:sz w:val="18"/>
          <w:szCs w:val="18"/>
        </w:rPr>
      </w:pPr>
    </w:p>
    <w:p w14:paraId="2A2B6553" w14:textId="77777777" w:rsidR="009F0C56" w:rsidRDefault="009F0C56">
      <w:pPr>
        <w:pBdr>
          <w:top w:val="nil"/>
          <w:left w:val="nil"/>
          <w:bottom w:val="nil"/>
          <w:right w:val="nil"/>
          <w:between w:val="nil"/>
        </w:pBdr>
        <w:spacing w:before="240" w:after="240" w:line="240" w:lineRule="auto"/>
        <w:rPr>
          <w:rFonts w:ascii="Arial" w:eastAsia="Arial" w:hAnsi="Arial" w:cs="Arial"/>
          <w:color w:val="000000"/>
          <w:sz w:val="18"/>
          <w:szCs w:val="18"/>
        </w:rPr>
      </w:pPr>
    </w:p>
    <w:p w14:paraId="5DDAE03E" w14:textId="77777777" w:rsidR="009F0C56" w:rsidRDefault="009F0C56">
      <w:pPr>
        <w:pBdr>
          <w:top w:val="nil"/>
          <w:left w:val="nil"/>
          <w:bottom w:val="nil"/>
          <w:right w:val="nil"/>
          <w:between w:val="nil"/>
        </w:pBdr>
        <w:spacing w:before="240" w:after="240" w:line="240" w:lineRule="auto"/>
        <w:rPr>
          <w:rFonts w:ascii="Arial" w:eastAsia="Arial" w:hAnsi="Arial" w:cs="Arial"/>
          <w:color w:val="000000"/>
          <w:sz w:val="18"/>
          <w:szCs w:val="18"/>
        </w:rPr>
      </w:pPr>
    </w:p>
    <w:p w14:paraId="30D9821E" w14:textId="77777777" w:rsidR="009F0C56" w:rsidRDefault="009F0C56">
      <w:pPr>
        <w:pBdr>
          <w:top w:val="nil"/>
          <w:left w:val="nil"/>
          <w:bottom w:val="nil"/>
          <w:right w:val="nil"/>
          <w:between w:val="nil"/>
        </w:pBdr>
        <w:spacing w:before="240" w:after="240" w:line="240" w:lineRule="auto"/>
        <w:rPr>
          <w:rFonts w:ascii="Arial" w:eastAsia="Arial" w:hAnsi="Arial" w:cs="Arial"/>
          <w:color w:val="000000"/>
          <w:sz w:val="18"/>
          <w:szCs w:val="18"/>
        </w:rPr>
      </w:pPr>
    </w:p>
    <w:p w14:paraId="23617957" w14:textId="77777777" w:rsidR="009F0C56" w:rsidRDefault="009F0C56">
      <w:pPr>
        <w:pBdr>
          <w:top w:val="nil"/>
          <w:left w:val="nil"/>
          <w:bottom w:val="nil"/>
          <w:right w:val="nil"/>
          <w:between w:val="nil"/>
        </w:pBdr>
        <w:spacing w:before="240" w:after="240" w:line="240" w:lineRule="auto"/>
        <w:rPr>
          <w:rFonts w:ascii="Arial" w:eastAsia="Arial" w:hAnsi="Arial" w:cs="Arial"/>
          <w:color w:val="000000"/>
          <w:sz w:val="18"/>
          <w:szCs w:val="18"/>
        </w:rPr>
      </w:pPr>
    </w:p>
    <w:p w14:paraId="6D78BA2C" w14:textId="77777777" w:rsidR="009F0C56" w:rsidRDefault="009F0C56">
      <w:pPr>
        <w:spacing w:before="280" w:after="280" w:line="240" w:lineRule="auto"/>
        <w:rPr>
          <w:rFonts w:ascii="Arial" w:eastAsia="Arial" w:hAnsi="Arial" w:cs="Arial"/>
        </w:rPr>
      </w:pPr>
    </w:p>
    <w:p w14:paraId="4B8B1355" w14:textId="77777777" w:rsidR="009F0C56" w:rsidRDefault="009F0C56">
      <w:pPr>
        <w:spacing w:before="280" w:after="280" w:line="240" w:lineRule="auto"/>
        <w:rPr>
          <w:rFonts w:ascii="Arial" w:eastAsia="Arial" w:hAnsi="Arial" w:cs="Arial"/>
        </w:rPr>
      </w:pPr>
    </w:p>
    <w:p w14:paraId="31718CB4" w14:textId="77777777" w:rsidR="009F0C56" w:rsidRDefault="009F0C56">
      <w:pPr>
        <w:spacing w:before="280" w:after="280" w:line="240" w:lineRule="auto"/>
        <w:rPr>
          <w:rFonts w:ascii="Arial" w:eastAsia="Arial" w:hAnsi="Arial" w:cs="Arial"/>
        </w:rPr>
      </w:pPr>
    </w:p>
    <w:p w14:paraId="6C2FB3A6" w14:textId="77777777" w:rsidR="009F0C56" w:rsidRDefault="009F0C56">
      <w:pPr>
        <w:spacing w:before="280" w:after="280" w:line="240" w:lineRule="auto"/>
        <w:rPr>
          <w:rFonts w:ascii="Arial" w:eastAsia="Arial" w:hAnsi="Arial" w:cs="Arial"/>
        </w:rPr>
      </w:pPr>
    </w:p>
    <w:p w14:paraId="7D0BD479" w14:textId="77777777" w:rsidR="009F0C56" w:rsidRDefault="009F0C56">
      <w:pPr>
        <w:spacing w:before="280" w:after="280" w:line="240" w:lineRule="auto"/>
        <w:rPr>
          <w:rFonts w:ascii="Arial" w:eastAsia="Arial" w:hAnsi="Arial" w:cs="Arial"/>
        </w:rPr>
      </w:pPr>
    </w:p>
    <w:p w14:paraId="49E318D2" w14:textId="77777777" w:rsidR="009F0C56" w:rsidRDefault="009F0C56">
      <w:pPr>
        <w:spacing w:before="280" w:after="280" w:line="240" w:lineRule="auto"/>
        <w:rPr>
          <w:rFonts w:ascii="Arial" w:eastAsia="Arial" w:hAnsi="Arial" w:cs="Arial"/>
        </w:rPr>
      </w:pPr>
    </w:p>
    <w:p w14:paraId="283C1BAA" w14:textId="77777777" w:rsidR="009F0C56" w:rsidRDefault="009F0C56">
      <w:pPr>
        <w:spacing w:before="280" w:after="280" w:line="240" w:lineRule="auto"/>
        <w:rPr>
          <w:rFonts w:ascii="Arial" w:eastAsia="Arial" w:hAnsi="Arial" w:cs="Arial"/>
        </w:rPr>
      </w:pPr>
    </w:p>
    <w:p w14:paraId="24FE0766" w14:textId="77777777" w:rsidR="009F0C56" w:rsidRDefault="009F0C56">
      <w:pPr>
        <w:spacing w:before="280" w:after="280" w:line="240" w:lineRule="auto"/>
        <w:rPr>
          <w:rFonts w:ascii="Arial" w:eastAsia="Arial" w:hAnsi="Arial" w:cs="Arial"/>
        </w:rPr>
      </w:pPr>
    </w:p>
    <w:p w14:paraId="406EA833" w14:textId="15DAF6FE" w:rsidR="009F0C56" w:rsidRDefault="00653842">
      <w:pPr>
        <w:spacing w:before="280" w:after="280" w:line="240" w:lineRule="auto"/>
        <w:rPr>
          <w:rFonts w:ascii="Arial" w:eastAsia="Arial" w:hAnsi="Arial" w:cs="Arial"/>
          <w:color w:val="000000"/>
        </w:rPr>
      </w:pPr>
      <w:r>
        <w:rPr>
          <w:rFonts w:ascii="Arial" w:eastAsia="Arial" w:hAnsi="Arial" w:cs="Arial"/>
        </w:rPr>
        <w:t xml:space="preserve">Figure 9, taken in Coral Gables, is an affluent commercial and historically gentrified area of Miami. The image depicts a dreamcatcher displayed at the entrance of a boutique promoting an eco-conscious, holistic aesthetic. </w:t>
      </w:r>
      <w:r>
        <w:rPr>
          <w:rFonts w:ascii="Arial" w:eastAsia="Arial" w:hAnsi="Arial" w:cs="Arial"/>
          <w:color w:val="000000"/>
        </w:rPr>
        <w:t xml:space="preserve">The </w:t>
      </w:r>
      <w:r w:rsidR="00CF2C48">
        <w:rPr>
          <w:rFonts w:ascii="Arial" w:eastAsia="Arial" w:hAnsi="Arial" w:cs="Arial"/>
          <w:color w:val="000000"/>
        </w:rPr>
        <w:t>dreamcatcher</w:t>
      </w:r>
      <w:r>
        <w:rPr>
          <w:rFonts w:ascii="Arial" w:eastAsia="Arial" w:hAnsi="Arial" w:cs="Arial"/>
          <w:color w:val="000000"/>
        </w:rPr>
        <w:t xml:space="preserve"> creates the image of the shop offering a holistic experience. This, along with </w:t>
      </w:r>
      <w:r>
        <w:rPr>
          <w:rFonts w:ascii="Arial" w:eastAsia="Arial" w:hAnsi="Arial" w:cs="Arial"/>
        </w:rPr>
        <w:t>the positioning of the dreamcatcher at the door of the shop, functions as a commercial and symbolic entry point into a constructed “wellness” environment for consumers. This visual commercialisation draws from the neo-hippie movement, w</w:t>
      </w:r>
      <w:r>
        <w:rPr>
          <w:rFonts w:ascii="Arial" w:eastAsia="Arial" w:hAnsi="Arial" w:cs="Arial"/>
          <w:color w:val="000000"/>
        </w:rPr>
        <w:t xml:space="preserve">here Indigenous items were </w:t>
      </w:r>
      <w:r>
        <w:rPr>
          <w:rFonts w:ascii="Arial" w:eastAsia="Arial" w:hAnsi="Arial" w:cs="Arial"/>
        </w:rPr>
        <w:t>co-opted</w:t>
      </w:r>
      <w:r>
        <w:rPr>
          <w:rFonts w:ascii="Arial" w:eastAsia="Arial" w:hAnsi="Arial" w:cs="Arial"/>
          <w:color w:val="000000"/>
        </w:rPr>
        <w:t xml:space="preserve"> and appropriated as symbols of the eco/holistic movement. </w:t>
      </w:r>
    </w:p>
    <w:p w14:paraId="703785B0" w14:textId="2371D707" w:rsidR="009F0C56" w:rsidRDefault="00653842">
      <w:pPr>
        <w:spacing w:before="280" w:after="280" w:line="240" w:lineRule="auto"/>
        <w:rPr>
          <w:rFonts w:ascii="Arial" w:eastAsia="Arial" w:hAnsi="Arial" w:cs="Arial"/>
          <w:color w:val="000000"/>
        </w:rPr>
      </w:pPr>
      <w:r>
        <w:rPr>
          <w:rFonts w:ascii="Arial" w:eastAsia="Arial" w:hAnsi="Arial" w:cs="Arial"/>
        </w:rPr>
        <w:lastRenderedPageBreak/>
        <w:t xml:space="preserve">Aldred’s (2000) work and critique of “plastic shamans” </w:t>
      </w:r>
      <w:r w:rsidR="00CF2C48">
        <w:rPr>
          <w:rFonts w:ascii="Arial" w:eastAsia="Arial" w:hAnsi="Arial" w:cs="Arial"/>
        </w:rPr>
        <w:t>deconstruct</w:t>
      </w:r>
      <w:r>
        <w:rPr>
          <w:rFonts w:ascii="Arial" w:eastAsia="Arial" w:hAnsi="Arial" w:cs="Arial"/>
        </w:rPr>
        <w:t xml:space="preserve"> how</w:t>
      </w:r>
      <w:r>
        <w:rPr>
          <w:rFonts w:ascii="Arial" w:eastAsia="Arial" w:hAnsi="Arial" w:cs="Arial"/>
          <w:color w:val="000000"/>
        </w:rPr>
        <w:t xml:space="preserve"> white-liberal society reduces Indigenous items to a collection of colonial signifiers devoid of any real meaning. Here, Aldred's analysis aids in examining how dreamcatchers lose their cultural significance (Aldred, 2000). </w:t>
      </w:r>
      <w:r w:rsidR="00CF2C48">
        <w:rPr>
          <w:rFonts w:ascii="Arial" w:eastAsia="Arial" w:hAnsi="Arial" w:cs="Arial"/>
          <w:color w:val="000000"/>
        </w:rPr>
        <w:t>Settler</w:t>
      </w:r>
      <w:r>
        <w:rPr>
          <w:rFonts w:ascii="Arial" w:eastAsia="Arial" w:hAnsi="Arial" w:cs="Arial"/>
          <w:color w:val="000000"/>
        </w:rPr>
        <w:t xml:space="preserve"> society reimagines these items with new signifiers that appease the settler coloniser. Here, these new meanings operate in erasing the traditional Indigenous meaning within the item, leaving it in name only;</w:t>
      </w:r>
      <w:r>
        <w:rPr>
          <w:rFonts w:ascii="Arial" w:eastAsia="Arial" w:hAnsi="Arial" w:cs="Arial"/>
        </w:rPr>
        <w:t xml:space="preserve"> in this, they become emptied of their original meanings and rebranded for settler ease and comfort.</w:t>
      </w:r>
    </w:p>
    <w:p w14:paraId="1D10B6FD" w14:textId="77777777" w:rsidR="009F0C56" w:rsidRDefault="00653842">
      <w:pPr>
        <w:pBdr>
          <w:top w:val="nil"/>
          <w:left w:val="nil"/>
          <w:bottom w:val="nil"/>
          <w:right w:val="nil"/>
          <w:between w:val="nil"/>
        </w:pBdr>
        <w:spacing w:before="240" w:after="240" w:line="240" w:lineRule="auto"/>
        <w:rPr>
          <w:rFonts w:ascii="Arial" w:eastAsia="Arial" w:hAnsi="Arial" w:cs="Arial"/>
        </w:rPr>
      </w:pPr>
      <w:r>
        <w:rPr>
          <w:rFonts w:ascii="Arial" w:eastAsia="Arial" w:hAnsi="Arial" w:cs="Arial"/>
          <w:color w:val="000000"/>
        </w:rPr>
        <w:t xml:space="preserve">This is seen as a settler society </w:t>
      </w:r>
      <w:r>
        <w:rPr>
          <w:rFonts w:ascii="Arial" w:eastAsia="Arial" w:hAnsi="Arial" w:cs="Arial"/>
        </w:rPr>
        <w:t>ignoring</w:t>
      </w:r>
      <w:r>
        <w:rPr>
          <w:rFonts w:ascii="Arial" w:eastAsia="Arial" w:hAnsi="Arial" w:cs="Arial"/>
          <w:color w:val="000000"/>
        </w:rPr>
        <w:t xml:space="preserve"> historically that dream catchers were originally from the Anishinaabe (Ojibwe) Nations (RSM, 2021) and spatially specific to these areas, not Southern Florida. Thus, by unmooring these items from their specific spatial location, their spiritual ontological meanings were appropriated and altered; this topic will be explored more deeply during the territorialization chapter. With this new placement and appropriation, settler society could rebrand the Dreamcatcher </w:t>
      </w:r>
      <w:r>
        <w:rPr>
          <w:rFonts w:ascii="Arial" w:eastAsia="Arial" w:hAnsi="Arial" w:cs="Arial"/>
        </w:rPr>
        <w:t>into the semiotics of settler desire, of capitalist wellness culture</w:t>
      </w:r>
      <w:r>
        <w:rPr>
          <w:rFonts w:ascii="Arial" w:eastAsia="Arial" w:hAnsi="Arial" w:cs="Arial"/>
          <w:color w:val="000000"/>
        </w:rPr>
        <w:t>. Whereas once, traditionally, dream</w:t>
      </w:r>
      <w:r>
        <w:rPr>
          <w:rFonts w:ascii="Arial" w:eastAsia="Arial" w:hAnsi="Arial" w:cs="Arial"/>
        </w:rPr>
        <w:t>catchers</w:t>
      </w:r>
      <w:r>
        <w:rPr>
          <w:rFonts w:ascii="Arial" w:eastAsia="Arial" w:hAnsi="Arial" w:cs="Arial"/>
          <w:color w:val="000000"/>
        </w:rPr>
        <w:t xml:space="preserve"> held ontological importance about dreams, allowing for ways of communicating with the more-than-human world</w:t>
      </w:r>
      <w:r>
        <w:rPr>
          <w:rFonts w:ascii="Arial" w:eastAsia="Arial" w:hAnsi="Arial" w:cs="Arial"/>
          <w:color w:val="000000"/>
          <w:vertAlign w:val="superscript"/>
        </w:rPr>
        <w:footnoteReference w:id="9"/>
      </w:r>
      <w:r>
        <w:rPr>
          <w:rFonts w:ascii="Arial" w:eastAsia="Arial" w:hAnsi="Arial" w:cs="Arial"/>
          <w:color w:val="000000"/>
        </w:rPr>
        <w:t xml:space="preserve">, including the spirit world (Waters, 2004). In settler colonial imagery, dreamcatchers were recontextualised as symbols of self-care and wellness, devoid of real </w:t>
      </w:r>
      <w:r>
        <w:rPr>
          <w:rFonts w:ascii="Arial" w:eastAsia="Arial" w:hAnsi="Arial" w:cs="Arial"/>
        </w:rPr>
        <w:t xml:space="preserve">meaning. </w:t>
      </w:r>
    </w:p>
    <w:p w14:paraId="2548B9BD" w14:textId="7ECD2C95" w:rsidR="009F0C56" w:rsidRDefault="00653842">
      <w:pPr>
        <w:pBdr>
          <w:top w:val="nil"/>
          <w:left w:val="nil"/>
          <w:bottom w:val="nil"/>
          <w:right w:val="nil"/>
          <w:between w:val="nil"/>
        </w:pBdr>
        <w:spacing w:before="240" w:after="240" w:line="240" w:lineRule="auto"/>
        <w:rPr>
          <w:rFonts w:ascii="Arial" w:eastAsia="Arial" w:hAnsi="Arial" w:cs="Arial"/>
          <w:color w:val="000000"/>
          <w:highlight w:val="cyan"/>
        </w:rPr>
      </w:pPr>
      <w:r>
        <w:rPr>
          <w:rFonts w:ascii="Arial" w:eastAsia="Arial" w:hAnsi="Arial" w:cs="Arial"/>
          <w:color w:val="000000"/>
        </w:rPr>
        <w:t>TallBear (2019) argues that settler society has long disavowed Indigenous peoples as ‘non-scientific or ‘non-rational’ actors, yet simultaneously still extracts Indigenous epistemes and ontologies that resonate with settler colonial societies' desires, as Aldred highlights, to be a part of the ‘others’ spirituality (Aldred 2000). This settler pattern reflects what Lightfoot (2012) saw as selective endorsement, where settlers endorsed elements of the ‘Indian’ but never recognised the Indigenous. Here, Indige</w:t>
      </w:r>
      <w:r>
        <w:rPr>
          <w:rFonts w:ascii="Arial" w:eastAsia="Arial" w:hAnsi="Arial" w:cs="Arial"/>
          <w:color w:val="000000"/>
        </w:rPr>
        <w:t xml:space="preserve">nous ontologies were wanted, but only when depoliticised, </w:t>
      </w:r>
      <w:r w:rsidR="00CF2C48">
        <w:rPr>
          <w:rFonts w:ascii="Arial" w:eastAsia="Arial" w:hAnsi="Arial" w:cs="Arial"/>
          <w:color w:val="000000"/>
        </w:rPr>
        <w:t>aestheticised</w:t>
      </w:r>
      <w:r>
        <w:rPr>
          <w:rFonts w:ascii="Arial" w:eastAsia="Arial" w:hAnsi="Arial" w:cs="Arial"/>
          <w:color w:val="000000"/>
        </w:rPr>
        <w:t>, and mechanised for settler benefit. In this, the Dreamcatcher is not only materially commodified but also conceptually de-Indigenised. As Aldred (2000) argued, white-liberal discourse absorbs and alters Indigenous symbols into marketable commodities, severing their ties to cultural spatial specificity. This reification works with Mignolo’s (</w:t>
      </w:r>
      <w:r>
        <w:rPr>
          <w:rFonts w:ascii="Arial" w:eastAsia="Arial" w:hAnsi="Arial" w:cs="Arial"/>
        </w:rPr>
        <w:t xml:space="preserve">2018) coloniality of knowledge: a process where settler-colonial power attacks Indigenous pluriversality and replaces it with a universalised colonial truth. With this colonial legitimation in settler society, the dreamcatcher becomes a palatable emblem for Indian spirituality while being stripped of any authentic meaning. </w:t>
      </w:r>
    </w:p>
    <w:p w14:paraId="720A597B" w14:textId="77777777" w:rsidR="009F0C56" w:rsidRDefault="00653842">
      <w:pPr>
        <w:pBdr>
          <w:top w:val="nil"/>
          <w:left w:val="nil"/>
          <w:bottom w:val="nil"/>
          <w:right w:val="nil"/>
          <w:between w:val="nil"/>
        </w:pBdr>
        <w:spacing w:before="240" w:after="240" w:line="240" w:lineRule="auto"/>
        <w:rPr>
          <w:rFonts w:ascii="Arial" w:eastAsia="Arial" w:hAnsi="Arial" w:cs="Arial"/>
          <w:color w:val="000000"/>
        </w:rPr>
      </w:pPr>
      <w:r>
        <w:rPr>
          <w:rFonts w:ascii="Arial" w:eastAsia="Arial" w:hAnsi="Arial" w:cs="Arial"/>
          <w:color w:val="000000"/>
        </w:rPr>
        <w:t xml:space="preserve">Here, settler society constructs and reimagines Dreamcatchers as a tool for settler representational control of the Indigenous image, which works in reinforcing the erasure of the Miccosukee and the Seminole, who do not correlate to such imagery and therefore are pushed outside the settler scope of Indigeneity. TallBear’s critique further highlights how settler appropriation of Indigenous ways of knowing often occurs through a superficial engagement of aesthetics (TallBear 2019). This </w:t>
      </w:r>
      <w:r>
        <w:rPr>
          <w:rFonts w:ascii="Arial" w:eastAsia="Arial" w:hAnsi="Arial" w:cs="Arial"/>
          <w:color w:val="000000"/>
        </w:rPr>
        <w:lastRenderedPageBreak/>
        <w:t>ultimately works in denying Indigenous peoples' political sovereignty or epistemic sovereignty. As this appropriation contributes to the continued denial of Indigenous self-representation and governance, it replaces Indigenous community-defined meaning with settler-authored narratives of Indigeneity as a whole.</w:t>
      </w:r>
    </w:p>
    <w:p w14:paraId="1217AB03" w14:textId="77777777" w:rsidR="009F0C56" w:rsidRDefault="00653842">
      <w:pPr>
        <w:pBdr>
          <w:top w:val="nil"/>
          <w:left w:val="nil"/>
          <w:bottom w:val="nil"/>
          <w:right w:val="nil"/>
          <w:between w:val="nil"/>
        </w:pBdr>
        <w:spacing w:before="240" w:after="240" w:line="240" w:lineRule="auto"/>
        <w:rPr>
          <w:rFonts w:ascii="Arial" w:eastAsia="Arial" w:hAnsi="Arial" w:cs="Arial"/>
          <w:color w:val="000000"/>
          <w:sz w:val="18"/>
          <w:szCs w:val="18"/>
        </w:rPr>
      </w:pPr>
      <w:r>
        <w:rPr>
          <w:rFonts w:ascii="Arial" w:eastAsia="Arial" w:hAnsi="Arial" w:cs="Arial"/>
          <w:color w:val="000000"/>
        </w:rPr>
        <w:t>Therefore, the dreamcatcher in Figure 9 functions not as a spiritual item, but as a consumable good that affirms settler needs of spirituality (Allred 2000). Its commodification erases the epistemic depth of the Anishinaabe tradition while homogenising Indigenous identity, contributing to the broader erasure of Seminole and Miccosukee specificity as well as Anishinaabe. As Olusoga (2021) and Gilmore (2024) note, these appropriations are not benign but deeply implicated in structures of racial capitalism and</w:t>
      </w:r>
      <w:r>
        <w:rPr>
          <w:rFonts w:ascii="Arial" w:eastAsia="Arial" w:hAnsi="Arial" w:cs="Arial"/>
          <w:color w:val="000000"/>
        </w:rPr>
        <w:t xml:space="preserve"> cultural domination. This results in a colonial bricolage, where spiritual artifacts are altered into settler-dictated “Indian experiences” that are aesthetically meaningful but ontologically vacant (Lightfoot 2012). This means the Seminole and Miccosukee are further pushed away from the core discussions of Indigeneity through the appropriation and commodification, as they do not correlate with the settler bricolage of the Indian, which will be explored next through </w:t>
      </w:r>
      <w:r>
        <w:rPr>
          <w:rFonts w:ascii="Arial" w:eastAsia="Arial" w:hAnsi="Arial" w:cs="Arial"/>
        </w:rPr>
        <w:t xml:space="preserve">Figure 10. </w:t>
      </w:r>
    </w:p>
    <w:p w14:paraId="31085826" w14:textId="77777777" w:rsidR="009F0C56" w:rsidRDefault="00653842">
      <w:pPr>
        <w:pBdr>
          <w:top w:val="nil"/>
          <w:left w:val="nil"/>
          <w:bottom w:val="nil"/>
          <w:right w:val="nil"/>
          <w:between w:val="nil"/>
        </w:pBdr>
        <w:spacing w:before="240" w:after="240" w:line="240" w:lineRule="auto"/>
        <w:rPr>
          <w:rFonts w:ascii="Arial" w:eastAsia="Arial" w:hAnsi="Arial" w:cs="Arial"/>
          <w:color w:val="000000"/>
          <w:sz w:val="18"/>
          <w:szCs w:val="18"/>
        </w:rPr>
      </w:pPr>
      <w:bookmarkStart w:id="111" w:name="_heading=h.nt0a2mkawvy2" w:colFirst="0" w:colLast="0"/>
      <w:bookmarkEnd w:id="111"/>
      <w:r>
        <w:rPr>
          <w:rFonts w:ascii="Arial" w:eastAsia="Arial" w:hAnsi="Arial" w:cs="Arial"/>
          <w:color w:val="000000"/>
          <w:sz w:val="18"/>
          <w:szCs w:val="18"/>
        </w:rPr>
        <w:t>Figure 10 -Settler airboat store on Tamiami Trail. 21/07/2023</w:t>
      </w:r>
    </w:p>
    <w:p w14:paraId="282A7D47" w14:textId="77777777" w:rsidR="009F0C56" w:rsidRDefault="00653842">
      <w:pPr>
        <w:pBdr>
          <w:top w:val="nil"/>
          <w:left w:val="nil"/>
          <w:bottom w:val="nil"/>
          <w:right w:val="nil"/>
          <w:between w:val="nil"/>
        </w:pBdr>
        <w:spacing w:before="240" w:after="240" w:line="240" w:lineRule="auto"/>
        <w:rPr>
          <w:rFonts w:ascii="Arial" w:eastAsia="Arial" w:hAnsi="Arial" w:cs="Arial"/>
          <w:color w:val="000000"/>
          <w:sz w:val="18"/>
          <w:szCs w:val="18"/>
        </w:rPr>
      </w:pPr>
      <w:r>
        <w:rPr>
          <w:rFonts w:ascii="Arial" w:eastAsia="Arial" w:hAnsi="Arial" w:cs="Arial"/>
          <w:noProof/>
          <w:color w:val="000000"/>
        </w:rPr>
        <w:drawing>
          <wp:inline distT="0" distB="0" distL="0" distR="0" wp14:anchorId="18D6BF23" wp14:editId="016F57E4">
            <wp:extent cx="3733980" cy="3899935"/>
            <wp:effectExtent l="0" t="0" r="0" b="0"/>
            <wp:docPr id="1874855876" name="image16.png" descr="A store with a variety of item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6.png" descr="A store with a variety of items&#10;&#10;Description automatically generated"/>
                    <pic:cNvPicPr preferRelativeResize="0"/>
                  </pic:nvPicPr>
                  <pic:blipFill>
                    <a:blip r:embed="rId19"/>
                    <a:srcRect/>
                    <a:stretch>
                      <a:fillRect/>
                    </a:stretch>
                  </pic:blipFill>
                  <pic:spPr>
                    <a:xfrm>
                      <a:off x="0" y="0"/>
                      <a:ext cx="3733980" cy="3899935"/>
                    </a:xfrm>
                    <a:prstGeom prst="rect">
                      <a:avLst/>
                    </a:prstGeom>
                    <a:ln/>
                  </pic:spPr>
                </pic:pic>
              </a:graphicData>
            </a:graphic>
          </wp:inline>
        </w:drawing>
      </w:r>
    </w:p>
    <w:p w14:paraId="0114CD9C" w14:textId="77777777" w:rsidR="009F0C56" w:rsidRDefault="00653842">
      <w:pPr>
        <w:pStyle w:val="Heading3"/>
        <w:rPr>
          <w:sz w:val="32"/>
          <w:szCs w:val="32"/>
        </w:rPr>
      </w:pPr>
      <w:bookmarkStart w:id="112" w:name="_Toc240966033"/>
      <w:r>
        <w:rPr>
          <w:sz w:val="32"/>
          <w:szCs w:val="32"/>
        </w:rPr>
        <w:t>7.8 Reducing the Indigenous to a colonial bricolage</w:t>
      </w:r>
      <w:bookmarkEnd w:id="112"/>
      <w:r>
        <w:rPr>
          <w:sz w:val="32"/>
          <w:szCs w:val="32"/>
        </w:rPr>
        <w:t> </w:t>
      </w:r>
    </w:p>
    <w:p w14:paraId="162091B9" w14:textId="77777777" w:rsidR="009F0C56" w:rsidRDefault="00653842">
      <w:pPr>
        <w:spacing w:before="280" w:after="280" w:line="240" w:lineRule="auto"/>
        <w:rPr>
          <w:rFonts w:ascii="Arial" w:eastAsia="Arial" w:hAnsi="Arial" w:cs="Arial"/>
          <w:color w:val="000000"/>
        </w:rPr>
      </w:pPr>
      <w:r>
        <w:rPr>
          <w:rFonts w:ascii="Arial" w:eastAsia="Arial" w:hAnsi="Arial" w:cs="Arial"/>
        </w:rPr>
        <w:t>Through analysing in the last section how Indigenous spirituality is coerced through settler society’s ongoing need to simplify and essentialise Indigenous epistemes to consumable, aesthetically coherent, and unpolitical signifiers</w:t>
      </w:r>
      <w:r>
        <w:rPr>
          <w:rFonts w:ascii="Arial" w:eastAsia="Arial" w:hAnsi="Arial" w:cs="Arial"/>
          <w:color w:val="008000"/>
        </w:rPr>
        <w:t xml:space="preserve">. </w:t>
      </w:r>
      <w:r>
        <w:rPr>
          <w:rFonts w:ascii="Arial" w:eastAsia="Arial" w:hAnsi="Arial" w:cs="Arial"/>
          <w:color w:val="000000"/>
        </w:rPr>
        <w:t>This section, through drawing on the previous work, will now explore more deeply how commodification operates as a settler tool in creating a bricolage of realities</w:t>
      </w:r>
    </w:p>
    <w:p w14:paraId="7A831496" w14:textId="77777777" w:rsidR="009F0C56" w:rsidRDefault="00653842">
      <w:pPr>
        <w:spacing w:before="280" w:after="280" w:line="240" w:lineRule="auto"/>
        <w:rPr>
          <w:rFonts w:ascii="Arial" w:eastAsia="Arial" w:hAnsi="Arial" w:cs="Arial"/>
          <w:color w:val="000000"/>
        </w:rPr>
      </w:pPr>
      <w:r>
        <w:rPr>
          <w:rFonts w:ascii="Arial" w:eastAsia="Arial" w:hAnsi="Arial" w:cs="Arial"/>
        </w:rPr>
        <w:lastRenderedPageBreak/>
        <w:t xml:space="preserve">Figures 8 and 9 exemplified this process by presenting a universalised ‘Indian wisdom.’ Here, settler society created an </w:t>
      </w:r>
      <w:r>
        <w:rPr>
          <w:rFonts w:ascii="Arial" w:eastAsia="Arial" w:hAnsi="Arial" w:cs="Arial"/>
          <w:color w:val="000000"/>
        </w:rPr>
        <w:t>assemblage of colonial signifiers devoid of any meaning (Aldred 2000).</w:t>
      </w:r>
      <w:r>
        <w:rPr>
          <w:rFonts w:ascii="Arial" w:eastAsia="Arial" w:hAnsi="Arial" w:cs="Arial"/>
        </w:rPr>
        <w:t xml:space="preserve"> Through this marketing, settler society constructed a bricolage of realities, where a false accessibility to Indigenous ontologies occurs. This communicates that Indigenous philosophies and spirituality are something settlers can buy and consume and repurpose for their personal development (Aldred, 2000). </w:t>
      </w:r>
      <w:r>
        <w:rPr>
          <w:rFonts w:ascii="Arial" w:eastAsia="Arial" w:hAnsi="Arial" w:cs="Arial"/>
          <w:color w:val="000000"/>
        </w:rPr>
        <w:t xml:space="preserve">In this, a colonial bricolage is constructed that unconsciously separates the complex individual philosophical traditions of Indigenous communities to simplistic colonial interpretations (Barker 2021, Cordova 2007). </w:t>
      </w:r>
    </w:p>
    <w:p w14:paraId="11B9B48B"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 xml:space="preserve">In this, this epistemic reduction not only replaces complex, pluriversal Indigenous traditions with settler-constructed caricatures but fundamentally distorts the relationship Indigenous peoples have with their worldviews (Cordova, 2007). Here, this epistemic violence becomes particularly visible in the erasure of figures like Betty Mae Jumper, a highly respected Seminole leader and knowledge keeper, whose pivotal role in shaping contemporary Seminole life has been ignored in mainstream Floridian discourse </w:t>
      </w:r>
      <w:r>
        <w:rPr>
          <w:rFonts w:ascii="Arial" w:eastAsia="Arial" w:hAnsi="Arial" w:cs="Arial"/>
          <w:color w:val="000000"/>
        </w:rPr>
        <w:t xml:space="preserve">around Indigeneity as seen in the covers of the books (Jumper 2020). The omission of Jumper is not accidental; it is part of a larger settler colonial project to rewrite regional histories in ways that protect and reproduce the colonial matrix of power (Quijano 2007). In her place, settler society inserts an abstract, palatable “Indian” figure or item, such as the Dreamcatcher and books, that does not confront, critique, or resist settler-colonial hegemony (Estes 2019). This thought aligns with Lightfoot's </w:t>
      </w:r>
      <w:r>
        <w:rPr>
          <w:rFonts w:ascii="Arial" w:eastAsia="Arial" w:hAnsi="Arial" w:cs="Arial"/>
          <w:color w:val="000000"/>
        </w:rPr>
        <w:t xml:space="preserve">theory of selective endorsement, the process by which settler society cherry-picks elements of Indigeneity that align with settler narratives of neoliberal multiculturalism. While actively rejecting Indigenous demands for sovereignty, land restitution, or self-determination (Lightfoot, 2016). </w:t>
      </w:r>
    </w:p>
    <w:p w14:paraId="1C5005E6" w14:textId="77777777" w:rsidR="009F0C56" w:rsidRDefault="00653842">
      <w:pPr>
        <w:spacing w:before="280" w:after="280" w:line="240" w:lineRule="auto"/>
        <w:rPr>
          <w:rFonts w:ascii="Arial" w:eastAsia="Arial" w:hAnsi="Arial" w:cs="Arial"/>
        </w:rPr>
      </w:pPr>
      <w:r>
        <w:rPr>
          <w:rFonts w:ascii="Arial" w:eastAsia="Arial" w:hAnsi="Arial" w:cs="Arial"/>
          <w:color w:val="000000"/>
        </w:rPr>
        <w:t>Lightfoot’s work parallels the work on Dreamcatchers, war bonnets, and the books in Figure 8. Here, settler colonialism's use of these items is not a misrepresentation of Indigeneity; it is an intentional settler endorsement in constructing a bricolage of realities that forefronts settler notions of Indigeneity at the core of society (Lightfoot 2012). Where the marketing of them in settler spaces is to ensure the Indian representation is controlled by the state and does not disrupt the settler colonial orde</w:t>
      </w:r>
      <w:r>
        <w:rPr>
          <w:rFonts w:ascii="Arial" w:eastAsia="Arial" w:hAnsi="Arial" w:cs="Arial"/>
          <w:color w:val="000000"/>
        </w:rPr>
        <w:t xml:space="preserve">r. Through this, the commodification of Indigenous ontologies and epistemologies, as seen in Figures 8 and 9, alters Indigenous philosophies into assemblages of colonial signifiers (Dussel 2013). Through commodifying Indigenous philosophy without the actual practice of these Indigenous philosophies, </w:t>
      </w:r>
      <w:r>
        <w:rPr>
          <w:rFonts w:ascii="Arial" w:eastAsia="Arial" w:hAnsi="Arial" w:cs="Arial"/>
        </w:rPr>
        <w:t>settler representations of Indigeneity work to dismantle the ontological and epistemological individuality of nations like the Seminole and Miccosukee. This draws from the previous chapter, as through homogenising them into a singular, static figure of the Indian, settler society collapses all Indigenous individualities into a universalised, settler-controlled representation. Wherein settler society can deny Indigenous peoples the ability to locate themselves within their cultural frameworks, as they assert</w:t>
      </w:r>
      <w:r>
        <w:rPr>
          <w:rFonts w:ascii="Arial" w:eastAsia="Arial" w:hAnsi="Arial" w:cs="Arial"/>
        </w:rPr>
        <w:t xml:space="preserve"> a settler new reality through the items seen in Figures 8, 9, and 10 (Barker, 2021; Waters, 2004). </w:t>
      </w:r>
    </w:p>
    <w:p w14:paraId="44FF1462" w14:textId="77777777" w:rsidR="009F0C56" w:rsidRDefault="00653842">
      <w:pPr>
        <w:spacing w:before="280" w:after="280" w:line="240" w:lineRule="auto"/>
        <w:rPr>
          <w:rFonts w:ascii="Arial" w:eastAsia="Arial" w:hAnsi="Arial" w:cs="Arial"/>
        </w:rPr>
      </w:pPr>
      <w:r>
        <w:rPr>
          <w:rFonts w:ascii="Arial" w:eastAsia="Arial" w:hAnsi="Arial" w:cs="Arial"/>
        </w:rPr>
        <w:t>This builds on</w:t>
      </w:r>
      <w:r>
        <w:t xml:space="preserve"> </w:t>
      </w:r>
      <w:r>
        <w:rPr>
          <w:rFonts w:ascii="Arial" w:eastAsia="Arial" w:hAnsi="Arial" w:cs="Arial"/>
        </w:rPr>
        <w:t xml:space="preserve">TallBear and Aldred’s work and further adds to this critique by arguing that settler desires to access Indigenous knowledge and belonging are rarely accompanied by the willingness to support Indigenous governance or relationality. Instead, settlers extract spiritual and ecological teachings while maintaining power </w:t>
      </w:r>
      <w:r>
        <w:rPr>
          <w:rFonts w:ascii="Arial" w:eastAsia="Arial" w:hAnsi="Arial" w:cs="Arial"/>
        </w:rPr>
        <w:lastRenderedPageBreak/>
        <w:t>hierarchies that exclude Indigenous people themselves (Aldred 2000, TallBear 2019).</w:t>
      </w:r>
      <w:r>
        <w:rPr>
          <w:rFonts w:ascii="Times New Roman" w:eastAsia="Times New Roman" w:hAnsi="Times New Roman" w:cs="Times New Roman"/>
        </w:rPr>
        <w:t xml:space="preserve"> </w:t>
      </w:r>
      <w:r>
        <w:rPr>
          <w:rFonts w:ascii="Arial" w:eastAsia="Arial" w:hAnsi="Arial" w:cs="Arial"/>
        </w:rPr>
        <w:t xml:space="preserve">This process also has material consequences, such as the Dreamcatchers and war bonnets, which are prominently displayed across gentrified Miami spaces, such as Coral Gables and Wynwood, that are rarely tied to local Indigenous nations. As these items held no connection to Seminole or Miccosukee culture, yet dominate the visual language and imagery of Indigeneity in Florida, Seminole and Miccosukee’s presence is overpowered through a commodified Indian settler representation. </w:t>
      </w:r>
    </w:p>
    <w:p w14:paraId="08BDC68D" w14:textId="77777777" w:rsidR="009F0C56" w:rsidRDefault="00653842">
      <w:pPr>
        <w:spacing w:before="280" w:after="280" w:line="240" w:lineRule="auto"/>
        <w:rPr>
          <w:rFonts w:ascii="Arial" w:eastAsia="Arial" w:hAnsi="Arial" w:cs="Arial"/>
        </w:rPr>
      </w:pPr>
      <w:r>
        <w:rPr>
          <w:rFonts w:ascii="Arial" w:eastAsia="Arial" w:hAnsi="Arial" w:cs="Arial"/>
          <w:color w:val="000000"/>
        </w:rPr>
        <w:t>This reflects but expands Lightfoot’s notion of selective endorsement, with settler societies willing to engage with an aesthetic Indigeneity but only when it reinforces settler myths. In this, they are unwilling to engage with Indigenous peoples as political agents or sovereign nations, as this would challenge the settler colonial status quo. Therefore, this ability to commodify and selectively endorse certain “authentic” elements of Indigenous identity is central to the coloniality of representation. Here</w:t>
      </w:r>
      <w:r>
        <w:rPr>
          <w:rFonts w:ascii="Arial" w:eastAsia="Arial" w:hAnsi="Arial" w:cs="Arial"/>
          <w:color w:val="000000"/>
        </w:rPr>
        <w:t xml:space="preserve">, the commodification of the items discussed is a colonial tool used to repress and erase the ability of the Seminole or Miccosukee to offer alternative ontologies of their being to a wider settler audience (LaDuke 1999, Lightfoot 2012). In </w:t>
      </w:r>
      <w:r>
        <w:rPr>
          <w:rFonts w:ascii="Arial" w:eastAsia="Arial" w:hAnsi="Arial" w:cs="Arial"/>
        </w:rPr>
        <w:t xml:space="preserve">this, a bricolage of realities becomes more entrenched with the use of terms like “Indian crafts” (Figure 10) or the placement of spiritual artefacts near checkout tills in Figure 8. These work to reinforce the idea that Indigeneity is purchasable, knowable, and fixed in meaning. </w:t>
      </w:r>
    </w:p>
    <w:p w14:paraId="7376C59E" w14:textId="77777777" w:rsidR="009F0C56" w:rsidRDefault="00653842">
      <w:pPr>
        <w:spacing w:before="280" w:after="280" w:line="240" w:lineRule="auto"/>
        <w:rPr>
          <w:rFonts w:ascii="Arial" w:eastAsia="Arial" w:hAnsi="Arial" w:cs="Arial"/>
          <w:color w:val="000000"/>
        </w:rPr>
      </w:pPr>
      <w:r>
        <w:rPr>
          <w:rFonts w:ascii="Arial" w:eastAsia="Arial" w:hAnsi="Arial" w:cs="Arial"/>
        </w:rPr>
        <w:t xml:space="preserve">In this, settler society deliberately cites imagery and language that appear inclusive and appreciative of Indigenous culture, but in reality, constructs a controlled, depoliticised Indigenous identity that can be circulated without consequence (Barker 2021, Wolfe 2016). This manufactured commodified bricolage of Indigeneity serves to displace the Seminole and Miccosukee’s cultural and political realities, replacing them with a settler-authored mythology of the “authentic Indian.” </w:t>
      </w:r>
      <w:r>
        <w:rPr>
          <w:rFonts w:ascii="Arial" w:eastAsia="Arial" w:hAnsi="Arial" w:cs="Arial"/>
          <w:color w:val="000000"/>
        </w:rPr>
        <w:t>This conception of a singular Indian entity will be discussed in the following section through the settler homogenisation of Indigenous culture, which serves as both a symbolic and structural tool of dominance, enabling the settler state to obscure real Indigenous presence, demands, and resistance.</w:t>
      </w:r>
    </w:p>
    <w:p w14:paraId="2E8839A8" w14:textId="77777777" w:rsidR="009F0C56" w:rsidRDefault="009F0C56">
      <w:pPr>
        <w:pBdr>
          <w:top w:val="nil"/>
          <w:left w:val="nil"/>
          <w:bottom w:val="nil"/>
          <w:right w:val="nil"/>
          <w:between w:val="nil"/>
        </w:pBdr>
        <w:spacing w:before="240" w:after="240" w:line="240" w:lineRule="auto"/>
        <w:rPr>
          <w:rFonts w:ascii="Arial" w:eastAsia="Arial" w:hAnsi="Arial" w:cs="Arial"/>
          <w:color w:val="000000"/>
        </w:rPr>
      </w:pPr>
    </w:p>
    <w:p w14:paraId="3B18B43A" w14:textId="77777777" w:rsidR="009F0C56" w:rsidRDefault="00653842">
      <w:pPr>
        <w:pStyle w:val="Heading3"/>
        <w:rPr>
          <w:sz w:val="32"/>
          <w:szCs w:val="32"/>
        </w:rPr>
      </w:pPr>
      <w:bookmarkStart w:id="113" w:name="_Toc240966034"/>
      <w:r>
        <w:rPr>
          <w:sz w:val="32"/>
          <w:szCs w:val="32"/>
        </w:rPr>
        <w:t>7.9 Homogenising the Indigenous into a singular entity</w:t>
      </w:r>
      <w:bookmarkEnd w:id="113"/>
      <w:r>
        <w:rPr>
          <w:sz w:val="32"/>
          <w:szCs w:val="32"/>
        </w:rPr>
        <w:t xml:space="preserve"> </w:t>
      </w:r>
    </w:p>
    <w:p w14:paraId="3DC6F8E0" w14:textId="77777777" w:rsidR="009F0C56" w:rsidRDefault="00653842">
      <w:pPr>
        <w:rPr>
          <w:rFonts w:ascii="Arial" w:eastAsia="Arial" w:hAnsi="Arial" w:cs="Arial"/>
          <w:color w:val="000000"/>
        </w:rPr>
      </w:pPr>
      <w:r>
        <w:rPr>
          <w:rFonts w:ascii="Arial" w:eastAsia="Arial" w:hAnsi="Arial" w:cs="Arial"/>
          <w:color w:val="000000"/>
        </w:rPr>
        <w:t xml:space="preserve">Through this section, the intersectionality of homogenisation and commodification will be analysed in terms of how it creates and alters Indigenous representations. This shall draw from specific field research as well as international media imagery, as well as arguments curated during the previous analysis chapter. </w:t>
      </w:r>
    </w:p>
    <w:p w14:paraId="1546811E" w14:textId="77777777" w:rsidR="009F0C56" w:rsidRDefault="00653842">
      <w:pPr>
        <w:pStyle w:val="Heading3"/>
      </w:pPr>
      <w:r>
        <w:t xml:space="preserve"> </w:t>
      </w:r>
      <w:bookmarkStart w:id="114" w:name="_Toc240966035"/>
      <w:r>
        <w:rPr>
          <w:sz w:val="36"/>
          <w:szCs w:val="36"/>
        </w:rPr>
        <w:t>7.10 Settler assigned identities</w:t>
      </w:r>
      <w:bookmarkEnd w:id="114"/>
      <w:r>
        <w:rPr>
          <w:sz w:val="36"/>
          <w:szCs w:val="36"/>
        </w:rPr>
        <w:t xml:space="preserve">  </w:t>
      </w:r>
    </w:p>
    <w:p w14:paraId="4CD42A46" w14:textId="77777777" w:rsidR="009F0C56" w:rsidRDefault="00653842">
      <w:pPr>
        <w:spacing w:before="280" w:after="280" w:line="240" w:lineRule="auto"/>
        <w:rPr>
          <w:rFonts w:ascii="Arial" w:eastAsia="Arial" w:hAnsi="Arial" w:cs="Arial"/>
          <w:color w:val="000000"/>
        </w:rPr>
      </w:pPr>
      <w:bookmarkStart w:id="115" w:name="_heading=h.2aqbr37d94h5" w:colFirst="0" w:colLast="0"/>
      <w:bookmarkEnd w:id="115"/>
      <w:r>
        <w:rPr>
          <w:rFonts w:ascii="Arial" w:eastAsia="Arial" w:hAnsi="Arial" w:cs="Arial"/>
          <w:color w:val="000000"/>
        </w:rPr>
        <w:t xml:space="preserve">The commodification process depicted in Figure 8 constructs a one-dimensional, homogenised notion of Indigenous culture (Deloria 1997). Quijano explored this in his work on coloniality, where Indigenous populations were forged with new identities defined by Eurocentric systems of knowledge, arguing “The dominated population, in </w:t>
      </w:r>
      <w:r>
        <w:rPr>
          <w:rFonts w:ascii="Arial" w:eastAsia="Arial" w:hAnsi="Arial" w:cs="Arial"/>
          <w:color w:val="000000"/>
        </w:rPr>
        <w:lastRenderedPageBreak/>
        <w:t xml:space="preserve">their new, assigned identities, were also subjected to Eurocentric hegemony as a way of knowing.” (Quijano, in Mignolo 2000, p. 54). This epistemic dominance created a hierarchy in which Indigenous knowledges were devalued, simplified, and made legible only through settler logics (Mignolo 2011). </w:t>
      </w:r>
    </w:p>
    <w:p w14:paraId="0266991F"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Waters (2004) notes that where once Indigenous self-representation was historically fluid and dynamic, settler society imposed a rigid binary. Fanon’s analysis of the "Black subject," discussed earlier, helps draw this argument wherein Blackness is constructed and mediated entirely through white perceptions (Fanon, 2001). This “Blackness” parallels the monolithic representation of "the Indian" seen in Figure 8, which renders Indigenous peoples understood only through settler-defined boundaries (Coulthard 20</w:t>
      </w:r>
      <w:r>
        <w:rPr>
          <w:rFonts w:ascii="Arial" w:eastAsia="Arial" w:hAnsi="Arial" w:cs="Arial"/>
          <w:color w:val="000000"/>
        </w:rPr>
        <w:t>14).</w:t>
      </w:r>
    </w:p>
    <w:p w14:paraId="350CFDFF" w14:textId="77777777" w:rsidR="009F0C56" w:rsidRDefault="00653842">
      <w:pPr>
        <w:pBdr>
          <w:top w:val="nil"/>
          <w:left w:val="nil"/>
          <w:bottom w:val="nil"/>
          <w:right w:val="nil"/>
          <w:between w:val="nil"/>
        </w:pBdr>
        <w:spacing w:before="240" w:after="240" w:line="240" w:lineRule="auto"/>
        <w:rPr>
          <w:rFonts w:ascii="Arial" w:eastAsia="Arial" w:hAnsi="Arial" w:cs="Arial"/>
        </w:rPr>
      </w:pPr>
      <w:r>
        <w:rPr>
          <w:rFonts w:ascii="Arial" w:eastAsia="Arial" w:hAnsi="Arial" w:cs="Arial"/>
        </w:rPr>
        <w:t xml:space="preserve">This is seen in Figure 8, in the title, </w:t>
      </w:r>
      <w:r>
        <w:rPr>
          <w:rFonts w:ascii="Arial" w:eastAsia="Arial" w:hAnsi="Arial" w:cs="Arial"/>
          <w:i/>
          <w:iCs/>
        </w:rPr>
        <w:t xml:space="preserve">Essential Native Wisdom, </w:t>
      </w:r>
      <w:r>
        <w:rPr>
          <w:rFonts w:ascii="Arial" w:eastAsia="Arial" w:hAnsi="Arial" w:cs="Arial"/>
        </w:rPr>
        <w:t xml:space="preserve">which exemplifies this process of settler-assigned identities. Coulthard's (2014) work in </w:t>
      </w:r>
      <w:r>
        <w:rPr>
          <w:rFonts w:ascii="Arial" w:eastAsia="Arial" w:hAnsi="Arial" w:cs="Arial"/>
          <w:i/>
          <w:iCs/>
        </w:rPr>
        <w:t xml:space="preserve">Red Skin, White Masks, </w:t>
      </w:r>
      <w:r>
        <w:rPr>
          <w:rFonts w:ascii="Arial" w:eastAsia="Arial" w:hAnsi="Arial" w:cs="Arial"/>
        </w:rPr>
        <w:t xml:space="preserve">helps explore </w:t>
      </w:r>
      <w:r>
        <w:rPr>
          <w:rFonts w:ascii="Arial" w:eastAsia="Arial" w:hAnsi="Arial" w:cs="Arial"/>
          <w:color w:val="000000"/>
        </w:rPr>
        <w:t>the summation of</w:t>
      </w:r>
      <w:r>
        <w:rPr>
          <w:rFonts w:ascii="Arial" w:eastAsia="Arial" w:hAnsi="Arial" w:cs="Arial"/>
        </w:rPr>
        <w:t xml:space="preserve"> </w:t>
      </w:r>
      <w:r>
        <w:rPr>
          <w:rFonts w:ascii="Arial" w:eastAsia="Arial" w:hAnsi="Arial" w:cs="Arial"/>
          <w:color w:val="000000"/>
        </w:rPr>
        <w:t xml:space="preserve">a singular group's wisdom in the books from Figure 8; as with the books ignoring the complex epistemologies and ontologies at play for Indigenous philosophies, settler society operates in reducing them to a settler-understood set of signifiers (Mignolo, 2018). This signals </w:t>
      </w:r>
      <w:r>
        <w:rPr>
          <w:rFonts w:ascii="Arial" w:eastAsia="Arial" w:hAnsi="Arial" w:cs="Arial"/>
        </w:rPr>
        <w:t xml:space="preserve">a colonial semiosis of power, with the transformation of Indigenous knowledge into a consumable narrative for settler audiences. As with the title implying a unified, essential truth across all Indigenous groups, and by reducing these complex epistemologies to a singular, settler-appropriate voice, it reproduces colonial ways of knowing. </w:t>
      </w:r>
    </w:p>
    <w:p w14:paraId="4E790145" w14:textId="77777777" w:rsidR="009F0C56" w:rsidRDefault="00653842">
      <w:pPr>
        <w:pBdr>
          <w:top w:val="nil"/>
          <w:left w:val="nil"/>
          <w:bottom w:val="nil"/>
          <w:right w:val="nil"/>
          <w:between w:val="nil"/>
        </w:pBdr>
        <w:spacing w:before="240" w:after="240" w:line="240" w:lineRule="auto"/>
        <w:rPr>
          <w:rFonts w:ascii="Arial" w:eastAsia="Arial" w:hAnsi="Arial" w:cs="Arial"/>
        </w:rPr>
      </w:pPr>
      <w:r>
        <w:rPr>
          <w:rFonts w:ascii="Arial" w:eastAsia="Arial" w:hAnsi="Arial" w:cs="Arial"/>
          <w:color w:val="000000"/>
        </w:rPr>
        <w:t xml:space="preserve">This distances the Seminole and Miccosukee peoples from the authority of their knowledge systems and their resistance to settler colonial domination (Daigle 2024). </w:t>
      </w:r>
      <w:r>
        <w:rPr>
          <w:color w:val="000000"/>
        </w:rPr>
        <w:t xml:space="preserve">     </w:t>
      </w:r>
      <w:r>
        <w:rPr>
          <w:rFonts w:ascii="Arial" w:eastAsia="Arial" w:hAnsi="Arial" w:cs="Arial"/>
          <w:color w:val="000000"/>
        </w:rPr>
        <w:t xml:space="preserve">Through enabling settlers to purchase this "wisdom," Indigenous nations like the Seminole and Miccosukee are involuntarily aligned with the capitalist economy. As with settler society commodifying the essence of the Indian within the settler public, their knowledge is stripped of context, and they are further homogenised into the pan-Indigenous commodification of the Indian that settler society has constructed </w:t>
      </w:r>
      <w:r>
        <w:rPr>
          <w:rFonts w:ascii="Arial" w:eastAsia="Arial" w:hAnsi="Arial" w:cs="Arial"/>
        </w:rPr>
        <w:t xml:space="preserve">(Escobar, 2007). Here, this notion of the pan-Indigenous explores how settler society specifically chooses items to commodify that are selectively extracted from Indigenous cultures, which are perceived as aesthetically and ethically digestible. </w:t>
      </w:r>
    </w:p>
    <w:p w14:paraId="1332988C" w14:textId="77777777" w:rsidR="009F0C56" w:rsidRDefault="00653842">
      <w:pPr>
        <w:pBdr>
          <w:top w:val="nil"/>
          <w:left w:val="nil"/>
          <w:bottom w:val="nil"/>
          <w:right w:val="nil"/>
          <w:between w:val="nil"/>
        </w:pBdr>
        <w:spacing w:before="240" w:after="240" w:line="240" w:lineRule="auto"/>
        <w:rPr>
          <w:rFonts w:ascii="Arial" w:eastAsia="Arial" w:hAnsi="Arial" w:cs="Arial"/>
          <w:color w:val="000000"/>
        </w:rPr>
      </w:pPr>
      <w:r>
        <w:rPr>
          <w:rFonts w:ascii="Arial" w:eastAsia="Arial" w:hAnsi="Arial" w:cs="Arial"/>
        </w:rPr>
        <w:t xml:space="preserve">In this, the Dreamcatcher continues this representational manipulation of the settler, assigning identities. As originally an Anishinaabe object, the dreamcatcher has become emblematic of a broader “Indian” identity, where, through this adoption by the neo-hippie and eco-holistic movements (Aldred, 2000). The use of the Dreamcatcher in Figure 9 fortifies </w:t>
      </w:r>
      <w:r>
        <w:rPr>
          <w:rFonts w:ascii="Arial" w:eastAsia="Arial" w:hAnsi="Arial" w:cs="Arial"/>
          <w:color w:val="000000"/>
        </w:rPr>
        <w:t>the homogenisation of a single Indian entity. The Dreamcatcher, which is common across Miami’s gentrified neighbourhoods, becomes a symbol of a settler-dictated Indigeneity. The use of these signifiers works not only to erase local nations such as the Seminole and Miccosukee but also to deny their right to be understood through their epistemological positions. Aldred (2000) notes, such commodification results in “plastic shamans”, which ontologically bear no relation to the lived realities or cultural speci</w:t>
      </w:r>
      <w:r>
        <w:rPr>
          <w:rFonts w:ascii="Arial" w:eastAsia="Arial" w:hAnsi="Arial" w:cs="Arial"/>
          <w:color w:val="000000"/>
        </w:rPr>
        <w:t xml:space="preserve">ficity of actual Indigenous nations but visually do. Through this ontological erasure, the Seminole and Miccosukee’s historical struggle for recognition, which was discussed during the historiography section, becomes further detached from their Indigeneity (Cattelino, 2008). </w:t>
      </w:r>
    </w:p>
    <w:p w14:paraId="1712FC97"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lastRenderedPageBreak/>
        <w:t>Instead, settler society strengthens its monopolistic cultural position and reconfigures all Indigenous representations to conform to a pan-Indigenous aesthetic that is interchangeable and romanticised. Lightfoot’s work has similarities with the analysis of settlers embracing dreamcatchers and eco-spirituality. As in their work, settler society maintains control over aspects of Indigeneity that can be amplified and silenced in creating the ideal Indian image. This</w:t>
      </w:r>
      <w:r>
        <w:rPr>
          <w:rFonts w:ascii="Times New Roman" w:eastAsia="Times New Roman" w:hAnsi="Times New Roman" w:cs="Times New Roman"/>
          <w:color w:val="000000"/>
        </w:rPr>
        <w:t xml:space="preserve"> </w:t>
      </w:r>
      <w:r>
        <w:rPr>
          <w:rFonts w:ascii="Arial" w:eastAsia="Arial" w:hAnsi="Arial" w:cs="Arial"/>
          <w:color w:val="000000"/>
        </w:rPr>
        <w:t>creates a cultural binary for Indigenous people,</w:t>
      </w:r>
      <w:r>
        <w:rPr>
          <w:rFonts w:ascii="Arial" w:eastAsia="Arial" w:hAnsi="Arial" w:cs="Arial"/>
          <w:color w:val="008000"/>
        </w:rPr>
        <w:t xml:space="preserve"> </w:t>
      </w:r>
      <w:r>
        <w:rPr>
          <w:rFonts w:ascii="Arial" w:eastAsia="Arial" w:hAnsi="Arial" w:cs="Arial"/>
          <w:color w:val="000000"/>
        </w:rPr>
        <w:t>which forces them to choose between assimilation and invisibility within larger settler colonial contexts of Indigeneity. In this choice, it becomes clear that Figures 8 and 9 do not simply reflect a settler's ignorance; they are mechanisms of settler colonial power. Where settler society reconstructs and packages Indigenous knowledge into consumable commodities that erase Seminole and Miccosukee ontologies.</w:t>
      </w:r>
    </w:p>
    <w:p w14:paraId="4E70FC81" w14:textId="77777777" w:rsidR="009F0C56" w:rsidRDefault="00653842">
      <w:pPr>
        <w:pBdr>
          <w:top w:val="nil"/>
          <w:left w:val="nil"/>
          <w:bottom w:val="nil"/>
          <w:right w:val="nil"/>
          <w:between w:val="nil"/>
        </w:pBdr>
        <w:spacing w:line="240" w:lineRule="auto"/>
        <w:rPr>
          <w:rFonts w:ascii="Arial" w:eastAsia="Arial" w:hAnsi="Arial" w:cs="Arial"/>
          <w:color w:val="000000"/>
          <w:sz w:val="20"/>
          <w:szCs w:val="20"/>
        </w:rPr>
      </w:pPr>
      <w:r>
        <w:rPr>
          <w:rFonts w:ascii="Arial" w:eastAsia="Arial" w:hAnsi="Arial" w:cs="Arial"/>
          <w:color w:val="000000"/>
        </w:rPr>
        <w:t>Therefore, these tools of settler representation do not misrepresent Indigeneity for the Floridan area; they actively dismantle Seminole and Miccosukee autonomy and epistemic sovereignty, as their signifiers lie outside the settler Pan-Indigenous spectrum. This</w:t>
      </w:r>
      <w:r>
        <w:rPr>
          <w:rFonts w:ascii="Arial" w:eastAsia="Arial" w:hAnsi="Arial" w:cs="Arial"/>
          <w:color w:val="008000"/>
        </w:rPr>
        <w:t xml:space="preserve"> </w:t>
      </w:r>
      <w:r>
        <w:rPr>
          <w:rFonts w:ascii="Arial" w:eastAsia="Arial" w:hAnsi="Arial" w:cs="Arial"/>
          <w:color w:val="000000"/>
        </w:rPr>
        <w:t>is emblematic of how settler colonialism takes force within corporate colonialism. A thought that will be discussed more heavily in the following analysis chapter, but fundamentally analyses how coloniality is not directed by a state or other power centre, but instead driven by diverse and decentred demands of settler populations (Veracini 2008). In this, their ontologies become erased in society, and they are ideologically forced to join the settler collective unconscious of Indigeneity, which will be expl</w:t>
      </w:r>
      <w:r>
        <w:rPr>
          <w:rFonts w:ascii="Arial" w:eastAsia="Arial" w:hAnsi="Arial" w:cs="Arial"/>
          <w:color w:val="000000"/>
        </w:rPr>
        <w:t>ored in the following section (Aldred, 2000; Wolfe, 2016; LaDuke, 2012).</w:t>
      </w:r>
    </w:p>
    <w:p w14:paraId="5F93BDEC" w14:textId="77777777" w:rsidR="009F0C56" w:rsidRDefault="00653842">
      <w:pPr>
        <w:pStyle w:val="Heading3"/>
        <w:rPr>
          <w:sz w:val="32"/>
          <w:szCs w:val="32"/>
        </w:rPr>
      </w:pPr>
      <w:bookmarkStart w:id="116" w:name="_Toc240966036"/>
      <w:r>
        <w:rPr>
          <w:sz w:val="32"/>
          <w:szCs w:val="32"/>
        </w:rPr>
        <w:t>7.11 Settler collective unconscious</w:t>
      </w:r>
      <w:bookmarkEnd w:id="116"/>
      <w:r>
        <w:rPr>
          <w:sz w:val="32"/>
          <w:szCs w:val="32"/>
        </w:rPr>
        <w:t xml:space="preserve"> </w:t>
      </w:r>
    </w:p>
    <w:p w14:paraId="41E9F780" w14:textId="77777777" w:rsidR="009F0C56" w:rsidRDefault="00653842">
      <w:pPr>
        <w:pBdr>
          <w:top w:val="nil"/>
          <w:left w:val="nil"/>
          <w:bottom w:val="nil"/>
          <w:right w:val="nil"/>
          <w:between w:val="nil"/>
        </w:pBdr>
        <w:spacing w:before="240" w:after="240" w:line="240" w:lineRule="auto"/>
        <w:rPr>
          <w:rFonts w:ascii="Arial" w:eastAsia="Arial" w:hAnsi="Arial" w:cs="Arial"/>
          <w:color w:val="000000"/>
        </w:rPr>
      </w:pPr>
      <w:r>
        <w:rPr>
          <w:rFonts w:ascii="Arial" w:eastAsia="Arial" w:hAnsi="Arial" w:cs="Arial"/>
          <w:color w:val="000000"/>
        </w:rPr>
        <w:t xml:space="preserve">The grouping of Indigenous signifiers into singular settler discourse around Indigenous culture is a conscious effort that can be understood by settler society to build interpretations and commodify Indigenous culture, to strengthen the power dynamics of assimilation and erasure (Wolfe, 2016). This is ultimately undertaken as it reduces the ability of Indigenous communities to assert their own culture and identity. Figure 11 below, which will be later analysed, highlights this assimilation and erasure. </w:t>
      </w:r>
    </w:p>
    <w:p w14:paraId="47C8D180" w14:textId="77777777" w:rsidR="009F0C56" w:rsidRDefault="009F0C56">
      <w:pPr>
        <w:pBdr>
          <w:top w:val="nil"/>
          <w:left w:val="nil"/>
          <w:bottom w:val="nil"/>
          <w:right w:val="nil"/>
          <w:between w:val="nil"/>
        </w:pBdr>
        <w:spacing w:before="240" w:after="240" w:line="240" w:lineRule="auto"/>
        <w:rPr>
          <w:rFonts w:ascii="Arial" w:eastAsia="Arial" w:hAnsi="Arial" w:cs="Arial"/>
          <w:color w:val="000000"/>
        </w:rPr>
      </w:pPr>
    </w:p>
    <w:p w14:paraId="7E19F9D5" w14:textId="77777777" w:rsidR="009F0C56" w:rsidRDefault="009F0C56">
      <w:pPr>
        <w:pBdr>
          <w:top w:val="nil"/>
          <w:left w:val="nil"/>
          <w:bottom w:val="nil"/>
          <w:right w:val="nil"/>
          <w:between w:val="nil"/>
        </w:pBdr>
        <w:spacing w:before="240" w:after="240" w:line="240" w:lineRule="auto"/>
        <w:rPr>
          <w:rFonts w:ascii="Arial" w:eastAsia="Arial" w:hAnsi="Arial" w:cs="Arial"/>
          <w:color w:val="000000"/>
        </w:rPr>
      </w:pPr>
    </w:p>
    <w:p w14:paraId="45925485" w14:textId="77777777" w:rsidR="009F0C56" w:rsidRDefault="009F0C56">
      <w:pPr>
        <w:pBdr>
          <w:top w:val="nil"/>
          <w:left w:val="nil"/>
          <w:bottom w:val="nil"/>
          <w:right w:val="nil"/>
          <w:between w:val="nil"/>
        </w:pBdr>
        <w:spacing w:before="240" w:after="240" w:line="240" w:lineRule="auto"/>
        <w:rPr>
          <w:rFonts w:ascii="Arial" w:eastAsia="Arial" w:hAnsi="Arial" w:cs="Arial"/>
          <w:color w:val="000000"/>
        </w:rPr>
      </w:pPr>
    </w:p>
    <w:p w14:paraId="19C13AC6" w14:textId="77777777" w:rsidR="009F0C56" w:rsidRDefault="009F0C56">
      <w:pPr>
        <w:pBdr>
          <w:top w:val="nil"/>
          <w:left w:val="nil"/>
          <w:bottom w:val="nil"/>
          <w:right w:val="nil"/>
          <w:between w:val="nil"/>
        </w:pBdr>
        <w:spacing w:before="240" w:after="240" w:line="240" w:lineRule="auto"/>
        <w:rPr>
          <w:rFonts w:ascii="Arial" w:eastAsia="Arial" w:hAnsi="Arial" w:cs="Arial"/>
          <w:color w:val="000000"/>
        </w:rPr>
      </w:pPr>
    </w:p>
    <w:p w14:paraId="24F88A35" w14:textId="77777777" w:rsidR="009F0C56" w:rsidRDefault="009F0C56">
      <w:pPr>
        <w:pBdr>
          <w:top w:val="nil"/>
          <w:left w:val="nil"/>
          <w:bottom w:val="nil"/>
          <w:right w:val="nil"/>
          <w:between w:val="nil"/>
        </w:pBdr>
        <w:spacing w:before="240" w:after="240" w:line="240" w:lineRule="auto"/>
        <w:rPr>
          <w:rFonts w:ascii="Arial" w:eastAsia="Arial" w:hAnsi="Arial" w:cs="Arial"/>
          <w:color w:val="000000"/>
        </w:rPr>
      </w:pPr>
    </w:p>
    <w:p w14:paraId="6DDAE9A5" w14:textId="77777777" w:rsidR="009F0C56" w:rsidRDefault="009F0C56">
      <w:pPr>
        <w:pBdr>
          <w:top w:val="nil"/>
          <w:left w:val="nil"/>
          <w:bottom w:val="nil"/>
          <w:right w:val="nil"/>
          <w:between w:val="nil"/>
        </w:pBdr>
        <w:spacing w:before="240" w:after="240" w:line="240" w:lineRule="auto"/>
        <w:rPr>
          <w:rFonts w:ascii="Arial" w:eastAsia="Arial" w:hAnsi="Arial" w:cs="Arial"/>
          <w:color w:val="000000"/>
        </w:rPr>
      </w:pPr>
    </w:p>
    <w:p w14:paraId="02424958" w14:textId="77777777" w:rsidR="009F0C56" w:rsidRDefault="009F0C56">
      <w:pPr>
        <w:pBdr>
          <w:top w:val="nil"/>
          <w:left w:val="nil"/>
          <w:bottom w:val="nil"/>
          <w:right w:val="nil"/>
          <w:between w:val="nil"/>
        </w:pBdr>
        <w:spacing w:before="240" w:after="240" w:line="240" w:lineRule="auto"/>
        <w:rPr>
          <w:rFonts w:ascii="Arial" w:eastAsia="Arial" w:hAnsi="Arial" w:cs="Arial"/>
          <w:color w:val="000000"/>
        </w:rPr>
      </w:pPr>
    </w:p>
    <w:p w14:paraId="440465BF" w14:textId="77777777" w:rsidR="009F0C56" w:rsidRDefault="009F0C56">
      <w:pPr>
        <w:pBdr>
          <w:top w:val="nil"/>
          <w:left w:val="nil"/>
          <w:bottom w:val="nil"/>
          <w:right w:val="nil"/>
          <w:between w:val="nil"/>
        </w:pBdr>
        <w:spacing w:before="240" w:after="240" w:line="240" w:lineRule="auto"/>
        <w:rPr>
          <w:rFonts w:ascii="Arial" w:eastAsia="Arial" w:hAnsi="Arial" w:cs="Arial"/>
          <w:color w:val="000000"/>
        </w:rPr>
      </w:pPr>
    </w:p>
    <w:p w14:paraId="77C033BE" w14:textId="77777777" w:rsidR="009F0C56" w:rsidRDefault="009F0C56">
      <w:pPr>
        <w:pBdr>
          <w:top w:val="nil"/>
          <w:left w:val="nil"/>
          <w:bottom w:val="nil"/>
          <w:right w:val="nil"/>
          <w:between w:val="nil"/>
        </w:pBdr>
        <w:spacing w:before="240" w:after="240" w:line="240" w:lineRule="auto"/>
        <w:rPr>
          <w:rFonts w:ascii="Arial" w:eastAsia="Arial" w:hAnsi="Arial" w:cs="Arial"/>
          <w:color w:val="000000"/>
        </w:rPr>
      </w:pPr>
    </w:p>
    <w:p w14:paraId="238DEB53" w14:textId="77777777" w:rsidR="009F0C56" w:rsidRDefault="00653842">
      <w:pPr>
        <w:pBdr>
          <w:top w:val="nil"/>
          <w:left w:val="nil"/>
          <w:bottom w:val="nil"/>
          <w:right w:val="nil"/>
          <w:between w:val="nil"/>
        </w:pBdr>
        <w:spacing w:before="240" w:after="240" w:line="240" w:lineRule="auto"/>
        <w:rPr>
          <w:rFonts w:ascii="Arial" w:eastAsia="Arial" w:hAnsi="Arial" w:cs="Arial"/>
          <w:sz w:val="18"/>
          <w:szCs w:val="18"/>
        </w:rPr>
      </w:pPr>
      <w:bookmarkStart w:id="117" w:name="_heading=h.n0bjr2kquvf8" w:colFirst="0" w:colLast="0"/>
      <w:bookmarkEnd w:id="117"/>
      <w:r>
        <w:rPr>
          <w:rFonts w:ascii="Arial" w:eastAsia="Arial" w:hAnsi="Arial" w:cs="Arial"/>
          <w:color w:val="000000"/>
          <w:sz w:val="18"/>
          <w:szCs w:val="18"/>
        </w:rPr>
        <w:lastRenderedPageBreak/>
        <w:t>Figure 11 – Wynwood district street graffiti 09/07/23</w:t>
      </w:r>
    </w:p>
    <w:p w14:paraId="168986D4" w14:textId="77777777" w:rsidR="009F0C56" w:rsidRDefault="009F0C56">
      <w:pPr>
        <w:pBdr>
          <w:top w:val="nil"/>
          <w:left w:val="nil"/>
          <w:bottom w:val="nil"/>
          <w:right w:val="nil"/>
          <w:between w:val="nil"/>
        </w:pBdr>
        <w:spacing w:before="240" w:after="240" w:line="240" w:lineRule="auto"/>
        <w:rPr>
          <w:rFonts w:ascii="Arial" w:eastAsia="Arial" w:hAnsi="Arial" w:cs="Arial"/>
          <w:sz w:val="18"/>
          <w:szCs w:val="18"/>
        </w:rPr>
      </w:pPr>
    </w:p>
    <w:p w14:paraId="350624EB" w14:textId="77777777" w:rsidR="009F0C56" w:rsidRDefault="00653842">
      <w:pPr>
        <w:pBdr>
          <w:top w:val="nil"/>
          <w:left w:val="nil"/>
          <w:bottom w:val="nil"/>
          <w:right w:val="nil"/>
          <w:between w:val="nil"/>
        </w:pBdr>
        <w:spacing w:before="240" w:after="240" w:line="240" w:lineRule="auto"/>
        <w:rPr>
          <w:rFonts w:ascii="Arial" w:eastAsia="Arial" w:hAnsi="Arial" w:cs="Arial"/>
        </w:rPr>
      </w:pPr>
      <w:r>
        <w:rPr>
          <w:noProof/>
        </w:rPr>
        <w:drawing>
          <wp:anchor distT="0" distB="0" distL="114300" distR="114300" simplePos="0" relativeHeight="251664384" behindDoc="0" locked="0" layoutInCell="1" hidden="0" allowOverlap="1" wp14:anchorId="278B85D2" wp14:editId="2E99816A">
            <wp:simplePos x="0" y="0"/>
            <wp:positionH relativeFrom="column">
              <wp:posOffset>-63498</wp:posOffset>
            </wp:positionH>
            <wp:positionV relativeFrom="paragraph">
              <wp:posOffset>0</wp:posOffset>
            </wp:positionV>
            <wp:extent cx="3683000" cy="3143250"/>
            <wp:effectExtent l="0" t="0" r="0" b="0"/>
            <wp:wrapSquare wrapText="bothSides" distT="0" distB="0" distL="114300" distR="114300"/>
            <wp:docPr id="1874855856" name="image7.jpg" descr="A sidewalk with chalk on the 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jpg" descr="A sidewalk with chalk on the ground&#10;&#10;Description automatically generated"/>
                    <pic:cNvPicPr preferRelativeResize="0"/>
                  </pic:nvPicPr>
                  <pic:blipFill>
                    <a:blip r:embed="rId20"/>
                    <a:srcRect t="34736" b="8483"/>
                    <a:stretch>
                      <a:fillRect/>
                    </a:stretch>
                  </pic:blipFill>
                  <pic:spPr>
                    <a:xfrm>
                      <a:off x="0" y="0"/>
                      <a:ext cx="3683000" cy="3143250"/>
                    </a:xfrm>
                    <a:prstGeom prst="rect">
                      <a:avLst/>
                    </a:prstGeom>
                    <a:ln/>
                  </pic:spPr>
                </pic:pic>
              </a:graphicData>
            </a:graphic>
          </wp:anchor>
        </w:drawing>
      </w:r>
    </w:p>
    <w:p w14:paraId="47C32429" w14:textId="77777777" w:rsidR="009F0C56" w:rsidRDefault="009F0C56">
      <w:pPr>
        <w:pBdr>
          <w:top w:val="nil"/>
          <w:left w:val="nil"/>
          <w:bottom w:val="nil"/>
          <w:right w:val="nil"/>
          <w:between w:val="nil"/>
        </w:pBdr>
        <w:spacing w:before="240" w:after="240" w:line="240" w:lineRule="auto"/>
        <w:rPr>
          <w:rFonts w:ascii="Arial" w:eastAsia="Arial" w:hAnsi="Arial" w:cs="Arial"/>
        </w:rPr>
      </w:pPr>
    </w:p>
    <w:p w14:paraId="244F1C1A" w14:textId="77777777" w:rsidR="009F0C56" w:rsidRDefault="009F0C56">
      <w:pPr>
        <w:pBdr>
          <w:top w:val="nil"/>
          <w:left w:val="nil"/>
          <w:bottom w:val="nil"/>
          <w:right w:val="nil"/>
          <w:between w:val="nil"/>
        </w:pBdr>
        <w:spacing w:before="240" w:after="240" w:line="240" w:lineRule="auto"/>
        <w:rPr>
          <w:rFonts w:ascii="Arial" w:eastAsia="Arial" w:hAnsi="Arial" w:cs="Arial"/>
        </w:rPr>
      </w:pPr>
    </w:p>
    <w:p w14:paraId="09F5D7CE" w14:textId="77777777" w:rsidR="009F0C56" w:rsidRDefault="009F0C56">
      <w:pPr>
        <w:pBdr>
          <w:top w:val="nil"/>
          <w:left w:val="nil"/>
          <w:bottom w:val="nil"/>
          <w:right w:val="nil"/>
          <w:between w:val="nil"/>
        </w:pBdr>
        <w:spacing w:before="240" w:after="240" w:line="240" w:lineRule="auto"/>
        <w:rPr>
          <w:rFonts w:ascii="Arial" w:eastAsia="Arial" w:hAnsi="Arial" w:cs="Arial"/>
        </w:rPr>
      </w:pPr>
    </w:p>
    <w:p w14:paraId="3764C2D1" w14:textId="77777777" w:rsidR="009F0C56" w:rsidRDefault="009F0C56">
      <w:pPr>
        <w:pBdr>
          <w:top w:val="nil"/>
          <w:left w:val="nil"/>
          <w:bottom w:val="nil"/>
          <w:right w:val="nil"/>
          <w:between w:val="nil"/>
        </w:pBdr>
        <w:spacing w:before="240" w:after="240" w:line="240" w:lineRule="auto"/>
        <w:rPr>
          <w:rFonts w:ascii="Arial" w:eastAsia="Arial" w:hAnsi="Arial" w:cs="Arial"/>
        </w:rPr>
      </w:pPr>
    </w:p>
    <w:p w14:paraId="2F92A29F" w14:textId="77777777" w:rsidR="009F0C56" w:rsidRDefault="009F0C56">
      <w:pPr>
        <w:pBdr>
          <w:top w:val="nil"/>
          <w:left w:val="nil"/>
          <w:bottom w:val="nil"/>
          <w:right w:val="nil"/>
          <w:between w:val="nil"/>
        </w:pBdr>
        <w:spacing w:before="240" w:after="240" w:line="240" w:lineRule="auto"/>
        <w:rPr>
          <w:rFonts w:ascii="Arial" w:eastAsia="Arial" w:hAnsi="Arial" w:cs="Arial"/>
        </w:rPr>
      </w:pPr>
    </w:p>
    <w:p w14:paraId="2775674F" w14:textId="77777777" w:rsidR="009F0C56" w:rsidRDefault="009F0C56">
      <w:pPr>
        <w:pBdr>
          <w:top w:val="nil"/>
          <w:left w:val="nil"/>
          <w:bottom w:val="nil"/>
          <w:right w:val="nil"/>
          <w:between w:val="nil"/>
        </w:pBdr>
        <w:spacing w:before="240" w:after="240" w:line="240" w:lineRule="auto"/>
        <w:rPr>
          <w:rFonts w:ascii="Arial" w:eastAsia="Arial" w:hAnsi="Arial" w:cs="Arial"/>
        </w:rPr>
      </w:pPr>
    </w:p>
    <w:p w14:paraId="5E09085B" w14:textId="77777777" w:rsidR="009F0C56" w:rsidRDefault="009F0C56">
      <w:pPr>
        <w:pBdr>
          <w:top w:val="nil"/>
          <w:left w:val="nil"/>
          <w:bottom w:val="nil"/>
          <w:right w:val="nil"/>
          <w:between w:val="nil"/>
        </w:pBdr>
        <w:spacing w:before="240" w:after="240" w:line="240" w:lineRule="auto"/>
        <w:rPr>
          <w:rFonts w:ascii="Arial" w:eastAsia="Arial" w:hAnsi="Arial" w:cs="Arial"/>
          <w:color w:val="000000"/>
        </w:rPr>
      </w:pPr>
    </w:p>
    <w:p w14:paraId="1B926FEA" w14:textId="77777777" w:rsidR="009F0C56" w:rsidRDefault="009F0C56">
      <w:pPr>
        <w:pBdr>
          <w:top w:val="nil"/>
          <w:left w:val="nil"/>
          <w:bottom w:val="nil"/>
          <w:right w:val="nil"/>
          <w:between w:val="nil"/>
        </w:pBdr>
        <w:spacing w:before="240" w:after="240" w:line="240" w:lineRule="auto"/>
        <w:rPr>
          <w:rFonts w:ascii="Arial" w:eastAsia="Arial" w:hAnsi="Arial" w:cs="Arial"/>
          <w:color w:val="000000"/>
        </w:rPr>
      </w:pPr>
    </w:p>
    <w:p w14:paraId="5BDC2A37" w14:textId="77777777" w:rsidR="009F0C56" w:rsidRDefault="009F0C56">
      <w:pPr>
        <w:pBdr>
          <w:top w:val="nil"/>
          <w:left w:val="nil"/>
          <w:bottom w:val="nil"/>
          <w:right w:val="nil"/>
          <w:between w:val="nil"/>
        </w:pBdr>
        <w:spacing w:before="240" w:after="240" w:line="240" w:lineRule="auto"/>
        <w:rPr>
          <w:rFonts w:ascii="Arial" w:eastAsia="Arial" w:hAnsi="Arial" w:cs="Arial"/>
          <w:color w:val="000000"/>
        </w:rPr>
      </w:pPr>
    </w:p>
    <w:p w14:paraId="284C6164" w14:textId="77777777" w:rsidR="009F0C56" w:rsidRDefault="00653842">
      <w:pPr>
        <w:pBdr>
          <w:top w:val="nil"/>
          <w:left w:val="nil"/>
          <w:bottom w:val="nil"/>
          <w:right w:val="nil"/>
          <w:between w:val="nil"/>
        </w:pBdr>
        <w:spacing w:before="240" w:after="240" w:line="240" w:lineRule="auto"/>
        <w:rPr>
          <w:rFonts w:ascii="Arial" w:eastAsia="Arial" w:hAnsi="Arial" w:cs="Arial"/>
          <w:color w:val="000000"/>
        </w:rPr>
      </w:pPr>
      <w:r>
        <w:rPr>
          <w:rFonts w:ascii="Arial" w:eastAsia="Arial" w:hAnsi="Arial" w:cs="Arial"/>
          <w:color w:val="000000"/>
        </w:rPr>
        <w:t xml:space="preserve">Figure 11, taken in the Wynwood district of Miami, is an area known for graffiti and mass gentrification. The image displays Indigenous silhouettes; the imagery revolves around war bonnets in different colours. The image has no artist name or QR code, and doing a reverse image search brought no more information. Regardless of the artist, this image narrates the commercialised representation of what settler society collectively </w:t>
      </w:r>
      <w:r>
        <w:rPr>
          <w:rFonts w:ascii="Arial" w:eastAsia="Arial" w:hAnsi="Arial" w:cs="Arial"/>
        </w:rPr>
        <w:t>understands</w:t>
      </w:r>
      <w:r>
        <w:rPr>
          <w:rFonts w:ascii="Arial" w:eastAsia="Arial" w:hAnsi="Arial" w:cs="Arial"/>
          <w:color w:val="000000"/>
        </w:rPr>
        <w:t xml:space="preserve"> Indian signifiers to be.  This was untypical for the graffiti in the area, which typically came with a QR code to follow or a tag that could identify the artist involved. Here, Simpson’s (2007) and Moreton-Robinson's (2015) work on the vanishing-Indian,</w:t>
      </w:r>
      <w:r>
        <w:rPr>
          <w:rFonts w:ascii="Arial" w:eastAsia="Arial" w:hAnsi="Arial" w:cs="Arial"/>
          <w:color w:val="008000"/>
        </w:rPr>
        <w:t xml:space="preserve"> </w:t>
      </w:r>
      <w:r>
        <w:rPr>
          <w:rFonts w:ascii="Arial" w:eastAsia="Arial" w:hAnsi="Arial" w:cs="Arial"/>
          <w:color w:val="000000"/>
        </w:rPr>
        <w:t xml:space="preserve">which will be analysed in greater length later on during the historization chapter, draws attention here to how the image is fading, and with no QR code, the image is vanishing. This draws connotations to the idea that Indigenous representations beyond their commercial value hold no intrinsic place in settler society and are relegated to a disappearing / vanishing existence. </w:t>
      </w:r>
    </w:p>
    <w:p w14:paraId="1540F1E7" w14:textId="77777777" w:rsidR="009F0C56" w:rsidRDefault="00653842">
      <w:pPr>
        <w:pBdr>
          <w:top w:val="nil"/>
          <w:left w:val="nil"/>
          <w:bottom w:val="nil"/>
          <w:right w:val="nil"/>
          <w:between w:val="nil"/>
        </w:pBdr>
        <w:spacing w:before="240" w:after="240" w:line="240" w:lineRule="auto"/>
        <w:rPr>
          <w:rFonts w:ascii="Arial" w:eastAsia="Arial" w:hAnsi="Arial" w:cs="Arial"/>
          <w:color w:val="000000"/>
        </w:rPr>
      </w:pPr>
      <w:r>
        <w:rPr>
          <w:rFonts w:ascii="Arial" w:eastAsia="Arial" w:hAnsi="Arial" w:cs="Arial"/>
        </w:rPr>
        <w:t>The</w:t>
      </w:r>
      <w:r>
        <w:rPr>
          <w:rFonts w:ascii="Arial" w:eastAsia="Arial" w:hAnsi="Arial" w:cs="Arial"/>
          <w:color w:val="008000"/>
        </w:rPr>
        <w:t xml:space="preserve"> </w:t>
      </w:r>
      <w:r>
        <w:rPr>
          <w:rFonts w:ascii="Arial" w:eastAsia="Arial" w:hAnsi="Arial" w:cs="Arial"/>
          <w:color w:val="000000"/>
        </w:rPr>
        <w:t>commodification process evident in Figures 10 and 11 erases Indigenous ontologies, signs, and symbols from the public consciousness, replacing them with settler-manufactured alternatives that do not challenge the colonial status quo. Figure 11 exemplifies this by reinforcing settler stereotypes of war bonnets as universal signifiers of Indigeneity, an idea that Figure 11 further supports through their commercial availability. These depictions operate within a settler memory, which normalises monolithic repr</w:t>
      </w:r>
      <w:r>
        <w:rPr>
          <w:rFonts w:ascii="Arial" w:eastAsia="Arial" w:hAnsi="Arial" w:cs="Arial"/>
          <w:color w:val="000000"/>
        </w:rPr>
        <w:t>esentations of Indigenous communities in the public sphere (Bruyneel 2021). This homogenisation, as discussed during the previous chapter, functions to alienate the settler public from the individuality and sovereignty of diverse Indigenous Nations, particularly the Seminole and Miccosukee in this context.</w:t>
      </w:r>
    </w:p>
    <w:p w14:paraId="778CE3B6" w14:textId="77777777" w:rsidR="009F0C56" w:rsidRDefault="00653842">
      <w:pPr>
        <w:pBdr>
          <w:top w:val="nil"/>
          <w:left w:val="nil"/>
          <w:bottom w:val="nil"/>
          <w:right w:val="nil"/>
          <w:between w:val="nil"/>
        </w:pBdr>
        <w:spacing w:before="240" w:after="240" w:line="240" w:lineRule="auto"/>
        <w:rPr>
          <w:rFonts w:ascii="Arial" w:eastAsia="Arial" w:hAnsi="Arial" w:cs="Arial"/>
        </w:rPr>
      </w:pPr>
      <w:r>
        <w:rPr>
          <w:rFonts w:ascii="Arial" w:eastAsia="Arial" w:hAnsi="Arial" w:cs="Arial"/>
        </w:rPr>
        <w:t xml:space="preserve">In this, the ethnographic fieldwork in South Florida consistently demonstrated the deployment of war bonnets as a visual cue, one dissociated from any cultural </w:t>
      </w:r>
      <w:r>
        <w:rPr>
          <w:rFonts w:ascii="Arial" w:eastAsia="Arial" w:hAnsi="Arial" w:cs="Arial"/>
        </w:rPr>
        <w:lastRenderedPageBreak/>
        <w:t>relevance to the Seminole or Miccosukee peoples. Despite their sacred origins among Plains Indigenous Nations, the war bonnet has become a selectively endorsed item by settler society, due to its visual recognisability, like the Dreamcatcher in Figure 9 (Aldred 2000, Lightfoot 2012). This</w:t>
      </w:r>
      <w:r>
        <w:rPr>
          <w:rFonts w:ascii="Arial" w:eastAsia="Arial" w:hAnsi="Arial" w:cs="Arial"/>
          <w:color w:val="008000"/>
        </w:rPr>
        <w:t xml:space="preserve"> </w:t>
      </w:r>
      <w:r>
        <w:rPr>
          <w:rFonts w:ascii="Arial" w:eastAsia="Arial" w:hAnsi="Arial" w:cs="Arial"/>
          <w:color w:val="000000"/>
        </w:rPr>
        <w:t xml:space="preserve">selectivity aligns with Lightfoot’s analysis of settler states embracing symbolic, non-threatening aspects of Indigenous culture, such as regalia or spirituality, while systematically excluding Indigenous political rights, land claims, or epistemological authority. </w:t>
      </w:r>
      <w:r>
        <w:rPr>
          <w:rFonts w:ascii="Arial" w:eastAsia="Arial" w:hAnsi="Arial" w:cs="Arial"/>
        </w:rPr>
        <w:t xml:space="preserve">The replacement of authentic ontological systems with colonial assemblages benefits the settler-capitalist state by gaining and inserting a marketable, romanticised version of Indigeneity into public space. The war bonnet becomes not only a fetishised item but a capitalist mechanism through which settler society maintains control over Indigenous representation (Barker 2021). </w:t>
      </w:r>
    </w:p>
    <w:p w14:paraId="7308B12E" w14:textId="3B239621" w:rsidR="009F0C56" w:rsidRDefault="00653842">
      <w:pPr>
        <w:pBdr>
          <w:top w:val="nil"/>
          <w:left w:val="nil"/>
          <w:bottom w:val="nil"/>
          <w:right w:val="nil"/>
          <w:between w:val="nil"/>
        </w:pBdr>
        <w:spacing w:before="240" w:after="240" w:line="240" w:lineRule="auto"/>
        <w:rPr>
          <w:rFonts w:ascii="Arial" w:eastAsia="Arial" w:hAnsi="Arial" w:cs="Arial"/>
          <w:color w:val="000000"/>
        </w:rPr>
      </w:pPr>
      <w:r>
        <w:rPr>
          <w:rFonts w:ascii="Arial" w:eastAsia="Arial" w:hAnsi="Arial" w:cs="Arial"/>
          <w:color w:val="000000"/>
        </w:rPr>
        <w:t>As Westberg (2023)</w:t>
      </w:r>
      <w:r w:rsidR="00E40CD6">
        <w:rPr>
          <w:rFonts w:ascii="Arial" w:eastAsia="Arial" w:hAnsi="Arial" w:cs="Arial"/>
          <w:color w:val="000000"/>
        </w:rPr>
        <w:t>,</w:t>
      </w:r>
      <w:r>
        <w:rPr>
          <w:rFonts w:ascii="Arial" w:eastAsia="Arial" w:hAnsi="Arial" w:cs="Arial"/>
          <w:color w:val="000000"/>
        </w:rPr>
        <w:t xml:space="preserve"> who explored Sami communities’ relations to tourism extraction, </w:t>
      </w:r>
      <w:r>
        <w:rPr>
          <w:rFonts w:ascii="Arial" w:eastAsia="Arial" w:hAnsi="Arial" w:cs="Arial"/>
          <w:color w:val="000000"/>
        </w:rPr>
        <w:t>not to settler colonial representations, highlights how commodification strips Indigenous communities of the power to define themselves within their ontologies; rather, they become an “object of desire from the perspective of the transient tourist” (Pg. 777) or, in the case of Florida, the settler as well as the settler tourist. Here, this commodification of aesthetic desire benefits the settler-capitalist society, as through the commercialisation and homogenisation of Indigenous communities, settler societ</w:t>
      </w:r>
      <w:r>
        <w:rPr>
          <w:rFonts w:ascii="Arial" w:eastAsia="Arial" w:hAnsi="Arial" w:cs="Arial"/>
          <w:color w:val="000000"/>
        </w:rPr>
        <w:t xml:space="preserve">y eradicates the ontological and epistemological </w:t>
      </w:r>
      <w:r w:rsidR="00E40CD6">
        <w:rPr>
          <w:rFonts w:ascii="Arial" w:eastAsia="Arial" w:hAnsi="Arial" w:cs="Arial"/>
          <w:color w:val="000000"/>
        </w:rPr>
        <w:t>status</w:t>
      </w:r>
      <w:r>
        <w:rPr>
          <w:rFonts w:ascii="Arial" w:eastAsia="Arial" w:hAnsi="Arial" w:cs="Arial"/>
          <w:color w:val="000000"/>
        </w:rPr>
        <w:t xml:space="preserve"> of the Seminole and Miccosukee as i</w:t>
      </w:r>
      <w:r>
        <w:rPr>
          <w:rFonts w:ascii="Arial" w:eastAsia="Arial" w:hAnsi="Arial" w:cs="Arial"/>
        </w:rPr>
        <w:t>ndividuals</w:t>
      </w:r>
      <w:r>
        <w:rPr>
          <w:rFonts w:ascii="Arial" w:eastAsia="Arial" w:hAnsi="Arial" w:cs="Arial"/>
          <w:color w:val="000000"/>
        </w:rPr>
        <w:t xml:space="preserve"> (Cattelino 2008). This allows settler society to distort and implement a settler memory that becomes “either accepted or, if questionable, still not deemed a pressing matter for public discussion” (Bruyneel, Pg.1). </w:t>
      </w:r>
    </w:p>
    <w:p w14:paraId="2F82197D" w14:textId="1E329AA9" w:rsidR="009F0C56" w:rsidRDefault="00653842">
      <w:pPr>
        <w:spacing w:before="280" w:after="280" w:line="240" w:lineRule="auto"/>
        <w:rPr>
          <w:rFonts w:ascii="Arial" w:eastAsia="Arial" w:hAnsi="Arial" w:cs="Arial"/>
        </w:rPr>
      </w:pPr>
      <w:r>
        <w:rPr>
          <w:rFonts w:ascii="Arial" w:eastAsia="Arial" w:hAnsi="Arial" w:cs="Arial"/>
        </w:rPr>
        <w:t>This thought can be further noted in Figure 10, taken along the Tamiami Trail, which uses the image of the war bonnet to signal to settlers and tourists the presence of “Indian goods”. Here, Figures 10 and 11 construct a settler bricolage of realities</w:t>
      </w:r>
      <w:r w:rsidR="00E40CD6">
        <w:rPr>
          <w:rFonts w:ascii="Arial" w:eastAsia="Arial" w:hAnsi="Arial" w:cs="Arial"/>
        </w:rPr>
        <w:t>,</w:t>
      </w:r>
      <w:r>
        <w:rPr>
          <w:rFonts w:ascii="Arial" w:eastAsia="Arial" w:hAnsi="Arial" w:cs="Arial"/>
        </w:rPr>
        <w:t xml:space="preserve"> as the war bonnet for the Seminole and Miccosukee </w:t>
      </w:r>
      <w:r>
        <w:rPr>
          <w:rFonts w:ascii="Arial" w:eastAsia="Arial" w:hAnsi="Arial" w:cs="Arial"/>
          <w:color w:val="000000"/>
        </w:rPr>
        <w:t>holds no cultural importance.</w:t>
      </w:r>
      <w:r>
        <w:rPr>
          <w:rFonts w:ascii="Arial" w:eastAsia="Arial" w:hAnsi="Arial" w:cs="Arial"/>
        </w:rPr>
        <w:t xml:space="preserve"> As noted, the war bonnet holds no cultural significance to the Seminole or Miccosukee; they are worn by specific Plains Nations as a sacred symbol. In this</w:t>
      </w:r>
      <w:r>
        <w:rPr>
          <w:rFonts w:ascii="Arial" w:eastAsia="Arial" w:hAnsi="Arial" w:cs="Arial"/>
          <w:color w:val="000000"/>
        </w:rPr>
        <w:t xml:space="preserve">, their misappropriation works to distort and construct and overwrite local Indigenous identities with generic colonial signifiers, as Davis-Delano et al wrote, settler society “render contemporary Indigenous Peoples invisible, while appropriating, generating, and controlling signifiers of indigeneity in ways that legitimate settler colonialism.” (2020. Pg. 13). </w:t>
      </w:r>
      <w:r>
        <w:rPr>
          <w:rFonts w:ascii="Arial" w:eastAsia="Arial" w:hAnsi="Arial" w:cs="Arial"/>
        </w:rPr>
        <w:t xml:space="preserve">This settler narrative of the war bonnet, therefore, also operates on Gramscian principles of cultural hegemony, where dominant settler ideologies replace and suppress subaltern epistemologies, in this case, Indigenous epistemes (Gramsci, 2011). </w:t>
      </w:r>
    </w:p>
    <w:p w14:paraId="2D1899EB" w14:textId="1AA87D4A" w:rsidR="009F0C56" w:rsidRDefault="00653842">
      <w:pPr>
        <w:spacing w:before="280" w:after="280" w:line="240" w:lineRule="auto"/>
        <w:rPr>
          <w:rFonts w:ascii="Arial" w:eastAsia="Arial" w:hAnsi="Arial" w:cs="Arial"/>
          <w:color w:val="000000"/>
        </w:rPr>
      </w:pPr>
      <w:r>
        <w:rPr>
          <w:rFonts w:ascii="Arial" w:eastAsia="Arial" w:hAnsi="Arial" w:cs="Arial"/>
        </w:rPr>
        <w:t>Through the widespread adoption and sale of the war bonnet, settler society consolidates a singular Indian entity,</w:t>
      </w:r>
      <w:r>
        <w:rPr>
          <w:rFonts w:ascii="Arial" w:eastAsia="Arial" w:hAnsi="Arial" w:cs="Arial"/>
          <w:color w:val="008000"/>
        </w:rPr>
        <w:t xml:space="preserve"> </w:t>
      </w:r>
      <w:r>
        <w:rPr>
          <w:rFonts w:ascii="Arial" w:eastAsia="Arial" w:hAnsi="Arial" w:cs="Arial"/>
          <w:color w:val="000000"/>
        </w:rPr>
        <w:t>thereby removing the capacity of Indigenous communities to be viewed as diverse, pluralistic, and sovereign. Bruyneel's (2021) analysis explores how this practice helps settler society construct a version of Indigenous memory that is either accepted by settler society or, if questionable, still not deemed a pressing matter for public discourse. The result is that settler memory masks Indigenous erasure and dispossession beneath a surface-level respect for “Indian culture.” In this, the commodified landscape</w:t>
      </w:r>
      <w:r>
        <w:rPr>
          <w:rFonts w:ascii="Arial" w:eastAsia="Arial" w:hAnsi="Arial" w:cs="Arial"/>
          <w:color w:val="000000"/>
        </w:rPr>
        <w:t xml:space="preserve"> of authenticity, written on by Aldred and Lightfoot, notes that Indigenous acts of self-representation are judged </w:t>
      </w:r>
      <w:r>
        <w:rPr>
          <w:rFonts w:ascii="Arial" w:eastAsia="Arial" w:hAnsi="Arial" w:cs="Arial"/>
          <w:color w:val="000000"/>
        </w:rPr>
        <w:lastRenderedPageBreak/>
        <w:t xml:space="preserve">against settler expectations. This can be seen in the case of the Seminole and Miccosukee, who do not wear war bonnets; however, in settler consciousness, they are rendered inauthentic within the colonial gaze by not conforming to this (Aldred, 2000). Drawing from the previous chapter, this disqualification is not incidental; it is a result of systemic design. Moreton-Robinson's (2015) work on </w:t>
      </w:r>
      <w:r>
        <w:rPr>
          <w:rFonts w:ascii="Arial" w:eastAsia="Arial" w:hAnsi="Arial" w:cs="Arial"/>
          <w:color w:val="000000"/>
        </w:rPr>
        <w:t xml:space="preserve">commodification helps situate </w:t>
      </w:r>
      <w:r>
        <w:rPr>
          <w:rFonts w:ascii="Arial" w:eastAsia="Arial" w:hAnsi="Arial" w:cs="Arial"/>
          <w:color w:val="000000"/>
        </w:rPr>
        <w:t xml:space="preserve">the manipulation of Indigenous items </w:t>
      </w:r>
      <w:r w:rsidR="00E40CD6">
        <w:rPr>
          <w:rFonts w:ascii="Arial" w:eastAsia="Arial" w:hAnsi="Arial" w:cs="Arial"/>
          <w:color w:val="000000"/>
        </w:rPr>
        <w:t>as</w:t>
      </w:r>
      <w:r>
        <w:rPr>
          <w:rFonts w:ascii="Arial" w:eastAsia="Arial" w:hAnsi="Arial" w:cs="Arial"/>
          <w:color w:val="000000"/>
        </w:rPr>
        <w:t xml:space="preserve"> a tool </w:t>
      </w:r>
      <w:r w:rsidR="00E40CD6">
        <w:rPr>
          <w:rFonts w:ascii="Arial" w:eastAsia="Arial" w:hAnsi="Arial" w:cs="Arial"/>
          <w:color w:val="000000"/>
        </w:rPr>
        <w:t>of</w:t>
      </w:r>
      <w:r>
        <w:rPr>
          <w:rFonts w:ascii="Arial" w:eastAsia="Arial" w:hAnsi="Arial" w:cs="Arial"/>
          <w:color w:val="000000"/>
        </w:rPr>
        <w:t xml:space="preserve"> force, where Indigenous communities are coerced into capitalist systems</w:t>
      </w:r>
      <w:r>
        <w:rPr>
          <w:rFonts w:ascii="Arial" w:eastAsia="Arial" w:hAnsi="Arial" w:cs="Arial"/>
          <w:color w:val="000000"/>
        </w:rPr>
        <w:t xml:space="preserve"> through requiring them to adopt colonial symbols and aesthetics if they are to be commercially “successful” or culturally “visible.”</w:t>
      </w:r>
    </w:p>
    <w:p w14:paraId="23D5871E"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Ultimately, this coloniality of representation suppresses the Seminole and Miccosukee's efforts to articulate their own modern or traditional identities. Here, the bricolage of settler realities, in which Plains iconography is imposed onto the Seminole and Miccosukee, leaves little space for counter-representation. This globally has resulted in the marketing of a singular, consumable Indigenous identity, one that continues to serve settler capitalist aims by justifying ongoing resource extraction and land t</w:t>
      </w:r>
      <w:r>
        <w:rPr>
          <w:rFonts w:ascii="Arial" w:eastAsia="Arial" w:hAnsi="Arial" w:cs="Arial"/>
          <w:color w:val="000000"/>
        </w:rPr>
        <w:t>heft by creating a collective settler unconscious around Indigeneity. (Bruyneel, 2021; Ndlovu, 2019; Barker &amp; Pickerill, 2012). This thought of the settler unconscious collective will now help in analysing the pattern of settler bricolage and commodification.</w:t>
      </w:r>
    </w:p>
    <w:p w14:paraId="51AD4CF5" w14:textId="77777777" w:rsidR="009F0C56" w:rsidRDefault="009F0C56">
      <w:pPr>
        <w:pBdr>
          <w:top w:val="nil"/>
          <w:left w:val="nil"/>
          <w:bottom w:val="nil"/>
          <w:right w:val="nil"/>
          <w:between w:val="nil"/>
        </w:pBdr>
        <w:spacing w:before="240" w:after="240" w:line="240" w:lineRule="auto"/>
        <w:rPr>
          <w:rFonts w:ascii="Arial" w:eastAsia="Arial" w:hAnsi="Arial" w:cs="Arial"/>
          <w:color w:val="000000"/>
        </w:rPr>
      </w:pPr>
    </w:p>
    <w:p w14:paraId="006E42A7" w14:textId="77777777" w:rsidR="009F0C56" w:rsidRDefault="00653842">
      <w:pPr>
        <w:pStyle w:val="Heading3"/>
        <w:rPr>
          <w:sz w:val="32"/>
          <w:szCs w:val="32"/>
        </w:rPr>
      </w:pPr>
      <w:bookmarkStart w:id="118" w:name="_Toc240966037"/>
      <w:r>
        <w:rPr>
          <w:sz w:val="32"/>
          <w:szCs w:val="32"/>
        </w:rPr>
        <w:t>7.12 The settler bricolage of Indigenous communities</w:t>
      </w:r>
      <w:bookmarkEnd w:id="118"/>
      <w:r>
        <w:rPr>
          <w:sz w:val="32"/>
          <w:szCs w:val="32"/>
        </w:rPr>
        <w:t xml:space="preserve"> </w:t>
      </w:r>
    </w:p>
    <w:p w14:paraId="20FFA682" w14:textId="089F2CCB" w:rsidR="009F0C56" w:rsidRDefault="00653842">
      <w:pPr>
        <w:rPr>
          <w:rFonts w:ascii="Arial" w:eastAsia="Arial" w:hAnsi="Arial" w:cs="Arial"/>
          <w:color w:val="000000"/>
        </w:rPr>
      </w:pPr>
      <w:r>
        <w:rPr>
          <w:rFonts w:ascii="Arial" w:eastAsia="Arial" w:hAnsi="Arial" w:cs="Arial"/>
          <w:color w:val="000000"/>
        </w:rPr>
        <w:t xml:space="preserve">This section shall explore how settler society has created a bricolage of realities for Indigenous communities in Florida. To explore this, land/space and tourism shall be analysed in </w:t>
      </w:r>
      <w:r w:rsidR="00E40CD6">
        <w:rPr>
          <w:rFonts w:ascii="Arial" w:eastAsia="Arial" w:hAnsi="Arial" w:cs="Arial"/>
          <w:color w:val="000000"/>
        </w:rPr>
        <w:t xml:space="preserve">terms of </w:t>
      </w:r>
      <w:r>
        <w:rPr>
          <w:rFonts w:ascii="Arial" w:eastAsia="Arial" w:hAnsi="Arial" w:cs="Arial"/>
          <w:color w:val="000000"/>
        </w:rPr>
        <w:t xml:space="preserve">how the settler society has manipulated realities to strengthen the colonial matrix.   </w:t>
      </w:r>
    </w:p>
    <w:p w14:paraId="0AA398A8" w14:textId="77777777" w:rsidR="009F0C56" w:rsidRDefault="00653842">
      <w:pPr>
        <w:pStyle w:val="Heading3"/>
        <w:rPr>
          <w:sz w:val="32"/>
          <w:szCs w:val="32"/>
        </w:rPr>
      </w:pPr>
      <w:bookmarkStart w:id="119" w:name="_Toc240966038"/>
      <w:r>
        <w:rPr>
          <w:sz w:val="32"/>
          <w:szCs w:val="32"/>
        </w:rPr>
        <w:t>7.13 Settler society and the mirage of reality</w:t>
      </w:r>
      <w:bookmarkEnd w:id="119"/>
      <w:r>
        <w:rPr>
          <w:sz w:val="32"/>
          <w:szCs w:val="32"/>
        </w:rPr>
        <w:t xml:space="preserve"> </w:t>
      </w:r>
    </w:p>
    <w:p w14:paraId="41241253" w14:textId="77777777" w:rsidR="009F0C56" w:rsidRDefault="00653842">
      <w:pPr>
        <w:spacing w:before="280" w:after="280" w:line="240" w:lineRule="auto"/>
        <w:rPr>
          <w:rFonts w:ascii="Arial" w:eastAsia="Arial" w:hAnsi="Arial" w:cs="Arial"/>
        </w:rPr>
      </w:pPr>
      <w:r>
        <w:rPr>
          <w:rFonts w:ascii="Arial" w:eastAsia="Arial" w:hAnsi="Arial" w:cs="Arial"/>
        </w:rPr>
        <w:t xml:space="preserve">Within settler society, capitalist structures have generated and enforced a monolithic image of Indigeneity, compelling Indigenous communities to adopt culturally inauthentic but settler-legible symbols to remain visible and competitive within the market. This process is evident in the Miccosukee’s use of totem poles, seen prominently in Figure 12, where two large poles stand at the entrance of the Miccosukee “Indian Village.” </w:t>
      </w:r>
    </w:p>
    <w:p w14:paraId="1FDFDF92" w14:textId="77777777" w:rsidR="009F0C56" w:rsidRDefault="009F0C56">
      <w:pPr>
        <w:spacing w:before="280" w:after="280" w:line="240" w:lineRule="auto"/>
        <w:rPr>
          <w:rFonts w:ascii="Arial" w:eastAsia="Arial" w:hAnsi="Arial" w:cs="Arial"/>
        </w:rPr>
      </w:pPr>
    </w:p>
    <w:p w14:paraId="6A90A4ED" w14:textId="77777777" w:rsidR="009F0C56" w:rsidRDefault="009F0C56">
      <w:pPr>
        <w:spacing w:before="280" w:after="280" w:line="240" w:lineRule="auto"/>
        <w:rPr>
          <w:rFonts w:ascii="Arial" w:eastAsia="Arial" w:hAnsi="Arial" w:cs="Arial"/>
        </w:rPr>
      </w:pPr>
    </w:p>
    <w:p w14:paraId="4A13FD7A" w14:textId="77777777" w:rsidR="009F0C56" w:rsidRDefault="009F0C56">
      <w:pPr>
        <w:spacing w:before="280" w:after="280" w:line="240" w:lineRule="auto"/>
        <w:rPr>
          <w:rFonts w:ascii="Arial" w:eastAsia="Arial" w:hAnsi="Arial" w:cs="Arial"/>
        </w:rPr>
      </w:pPr>
    </w:p>
    <w:p w14:paraId="7BF001F1" w14:textId="77777777" w:rsidR="009F0C56" w:rsidRDefault="009F0C56">
      <w:pPr>
        <w:spacing w:before="280" w:after="280" w:line="240" w:lineRule="auto"/>
        <w:rPr>
          <w:rFonts w:ascii="Arial" w:eastAsia="Arial" w:hAnsi="Arial" w:cs="Arial"/>
        </w:rPr>
      </w:pPr>
    </w:p>
    <w:p w14:paraId="41876579" w14:textId="77777777" w:rsidR="009F0C56" w:rsidRDefault="00653842">
      <w:pPr>
        <w:pBdr>
          <w:top w:val="nil"/>
          <w:left w:val="nil"/>
          <w:bottom w:val="nil"/>
          <w:right w:val="nil"/>
          <w:between w:val="nil"/>
        </w:pBdr>
        <w:spacing w:line="240" w:lineRule="auto"/>
        <w:rPr>
          <w:rFonts w:ascii="Arial" w:eastAsia="Arial" w:hAnsi="Arial" w:cs="Arial"/>
          <w:color w:val="000000"/>
          <w:sz w:val="18"/>
          <w:szCs w:val="18"/>
        </w:rPr>
      </w:pPr>
      <w:bookmarkStart w:id="120" w:name="_heading=h.cb1chbepi48g" w:colFirst="0" w:colLast="0"/>
      <w:bookmarkEnd w:id="120"/>
      <w:r>
        <w:rPr>
          <w:rFonts w:ascii="Arial" w:eastAsia="Arial" w:hAnsi="Arial" w:cs="Arial"/>
          <w:color w:val="000000"/>
          <w:sz w:val="18"/>
          <w:szCs w:val="18"/>
        </w:rPr>
        <w:t xml:space="preserve">Figure 12:  </w:t>
      </w:r>
      <w:r>
        <w:rPr>
          <w:rFonts w:ascii="Arial" w:eastAsia="Arial" w:hAnsi="Arial" w:cs="Arial"/>
          <w:sz w:val="20"/>
          <w:szCs w:val="20"/>
        </w:rPr>
        <w:t>Entrance to Miccosukee Indian Village. Photo: Virk, June 2023 – annotated two circles</w:t>
      </w:r>
    </w:p>
    <w:p w14:paraId="024CB498"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noProof/>
          <w:color w:val="000000"/>
        </w:rPr>
        <w:lastRenderedPageBreak/>
        <w:drawing>
          <wp:inline distT="0" distB="0" distL="0" distR="0" wp14:anchorId="5206805C" wp14:editId="5E771822">
            <wp:extent cx="3912474" cy="5980665"/>
            <wp:effectExtent l="0" t="0" r="0" b="0"/>
            <wp:docPr id="1874855877" name="image19.jpg" descr="A person standing on a rock wall&#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9.jpg" descr="A person standing on a rock wall&#10;&#10;Description automatically generated with medium confidence"/>
                    <pic:cNvPicPr preferRelativeResize="0"/>
                  </pic:nvPicPr>
                  <pic:blipFill>
                    <a:blip r:embed="rId21"/>
                    <a:srcRect/>
                    <a:stretch>
                      <a:fillRect/>
                    </a:stretch>
                  </pic:blipFill>
                  <pic:spPr>
                    <a:xfrm rot="16200000">
                      <a:off x="0" y="0"/>
                      <a:ext cx="3912474" cy="5980665"/>
                    </a:xfrm>
                    <a:prstGeom prst="rect">
                      <a:avLst/>
                    </a:prstGeom>
                    <a:ln/>
                  </pic:spPr>
                </pic:pic>
              </a:graphicData>
            </a:graphic>
          </wp:inline>
        </w:drawing>
      </w:r>
    </w:p>
    <w:p w14:paraId="53B8D255" w14:textId="77777777" w:rsidR="009F0C56" w:rsidRDefault="009F0C56">
      <w:pPr>
        <w:pBdr>
          <w:top w:val="nil"/>
          <w:left w:val="nil"/>
          <w:bottom w:val="nil"/>
          <w:right w:val="nil"/>
          <w:between w:val="nil"/>
        </w:pBdr>
        <w:spacing w:line="240" w:lineRule="auto"/>
        <w:rPr>
          <w:rFonts w:ascii="Arial" w:eastAsia="Arial" w:hAnsi="Arial" w:cs="Arial"/>
          <w:color w:val="000000"/>
        </w:rPr>
      </w:pPr>
    </w:p>
    <w:p w14:paraId="7469D9AD" w14:textId="77777777" w:rsidR="009F0C56" w:rsidRDefault="00653842">
      <w:pPr>
        <w:spacing w:before="280" w:after="280" w:line="240" w:lineRule="auto"/>
        <w:rPr>
          <w:rFonts w:ascii="Arial" w:eastAsia="Arial" w:hAnsi="Arial" w:cs="Arial"/>
        </w:rPr>
      </w:pPr>
      <w:r>
        <w:rPr>
          <w:rFonts w:ascii="Arial" w:eastAsia="Arial" w:hAnsi="Arial" w:cs="Arial"/>
        </w:rPr>
        <w:t>Although totem poles, as noted, are traditionally associated with Indigenous nations of the Pacific Northwest, they have become widely accepted within the settler imaginary as universal signifiers of Indigeneity, as noted during the homogenisation chapter. This appeals to the tourist market’s preconceived expectations of Indigeneity, which is shaped through media, schooling, and cultural products. Here, historically, Miccosukee and Seminole community members have produced totem poles themselves, not as a re</w:t>
      </w:r>
      <w:r>
        <w:rPr>
          <w:rFonts w:ascii="Arial" w:eastAsia="Arial" w:hAnsi="Arial" w:cs="Arial"/>
        </w:rPr>
        <w:t>flection of their material traditions, but as strategic cultural performances designed to satisfy settler desires for the “authentic Indian.” As Jung (1936) posited, collective archetypes hold deep cultural weight, and the totem pole has become one such archetype within settler society, where it becomes an immediate and recognisable image that signals “Indigenous presence,” regardless of regional or cultural accuracy.</w:t>
      </w:r>
    </w:p>
    <w:p w14:paraId="1BD0A7AE" w14:textId="0D9D2DBE" w:rsidR="009F0C56" w:rsidRDefault="00653842">
      <w:pPr>
        <w:spacing w:before="280" w:after="280" w:line="240" w:lineRule="auto"/>
        <w:rPr>
          <w:rFonts w:ascii="Arial" w:eastAsia="Arial" w:hAnsi="Arial" w:cs="Arial"/>
          <w:color w:val="000000"/>
        </w:rPr>
      </w:pPr>
      <w:r>
        <w:rPr>
          <w:rFonts w:ascii="Arial" w:eastAsia="Arial" w:hAnsi="Arial" w:cs="Arial"/>
          <w:color w:val="000000"/>
        </w:rPr>
        <w:t>Over time, however, this practice has undergone shifts. While initially produced to meet tourist demand, many totem poles now found in Seminole and Miccosukee territories were gifted by Indigenous nations from the Northwest, an act that reflects inter-nation solidarity and exchange, rather than settler coercion. This movement complicates any simplistic reading of totem poles as purely signs of cultural appropriation or loss. While historical records suggest that Seminole and Miccosukee artisans occasionally</w:t>
      </w:r>
      <w:r>
        <w:rPr>
          <w:rFonts w:ascii="Arial" w:eastAsia="Arial" w:hAnsi="Arial" w:cs="Arial"/>
          <w:color w:val="000000"/>
        </w:rPr>
        <w:t xml:space="preserve"> engaged in totemic woodwork, especially during the mid-20th-century tourist boom, they adapted the form to include local motifs and symbols, effectively indigenising the object within their epistemological framework (Butler 2021). This duality</w:t>
      </w:r>
      <w:r w:rsidR="00E40CD6">
        <w:rPr>
          <w:rFonts w:ascii="Arial" w:eastAsia="Arial" w:hAnsi="Arial" w:cs="Arial"/>
          <w:color w:val="000000"/>
        </w:rPr>
        <w:t>,</w:t>
      </w:r>
      <w:r>
        <w:rPr>
          <w:rFonts w:ascii="Arial" w:eastAsia="Arial" w:hAnsi="Arial" w:cs="Arial"/>
          <w:color w:val="000000"/>
        </w:rPr>
        <w:t xml:space="preserve"> external pressure</w:t>
      </w:r>
      <w:r w:rsidR="00E40CD6">
        <w:rPr>
          <w:rFonts w:ascii="Arial" w:eastAsia="Arial" w:hAnsi="Arial" w:cs="Arial"/>
          <w:color w:val="000000"/>
        </w:rPr>
        <w:t>,</w:t>
      </w:r>
      <w:r>
        <w:rPr>
          <w:rFonts w:ascii="Arial" w:eastAsia="Arial" w:hAnsi="Arial" w:cs="Arial"/>
          <w:color w:val="000000"/>
        </w:rPr>
        <w:t xml:space="preserve"> and internal innovation illustrate what Dorries (2022) refers to as Indigenous urbanism, where Indigenous communities </w:t>
      </w:r>
      <w:r>
        <w:rPr>
          <w:rFonts w:ascii="Arial" w:eastAsia="Arial" w:hAnsi="Arial" w:cs="Arial"/>
          <w:color w:val="000000"/>
        </w:rPr>
        <w:lastRenderedPageBreak/>
        <w:t xml:space="preserve">navigate capitalist, settler-dominated spaces through both tactical engagement and cultural resilience. </w:t>
      </w:r>
    </w:p>
    <w:p w14:paraId="2EBD6BFE" w14:textId="33E6A027" w:rsidR="009F0C56" w:rsidRDefault="00653842">
      <w:pPr>
        <w:spacing w:before="280" w:after="280" w:line="240" w:lineRule="auto"/>
        <w:rPr>
          <w:rFonts w:ascii="Arial" w:eastAsia="Arial" w:hAnsi="Arial" w:cs="Arial"/>
        </w:rPr>
      </w:pPr>
      <w:r>
        <w:rPr>
          <w:rFonts w:ascii="Arial" w:eastAsia="Arial" w:hAnsi="Arial" w:cs="Arial"/>
        </w:rPr>
        <w:t>As Dorries notes, “</w:t>
      </w:r>
      <w:r>
        <w:rPr>
          <w:rFonts w:ascii="Arial" w:eastAsia="Arial" w:hAnsi="Arial" w:cs="Arial"/>
          <w:color w:val="000000"/>
        </w:rPr>
        <w:t>Indigenous urbanism is evident in the ways Indigenous peoples negotiate claims on, re-configure and contest urban processes while at the same time transforming Indigeneity</w:t>
      </w:r>
      <w:r>
        <w:rPr>
          <w:rFonts w:ascii="Arial" w:eastAsia="Arial" w:hAnsi="Arial" w:cs="Arial"/>
          <w:color w:val="000000"/>
        </w:rPr>
        <w:t>” (Dorries 2022. Pg 114)</w:t>
      </w:r>
      <w:r w:rsidR="00E40CD6">
        <w:rPr>
          <w:rFonts w:ascii="Arial" w:eastAsia="Arial" w:hAnsi="Arial" w:cs="Arial"/>
          <w:color w:val="000000"/>
        </w:rPr>
        <w:t>.</w:t>
      </w:r>
      <w:r>
        <w:rPr>
          <w:rFonts w:ascii="Arial" w:eastAsia="Arial" w:hAnsi="Arial" w:cs="Arial"/>
          <w:color w:val="000000"/>
        </w:rPr>
        <w:t xml:space="preserve"> This expands the arguments made during the previous chapter, exploring how </w:t>
      </w:r>
      <w:r>
        <w:rPr>
          <w:rFonts w:ascii="Arial" w:eastAsia="Arial" w:hAnsi="Arial" w:cs="Arial"/>
        </w:rPr>
        <w:t xml:space="preserve">the totem pole, in this context, is not merely a concession to settler expectations but also a site of contestation and negotiation: a way for Miccosukee and Seminole communities to assert presence within a space that constantly attempts to erase or misrepresent them. Yet, the risk remains that settler audiences interpret these totem poles uncritically, reinforcing a false sense of homogeneity among Indigenous nations. </w:t>
      </w:r>
      <w:r w:rsidR="00E40CD6">
        <w:rPr>
          <w:rFonts w:ascii="Arial" w:eastAsia="Arial" w:hAnsi="Arial" w:cs="Arial"/>
        </w:rPr>
        <w:t>Under</w:t>
      </w:r>
      <w:r>
        <w:rPr>
          <w:rFonts w:ascii="Arial" w:eastAsia="Arial" w:hAnsi="Arial" w:cs="Arial"/>
        </w:rPr>
        <w:t xml:space="preserve"> settler discourse, a bricolage of realities is constructed, where an assemblage of commodified signifiers, such as the Totem pole, becomes the central visual marker for Indigeneity. Unconsciously, the settler-tourist does not cognitively engage with the deeper meanings of the Totem pole; rather, they see it as a marker of a universalised “Indian” (Barker 2021, Lightfoot 2012)  </w:t>
      </w:r>
    </w:p>
    <w:p w14:paraId="33E4C870" w14:textId="77777777" w:rsidR="009F0C56" w:rsidRDefault="00653842">
      <w:pPr>
        <w:spacing w:before="280" w:after="280" w:line="240" w:lineRule="auto"/>
        <w:rPr>
          <w:rFonts w:ascii="Arial" w:eastAsia="Arial" w:hAnsi="Arial" w:cs="Arial"/>
        </w:rPr>
      </w:pPr>
      <w:r>
        <w:rPr>
          <w:rFonts w:ascii="Arial" w:eastAsia="Arial" w:hAnsi="Arial" w:cs="Arial"/>
        </w:rPr>
        <w:t>As Lightfoot (2012) argues, settler society does not wholly reject Indigeneity; rather, it selectively endorses aspects that confirm its myths and narratives, as seen with the Dreamcatcher. In this selective endorsement, complex local identities are flattened into palatable signs, reinforcing a settler logic of authenticity that excludes those who don’t visually “fit” the image. This dynamic was also observed in Figure 13 below, where settler-owned tourist businesses displayed war bonnets, another Plains-sp</w:t>
      </w:r>
      <w:r>
        <w:rPr>
          <w:rFonts w:ascii="Arial" w:eastAsia="Arial" w:hAnsi="Arial" w:cs="Arial"/>
        </w:rPr>
        <w:t>ecific item, to signify Indigeneity in Florida, further enforcing a homogenised and inaccurate portrayal of Indigenous peoples (Bruyneel, 2021).</w:t>
      </w:r>
    </w:p>
    <w:p w14:paraId="6AEA505E" w14:textId="77777777" w:rsidR="009F0C56" w:rsidRDefault="009F0C56">
      <w:pPr>
        <w:pBdr>
          <w:top w:val="nil"/>
          <w:left w:val="nil"/>
          <w:bottom w:val="nil"/>
          <w:right w:val="nil"/>
          <w:between w:val="nil"/>
        </w:pBdr>
        <w:spacing w:line="240" w:lineRule="auto"/>
        <w:rPr>
          <w:rFonts w:ascii="Arial" w:eastAsia="Arial" w:hAnsi="Arial" w:cs="Arial"/>
          <w:color w:val="000000"/>
        </w:rPr>
      </w:pPr>
    </w:p>
    <w:p w14:paraId="3A1A24A1" w14:textId="53025CA8" w:rsidR="009F0C56" w:rsidRDefault="00653842">
      <w:pPr>
        <w:rPr>
          <w:rFonts w:ascii="Arial" w:eastAsia="Arial" w:hAnsi="Arial" w:cs="Arial"/>
          <w:sz w:val="18"/>
          <w:szCs w:val="18"/>
        </w:rPr>
      </w:pPr>
      <w:bookmarkStart w:id="121" w:name="_heading=h.d1dma2bhqj0u" w:colFirst="0" w:colLast="0"/>
      <w:bookmarkEnd w:id="121"/>
      <w:r>
        <w:rPr>
          <w:rFonts w:ascii="Arial" w:eastAsia="Arial" w:hAnsi="Arial" w:cs="Arial"/>
          <w:sz w:val="18"/>
          <w:szCs w:val="18"/>
        </w:rPr>
        <w:t xml:space="preserve">Figure 13- Tamani </w:t>
      </w:r>
      <w:r w:rsidR="00E40CD6">
        <w:rPr>
          <w:rFonts w:ascii="Arial" w:eastAsia="Arial" w:hAnsi="Arial" w:cs="Arial"/>
          <w:sz w:val="18"/>
          <w:szCs w:val="18"/>
        </w:rPr>
        <w:t>Trail</w:t>
      </w:r>
      <w:r>
        <w:rPr>
          <w:rFonts w:ascii="Arial" w:eastAsia="Arial" w:hAnsi="Arial" w:cs="Arial"/>
          <w:sz w:val="18"/>
          <w:szCs w:val="18"/>
        </w:rPr>
        <w:t xml:space="preserve"> author created a map</w:t>
      </w:r>
    </w:p>
    <w:p w14:paraId="17FBFF58"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noProof/>
          <w:color w:val="000000"/>
        </w:rPr>
        <w:drawing>
          <wp:inline distT="0" distB="0" distL="0" distR="0" wp14:anchorId="19E5B642" wp14:editId="1C8DB6A7">
            <wp:extent cx="5810565" cy="3016414"/>
            <wp:effectExtent l="0" t="0" r="0" b="0"/>
            <wp:docPr id="1874855878" name="image15.png" descr="A map with red points on i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5.png" descr="A map with red points on it&#10;&#10;Description automatically generated"/>
                    <pic:cNvPicPr preferRelativeResize="0"/>
                  </pic:nvPicPr>
                  <pic:blipFill>
                    <a:blip r:embed="rId22"/>
                    <a:srcRect/>
                    <a:stretch>
                      <a:fillRect/>
                    </a:stretch>
                  </pic:blipFill>
                  <pic:spPr>
                    <a:xfrm>
                      <a:off x="0" y="0"/>
                      <a:ext cx="5810565" cy="3016414"/>
                    </a:xfrm>
                    <a:prstGeom prst="rect">
                      <a:avLst/>
                    </a:prstGeom>
                    <a:ln/>
                  </pic:spPr>
                </pic:pic>
              </a:graphicData>
            </a:graphic>
          </wp:inline>
        </w:drawing>
      </w:r>
    </w:p>
    <w:p w14:paraId="397F980E" w14:textId="77777777" w:rsidR="009F0C56" w:rsidRDefault="009F0C56">
      <w:pPr>
        <w:pBdr>
          <w:top w:val="nil"/>
          <w:left w:val="nil"/>
          <w:bottom w:val="nil"/>
          <w:right w:val="nil"/>
          <w:between w:val="nil"/>
        </w:pBdr>
        <w:spacing w:line="240" w:lineRule="auto"/>
        <w:rPr>
          <w:rFonts w:ascii="Arial" w:eastAsia="Arial" w:hAnsi="Arial" w:cs="Arial"/>
          <w:color w:val="000000"/>
        </w:rPr>
      </w:pPr>
    </w:p>
    <w:p w14:paraId="6EF916B1"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lastRenderedPageBreak/>
        <w:t xml:space="preserve">In this, the settler colonial state maintains power not just through land theft or overt violence, but through cultural disciplining, forcing Indigenous communities to adopt and perform the colonial idea of the “authentic Indian” to access resources, legitimacy, or economic survival (Aldred 2000, Moreton-Robinson 2015). Therefore, the production and display of totem poles become a poignant example of how Indigenous epistemologies are both constrained and creatively rearticulated under colonial capitalism. </w:t>
      </w:r>
    </w:p>
    <w:p w14:paraId="64E87AB0" w14:textId="7DCCB083" w:rsidR="009F0C56" w:rsidRDefault="00653842">
      <w:pPr>
        <w:spacing w:before="280" w:after="280" w:line="240" w:lineRule="auto"/>
        <w:rPr>
          <w:rFonts w:ascii="Arial" w:eastAsia="Arial" w:hAnsi="Arial" w:cs="Arial"/>
          <w:color w:val="000000"/>
        </w:rPr>
      </w:pPr>
      <w:r>
        <w:rPr>
          <w:rFonts w:ascii="Arial" w:eastAsia="Arial" w:hAnsi="Arial" w:cs="Arial"/>
          <w:color w:val="000000"/>
        </w:rPr>
        <w:t>Hence, while the presence of totem poles at Miccosukee sites may appear as another instance of cultural distortion, a deeper examination reveals layers of strategic adaptation, intertribal kinship, and survival due to the high levels of settler competition in such proximity as shown in Figure 13 (Dorries 2022). Nevertheless, the broader impact of settler commodification continues to undermine Indigenous self-representation, as settler society relies on these distorted signs to construct a mythic, singular I</w:t>
      </w:r>
      <w:r>
        <w:rPr>
          <w:rFonts w:ascii="Arial" w:eastAsia="Arial" w:hAnsi="Arial" w:cs="Arial"/>
          <w:color w:val="000000"/>
        </w:rPr>
        <w:t xml:space="preserve">ndigenous identity that can be consumed, photographed, and believed as fixed. This will be further explored in the following section, as we interrogate how settler society continues to control Indigenous visibility, memory, and sovereignty </w:t>
      </w:r>
      <w:r w:rsidR="00E40CD6">
        <w:rPr>
          <w:rFonts w:ascii="Arial" w:eastAsia="Arial" w:hAnsi="Arial" w:cs="Arial"/>
          <w:color w:val="000000"/>
        </w:rPr>
        <w:t>by</w:t>
      </w:r>
      <w:r>
        <w:rPr>
          <w:rFonts w:ascii="Arial" w:eastAsia="Arial" w:hAnsi="Arial" w:cs="Arial"/>
          <w:color w:val="000000"/>
        </w:rPr>
        <w:t xml:space="preserve"> removing Indigenous culture through commodification.</w:t>
      </w:r>
    </w:p>
    <w:p w14:paraId="45B78B7A" w14:textId="77777777" w:rsidR="009F0C56" w:rsidRDefault="00653842">
      <w:pPr>
        <w:pStyle w:val="Heading3"/>
        <w:rPr>
          <w:sz w:val="32"/>
          <w:szCs w:val="32"/>
        </w:rPr>
      </w:pPr>
      <w:bookmarkStart w:id="122" w:name="_Toc240966039"/>
      <w:r>
        <w:rPr>
          <w:sz w:val="32"/>
          <w:szCs w:val="32"/>
        </w:rPr>
        <w:t>7.14 Dislocation of Indigenous culture as a colonial tool</w:t>
      </w:r>
      <w:bookmarkEnd w:id="122"/>
    </w:p>
    <w:p w14:paraId="2D6EA37C" w14:textId="77777777" w:rsidR="009F0C56" w:rsidRDefault="00653842">
      <w:pPr>
        <w:spacing w:before="280" w:after="280" w:line="240" w:lineRule="auto"/>
        <w:rPr>
          <w:rFonts w:ascii="Arial" w:eastAsia="Arial" w:hAnsi="Arial" w:cs="Arial"/>
        </w:rPr>
      </w:pPr>
      <w:r>
        <w:rPr>
          <w:rFonts w:ascii="Arial" w:eastAsia="Arial" w:hAnsi="Arial" w:cs="Arial"/>
          <w:color w:val="000000"/>
        </w:rPr>
        <w:t>As noted previously, settler society’s monopolisation of Indigenous representations commodifies Indigeneity without the actual presence or consent of Indigenous peoples. This practice actively displaces the Seminole and Miccosukee’s ability to assert themselves as sovereign nations, even on their ancestral lands. Figure 10 encapsulates this process, acting as the initial meeting between tourists and the Everglades, as shown in Figure 13, where settler airboat companies are located before any Indigenous comm</w:t>
      </w:r>
      <w:r>
        <w:rPr>
          <w:rFonts w:ascii="Arial" w:eastAsia="Arial" w:hAnsi="Arial" w:cs="Arial"/>
          <w:color w:val="000000"/>
        </w:rPr>
        <w:t>unities. Here, settler-run airboat companies establish a framework for what “Indigenous” means, shaping the tourist’s experience before any actual Indigenous voice is discovered. In this, settler society builds a bricolage of “Indian culture” as something consumable,</w:t>
      </w:r>
      <w:r>
        <w:rPr>
          <w:rFonts w:ascii="Arial" w:eastAsia="Arial" w:hAnsi="Arial" w:cs="Arial"/>
          <w:color w:val="008000"/>
        </w:rPr>
        <w:t xml:space="preserve"> </w:t>
      </w:r>
      <w:r>
        <w:rPr>
          <w:rFonts w:ascii="Arial" w:eastAsia="Arial" w:hAnsi="Arial" w:cs="Arial"/>
        </w:rPr>
        <w:t xml:space="preserve">decontextualised, and neatly packaged in the form of souvenirs and signifiers (Nielsen, 2022). </w:t>
      </w:r>
    </w:p>
    <w:p w14:paraId="08828F90" w14:textId="0B474A01" w:rsidR="009F0C56" w:rsidRDefault="00653842">
      <w:pPr>
        <w:spacing w:before="280" w:after="280" w:line="240" w:lineRule="auto"/>
        <w:rPr>
          <w:rFonts w:ascii="Arial" w:eastAsia="Arial" w:hAnsi="Arial" w:cs="Arial"/>
          <w:color w:val="000000"/>
        </w:rPr>
      </w:pPr>
      <w:r>
        <w:rPr>
          <w:rFonts w:ascii="Arial" w:eastAsia="Arial" w:hAnsi="Arial" w:cs="Arial"/>
          <w:color w:val="000000"/>
        </w:rPr>
        <w:t>This consumer-driven framing constructs a partial erasure of Indigeneity as, rather than eradicating Indigenous histories outright, settler society preserves a fixed image of the “Indian” as a figure of the past that is safe, nostalgic, and depoliticised (Barker 2021). This epistemic framing strips the Seminole and Miccosukee of agency in the present, making it harder for them to be seen as contemporary political actors in South Florida. In this, the commodification of “Indian crafts” in Figure 10, the adop</w:t>
      </w:r>
      <w:r>
        <w:rPr>
          <w:rFonts w:ascii="Arial" w:eastAsia="Arial" w:hAnsi="Arial" w:cs="Arial"/>
          <w:color w:val="000000"/>
        </w:rPr>
        <w:t>tion of inauthentic cultural items like the Totem poles in Figure 12, and the use of Plains-style war bonnets in Figure 14 below</w:t>
      </w:r>
      <w:r>
        <w:rPr>
          <w:rFonts w:ascii="Arial" w:eastAsia="Arial" w:hAnsi="Arial" w:cs="Arial"/>
          <w:color w:val="000000"/>
        </w:rPr>
        <w:t xml:space="preserve"> further </w:t>
      </w:r>
      <w:r w:rsidR="00E40CD6">
        <w:rPr>
          <w:rFonts w:ascii="Arial" w:eastAsia="Arial" w:hAnsi="Arial" w:cs="Arial"/>
          <w:color w:val="000000"/>
        </w:rPr>
        <w:t>deepen</w:t>
      </w:r>
      <w:r>
        <w:rPr>
          <w:rFonts w:ascii="Arial" w:eastAsia="Arial" w:hAnsi="Arial" w:cs="Arial"/>
          <w:color w:val="000000"/>
        </w:rPr>
        <w:t xml:space="preserve"> the settler bricolage of representations.</w:t>
      </w:r>
    </w:p>
    <w:p w14:paraId="13CA2DAE" w14:textId="77777777" w:rsidR="009F0C56" w:rsidRDefault="009F0C56">
      <w:pPr>
        <w:spacing w:before="280" w:after="280" w:line="240" w:lineRule="auto"/>
        <w:rPr>
          <w:rFonts w:ascii="Arial" w:eastAsia="Arial" w:hAnsi="Arial" w:cs="Arial"/>
          <w:color w:val="000000"/>
        </w:rPr>
      </w:pPr>
    </w:p>
    <w:p w14:paraId="4E471FB0" w14:textId="77777777" w:rsidR="009F0C56" w:rsidRDefault="009F0C56">
      <w:pPr>
        <w:spacing w:before="280" w:after="280" w:line="240" w:lineRule="auto"/>
        <w:rPr>
          <w:rFonts w:ascii="Arial" w:eastAsia="Arial" w:hAnsi="Arial" w:cs="Arial"/>
          <w:color w:val="000000"/>
        </w:rPr>
      </w:pPr>
    </w:p>
    <w:p w14:paraId="1997749D" w14:textId="77777777" w:rsidR="009F0C56" w:rsidRDefault="009F0C56">
      <w:pPr>
        <w:spacing w:before="280" w:after="280" w:line="240" w:lineRule="auto"/>
        <w:rPr>
          <w:rFonts w:ascii="Arial" w:eastAsia="Arial" w:hAnsi="Arial" w:cs="Arial"/>
          <w:color w:val="000000"/>
        </w:rPr>
      </w:pPr>
    </w:p>
    <w:p w14:paraId="62615E0F" w14:textId="77777777" w:rsidR="009F0C56" w:rsidRDefault="009F0C56">
      <w:pPr>
        <w:spacing w:line="240" w:lineRule="auto"/>
        <w:rPr>
          <w:rFonts w:ascii="Arial" w:eastAsia="Arial" w:hAnsi="Arial" w:cs="Arial"/>
          <w:color w:val="000000"/>
          <w:sz w:val="18"/>
          <w:szCs w:val="18"/>
          <w:highlight w:val="white"/>
        </w:rPr>
      </w:pPr>
      <w:bookmarkStart w:id="123" w:name="_heading=h.g20iba65uiz6" w:colFirst="0" w:colLast="0"/>
      <w:bookmarkEnd w:id="123"/>
    </w:p>
    <w:p w14:paraId="4C625A0A" w14:textId="77777777" w:rsidR="009F0C56" w:rsidRDefault="00653842">
      <w:pPr>
        <w:spacing w:line="240" w:lineRule="auto"/>
        <w:rPr>
          <w:rFonts w:ascii="Arial" w:eastAsia="Arial" w:hAnsi="Arial" w:cs="Arial"/>
          <w:color w:val="000000"/>
          <w:sz w:val="18"/>
          <w:szCs w:val="18"/>
          <w:highlight w:val="white"/>
        </w:rPr>
      </w:pPr>
      <w:r>
        <w:rPr>
          <w:rFonts w:ascii="Arial" w:eastAsia="Arial" w:hAnsi="Arial" w:cs="Arial"/>
          <w:color w:val="000000"/>
          <w:sz w:val="18"/>
          <w:szCs w:val="18"/>
          <w:highlight w:val="white"/>
        </w:rPr>
        <w:lastRenderedPageBreak/>
        <w:t>Figure 14- Seminole tobacco trading post located in the Hollywood reservation. Now closed. 13/07/2023</w:t>
      </w:r>
    </w:p>
    <w:p w14:paraId="7424FD62" w14:textId="77777777" w:rsidR="009F0C56" w:rsidRDefault="009F0C56">
      <w:pPr>
        <w:spacing w:line="240" w:lineRule="auto"/>
        <w:rPr>
          <w:rFonts w:ascii="Arial" w:eastAsia="Arial" w:hAnsi="Arial" w:cs="Arial"/>
          <w:color w:val="000000"/>
        </w:rPr>
      </w:pPr>
    </w:p>
    <w:p w14:paraId="4A198AF1" w14:textId="77777777" w:rsidR="009F0C56" w:rsidRDefault="00653842">
      <w:pPr>
        <w:spacing w:line="240" w:lineRule="auto"/>
        <w:rPr>
          <w:rFonts w:ascii="Arial" w:eastAsia="Arial" w:hAnsi="Arial" w:cs="Arial"/>
          <w:color w:val="000000"/>
          <w:highlight w:val="white"/>
        </w:rPr>
      </w:pPr>
      <w:r>
        <w:rPr>
          <w:rFonts w:ascii="Arial" w:eastAsia="Arial" w:hAnsi="Arial" w:cs="Arial"/>
          <w:noProof/>
        </w:rPr>
        <w:drawing>
          <wp:inline distT="0" distB="0" distL="0" distR="0" wp14:anchorId="03A4F2BF" wp14:editId="6A014733">
            <wp:extent cx="5634611" cy="3756407"/>
            <wp:effectExtent l="0" t="0" r="0" b="0"/>
            <wp:docPr id="1874855879" name="image22.jpg" descr="A statue of a person in a feather headdr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2.jpg" descr="A statue of a person in a feather headdress&#10;&#10;Description automatically generated"/>
                    <pic:cNvPicPr preferRelativeResize="0"/>
                  </pic:nvPicPr>
                  <pic:blipFill>
                    <a:blip r:embed="rId23"/>
                    <a:srcRect/>
                    <a:stretch>
                      <a:fillRect/>
                    </a:stretch>
                  </pic:blipFill>
                  <pic:spPr>
                    <a:xfrm>
                      <a:off x="0" y="0"/>
                      <a:ext cx="5634611" cy="3756407"/>
                    </a:xfrm>
                    <a:prstGeom prst="rect">
                      <a:avLst/>
                    </a:prstGeom>
                    <a:ln/>
                  </pic:spPr>
                </pic:pic>
              </a:graphicData>
            </a:graphic>
          </wp:inline>
        </w:drawing>
      </w:r>
    </w:p>
    <w:p w14:paraId="50F42095" w14:textId="77777777" w:rsidR="009F0C56" w:rsidRDefault="009F0C56">
      <w:pPr>
        <w:spacing w:line="240" w:lineRule="auto"/>
        <w:rPr>
          <w:rFonts w:ascii="Arial" w:eastAsia="Arial" w:hAnsi="Arial" w:cs="Arial"/>
          <w:color w:val="000000"/>
          <w:highlight w:val="white"/>
        </w:rPr>
      </w:pPr>
    </w:p>
    <w:p w14:paraId="4092D696" w14:textId="5C85EBC2" w:rsidR="009F0C56" w:rsidRDefault="00653842">
      <w:pPr>
        <w:spacing w:before="280" w:after="280" w:line="240" w:lineRule="auto"/>
        <w:rPr>
          <w:rFonts w:ascii="Arial" w:eastAsia="Arial" w:hAnsi="Arial" w:cs="Arial"/>
          <w:color w:val="000000"/>
        </w:rPr>
      </w:pPr>
      <w:r>
        <w:rPr>
          <w:rFonts w:ascii="Arial" w:eastAsia="Arial" w:hAnsi="Arial" w:cs="Arial"/>
        </w:rPr>
        <w:t>These images together build what Barker (2021) terms a settler bricolage, discussed in the theory chapter, as a collage of signs and symbols dislocated from their original contexts</w:t>
      </w:r>
      <w:r>
        <w:rPr>
          <w:rFonts w:ascii="Arial" w:eastAsia="Arial" w:hAnsi="Arial" w:cs="Arial"/>
        </w:rPr>
        <w:t xml:space="preserve"> and repurposed to uphold settler narratives</w:t>
      </w:r>
      <w:r>
        <w:rPr>
          <w:rFonts w:ascii="Arial" w:eastAsia="Arial" w:hAnsi="Arial" w:cs="Arial"/>
          <w:color w:val="008000"/>
        </w:rPr>
        <w:t xml:space="preserve">. </w:t>
      </w:r>
      <w:r>
        <w:rPr>
          <w:rFonts w:ascii="Arial" w:eastAsia="Arial" w:hAnsi="Arial" w:cs="Arial"/>
          <w:color w:val="000000"/>
        </w:rPr>
        <w:t>In this bricolage, the cultural specificity of the Seminole and Miccosukee becomes irrelevant. What matters instead is the recognisability of Indigeneity according to settler expectations. This results in an epistemicide, as the systematic erasure of Indigenous ways of knowing and being is conducted through attacking the foundations of representation (Santos 2014, Westberg 2023). In this, the dislocation of cultural signifiers, such as the totem pole or the war bonnet, enables settler society to engage with</w:t>
      </w:r>
      <w:r>
        <w:rPr>
          <w:rFonts w:ascii="Arial" w:eastAsia="Arial" w:hAnsi="Arial" w:cs="Arial"/>
          <w:color w:val="000000"/>
        </w:rPr>
        <w:t xml:space="preserve"> Indigenous culture only through colonially approved representations, as seen in Figure 14’s statue and the commercial books in Figure 8 (Okazaki 1994). </w:t>
      </w:r>
    </w:p>
    <w:p w14:paraId="5C3F05E4" w14:textId="3B725EFF" w:rsidR="009F0C56" w:rsidRDefault="00653842">
      <w:pPr>
        <w:spacing w:before="280" w:after="280" w:line="240" w:lineRule="auto"/>
        <w:rPr>
          <w:rFonts w:ascii="Arial" w:eastAsia="Arial" w:hAnsi="Arial" w:cs="Arial"/>
          <w:highlight w:val="white"/>
        </w:rPr>
      </w:pPr>
      <w:r>
        <w:rPr>
          <w:rFonts w:ascii="Arial" w:eastAsia="Arial" w:hAnsi="Arial" w:cs="Arial"/>
        </w:rPr>
        <w:t xml:space="preserve">These are not neutral acts of representation; rather, they are deliberate mechanisms of control. The dislocation and re-signification form part of a broader colonial matrix of power, where the “Other” is only visible insofar as it affirms the worldview of the coloniser. As Ndlovu (2019) recognised, Zimbabwe and the </w:t>
      </w:r>
      <w:r>
        <w:rPr>
          <w:rFonts w:ascii="Arial" w:eastAsia="Arial" w:hAnsi="Arial" w:cs="Arial"/>
          <w:highlight w:val="white"/>
        </w:rPr>
        <w:t xml:space="preserve">trans-phonological toponymic distortions of Zimbabwean </w:t>
      </w:r>
      <w:r>
        <w:rPr>
          <w:rFonts w:ascii="Arial" w:eastAsia="Arial" w:hAnsi="Arial" w:cs="Arial"/>
        </w:rPr>
        <w:t xml:space="preserve">culture. </w:t>
      </w:r>
      <w:r>
        <w:rPr>
          <w:rFonts w:ascii="Arial" w:eastAsia="Arial" w:hAnsi="Arial" w:cs="Arial"/>
          <w:highlight w:val="white"/>
        </w:rPr>
        <w:t xml:space="preserve">In this, Ndlovu’s work draws clear parallels to the case study of the Seminole and Miccosukee despite being geographically different. </w:t>
      </w:r>
      <w:r w:rsidR="00E40CD6">
        <w:rPr>
          <w:rFonts w:ascii="Arial" w:eastAsia="Arial" w:hAnsi="Arial" w:cs="Arial"/>
          <w:highlight w:val="white"/>
        </w:rPr>
        <w:t>Through</w:t>
      </w:r>
      <w:r>
        <w:rPr>
          <w:rFonts w:ascii="Arial" w:eastAsia="Arial" w:hAnsi="Arial" w:cs="Arial"/>
          <w:highlight w:val="white"/>
        </w:rPr>
        <w:t xml:space="preserve"> drawing on Barker's work, the Seminole and Miccosukee identities and culture are distorted through language and visuals in creating a commodified Indigenous representation. Here, the images previously analysed create a centralised settler understanding of Indigeneity that erases authentic anti-colonial histories and realities (Barker 2021, Ndlovu 2019). </w:t>
      </w:r>
    </w:p>
    <w:p w14:paraId="78D1EE04" w14:textId="7377016E" w:rsidR="009F0C56" w:rsidRDefault="00653842">
      <w:pPr>
        <w:spacing w:before="280" w:after="280" w:line="240" w:lineRule="auto"/>
        <w:rPr>
          <w:rFonts w:ascii="Arial" w:eastAsia="Arial" w:hAnsi="Arial" w:cs="Arial"/>
          <w:color w:val="000000"/>
        </w:rPr>
      </w:pPr>
      <w:r>
        <w:rPr>
          <w:rFonts w:ascii="Arial" w:eastAsia="Arial" w:hAnsi="Arial" w:cs="Arial"/>
        </w:rPr>
        <w:lastRenderedPageBreak/>
        <w:t xml:space="preserve">In this, Moreton-Robinson’s (2015) </w:t>
      </w:r>
      <w:r>
        <w:rPr>
          <w:rFonts w:ascii="Arial" w:eastAsia="Arial" w:hAnsi="Arial" w:cs="Arial"/>
          <w:color w:val="000000"/>
        </w:rPr>
        <w:t xml:space="preserve">analysis, which centres on legal recognition and settler law, helps explore how this commodification of representations is about how whiteness functions in relation to property, and the mechanisms through which settler legitimacy is constructed analogously in representational politics. </w:t>
      </w:r>
      <w:r>
        <w:rPr>
          <w:rFonts w:ascii="Arial" w:eastAsia="Arial" w:hAnsi="Arial" w:cs="Arial"/>
        </w:rPr>
        <w:t>Where the same processes that dictate what counts as legitimate Indigenous presence in courts also inform what is seen as authentic Indigeneity in public culture. In both cases, the authority to authenticate Indigenous identity is bound within settler institutions. However, it's important to note that representational control, while analogous</w:t>
      </w:r>
      <w:r>
        <w:rPr>
          <w:rFonts w:ascii="Arial" w:eastAsia="Arial" w:hAnsi="Arial" w:cs="Arial"/>
          <w:color w:val="008000"/>
        </w:rPr>
        <w:t xml:space="preserve">, </w:t>
      </w:r>
      <w:r>
        <w:rPr>
          <w:rFonts w:ascii="Arial" w:eastAsia="Arial" w:hAnsi="Arial" w:cs="Arial"/>
          <w:color w:val="000000"/>
        </w:rPr>
        <w:t>lacks the enforceability and structural embeddedness of legal recognition, which limits the comparison. Yet, it does show how cultural power reinforces legal and political disempowerment. In this</w:t>
      </w:r>
      <w:r w:rsidR="00E40CD6">
        <w:rPr>
          <w:rFonts w:ascii="Arial" w:eastAsia="Arial" w:hAnsi="Arial" w:cs="Arial"/>
          <w:color w:val="000000"/>
        </w:rPr>
        <w:t>,</w:t>
      </w:r>
      <w:r>
        <w:rPr>
          <w:rFonts w:ascii="Arial" w:eastAsia="Arial" w:hAnsi="Arial" w:cs="Arial"/>
          <w:color w:val="000000"/>
        </w:rPr>
        <w:t xml:space="preserve"> building on Moreton-Robinson's work, settler society</w:t>
      </w:r>
      <w:r w:rsidR="00E40CD6">
        <w:rPr>
          <w:rFonts w:ascii="Arial" w:eastAsia="Arial" w:hAnsi="Arial" w:cs="Arial"/>
          <w:color w:val="000000"/>
        </w:rPr>
        <w:t>,</w:t>
      </w:r>
      <w:r>
        <w:rPr>
          <w:rFonts w:ascii="Arial" w:eastAsia="Arial" w:hAnsi="Arial" w:cs="Arial"/>
          <w:color w:val="000000"/>
        </w:rPr>
        <w:t xml:space="preserve"> through </w:t>
      </w:r>
      <w:r w:rsidR="00E40CD6">
        <w:rPr>
          <w:rFonts w:ascii="Arial" w:eastAsia="Arial" w:hAnsi="Arial" w:cs="Arial"/>
          <w:color w:val="000000"/>
        </w:rPr>
        <w:t xml:space="preserve">the </w:t>
      </w:r>
      <w:r>
        <w:rPr>
          <w:rFonts w:ascii="Arial" w:eastAsia="Arial" w:hAnsi="Arial" w:cs="Arial"/>
          <w:color w:val="000000"/>
        </w:rPr>
        <w:t>commodification of Indigeneity</w:t>
      </w:r>
      <w:r w:rsidR="00E40CD6">
        <w:rPr>
          <w:rFonts w:ascii="Arial" w:eastAsia="Arial" w:hAnsi="Arial" w:cs="Arial"/>
          <w:color w:val="000000"/>
        </w:rPr>
        <w:t>, dislocates</w:t>
      </w:r>
      <w:r>
        <w:rPr>
          <w:rFonts w:ascii="Arial" w:eastAsia="Arial" w:hAnsi="Arial" w:cs="Arial"/>
          <w:color w:val="000000"/>
        </w:rPr>
        <w:t xml:space="preserve"> Indigenous cultures from spatial and temporal elements, transforming them into floating signifiers that are trans-spatial and a-temporal (Moreton-Robinson, 2015). </w:t>
      </w:r>
    </w:p>
    <w:p w14:paraId="28A508C4" w14:textId="472BD2AF" w:rsidR="009F0C56" w:rsidRDefault="00653842">
      <w:pPr>
        <w:spacing w:before="280" w:after="280" w:line="240" w:lineRule="auto"/>
        <w:rPr>
          <w:rFonts w:ascii="Arial" w:eastAsia="Arial" w:hAnsi="Arial" w:cs="Arial"/>
          <w:color w:val="000000"/>
        </w:rPr>
      </w:pPr>
      <w:r>
        <w:rPr>
          <w:rFonts w:ascii="Arial" w:eastAsia="Arial" w:hAnsi="Arial" w:cs="Arial"/>
        </w:rPr>
        <w:t>In this, the commodified signifiers of Indigeneity are mobilised to operate only within constructed settler interests and boundaries, creating what Quijano (2007) describes as a coloniality of power: a system where culture, identity, and representation</w:t>
      </w:r>
      <w:r w:rsidR="00E40CD6">
        <w:rPr>
          <w:rFonts w:ascii="Arial" w:eastAsia="Arial" w:hAnsi="Arial" w:cs="Arial"/>
        </w:rPr>
        <w:t>,</w:t>
      </w:r>
      <w:r>
        <w:rPr>
          <w:rFonts w:ascii="Arial" w:eastAsia="Arial" w:hAnsi="Arial" w:cs="Arial"/>
        </w:rPr>
        <w:t xml:space="preserve"> through this analysis</w:t>
      </w:r>
      <w:r w:rsidR="00E40CD6">
        <w:rPr>
          <w:rFonts w:ascii="Arial" w:eastAsia="Arial" w:hAnsi="Arial" w:cs="Arial"/>
        </w:rPr>
        <w:t>,</w:t>
      </w:r>
      <w:r>
        <w:rPr>
          <w:rFonts w:ascii="Arial" w:eastAsia="Arial" w:hAnsi="Arial" w:cs="Arial"/>
        </w:rPr>
        <w:t xml:space="preserve"> are tools of domination. In this, the Seminole and Miccosukee are forced to perform a settler-approved version of Indigeneity to remain legible</w:t>
      </w:r>
      <w:r>
        <w:rPr>
          <w:rFonts w:ascii="Arial" w:eastAsia="Arial" w:hAnsi="Arial" w:cs="Arial"/>
          <w:color w:val="008000"/>
        </w:rPr>
        <w:t xml:space="preserve"> </w:t>
      </w:r>
      <w:r>
        <w:rPr>
          <w:rFonts w:ascii="Arial" w:eastAsia="Arial" w:hAnsi="Arial" w:cs="Arial"/>
          <w:color w:val="000000"/>
        </w:rPr>
        <w:t>and economically viable. As Mignolo (2018) and Dorries (2022) point out, survival under settler colonial systems means the need for strategic adaptation. Therefore, in this relation and with the environmental degradation of the Everglades and the historical theft of land, the adaptability of the Seminole and Miccosukee has made economic sustainability crucial (Cattelino 2008). As a result, they often have no choice but to participate in their commodification, adopting settler symbols like war bonnets or tot</w:t>
      </w:r>
      <w:r>
        <w:rPr>
          <w:rFonts w:ascii="Arial" w:eastAsia="Arial" w:hAnsi="Arial" w:cs="Arial"/>
          <w:color w:val="000000"/>
        </w:rPr>
        <w:t xml:space="preserve">em poles in appealing to the colonial tourist gaze, which has consciously and cognitively been taught through settler rhetorics on Indigeneity. Here, Gilmore’s (2007, Pg 22) understanding of the “state-sanctioned or extra-legal production and exploitation of group-differentiated vulnerability to premature death.”  While this explores the legal aspects of racial capitalism and colonialism, it helps in analysing how the cultural landscape of the settler U.S. influences these legal proceedings. </w:t>
      </w:r>
    </w:p>
    <w:p w14:paraId="5E4DFDAD" w14:textId="7741D8F9" w:rsidR="009F0C56" w:rsidRDefault="00653842">
      <w:pPr>
        <w:spacing w:before="280" w:after="280" w:line="240" w:lineRule="auto"/>
        <w:rPr>
          <w:rFonts w:ascii="Arial" w:eastAsia="Arial" w:hAnsi="Arial" w:cs="Arial"/>
          <w:color w:val="000000"/>
        </w:rPr>
      </w:pPr>
      <w:r>
        <w:rPr>
          <w:rFonts w:ascii="Arial" w:eastAsia="Arial" w:hAnsi="Arial" w:cs="Arial"/>
        </w:rPr>
        <w:t xml:space="preserve">This, alongside Moreton-Robinson's work on the sovereign power of the state, helps to frame how settler society creates legal structures of oppression for Indigenous communities through the diversification of Indigenous culture. </w:t>
      </w:r>
      <w:r w:rsidR="00E40CD6">
        <w:rPr>
          <w:rFonts w:ascii="Arial" w:eastAsia="Arial" w:hAnsi="Arial" w:cs="Arial"/>
        </w:rPr>
        <w:t>This,</w:t>
      </w:r>
      <w:r>
        <w:rPr>
          <w:rFonts w:ascii="Arial" w:eastAsia="Arial" w:hAnsi="Arial" w:cs="Arial"/>
        </w:rPr>
        <w:t xml:space="preserve"> in turn</w:t>
      </w:r>
      <w:r w:rsidR="00E40CD6">
        <w:rPr>
          <w:rFonts w:ascii="Arial" w:eastAsia="Arial" w:hAnsi="Arial" w:cs="Arial"/>
        </w:rPr>
        <w:t>,</w:t>
      </w:r>
      <w:r>
        <w:rPr>
          <w:rFonts w:ascii="Arial" w:eastAsia="Arial" w:hAnsi="Arial" w:cs="Arial"/>
        </w:rPr>
        <w:t xml:space="preserve"> can be seen to create a bricolage of realities through the aforementioned images that aid in the “premature death” of Indigenous self-representations. It not only attacks and distorts the physical imagery of Indigenous peoples, but also the cultural and spiritual meanings behind it. In this, Gilmore and Bruyneel’s (2021) work of Indigenous communities being “obstacles to colonial claims” (p. 22) rings truer when bringing the historical argument of power into the analysis. Historically</w:t>
      </w:r>
      <w:r>
        <w:rPr>
          <w:rFonts w:ascii="Arial" w:eastAsia="Arial" w:hAnsi="Arial" w:cs="Arial"/>
          <w:color w:val="008000"/>
        </w:rPr>
        <w:t xml:space="preserve">, </w:t>
      </w:r>
      <w:r>
        <w:rPr>
          <w:rFonts w:ascii="Arial" w:eastAsia="Arial" w:hAnsi="Arial" w:cs="Arial"/>
          <w:color w:val="000000"/>
        </w:rPr>
        <w:t>the U.S. state utilised hard power techniques such as the Trail of Tears to eliminate Indigenous obstacles (Grunwald 2007). In contemporary times, with overt violence facing public and international scrutiny, soft power mechanisms become more dominant</w:t>
      </w:r>
      <w:r>
        <w:rPr>
          <w:rFonts w:ascii="Arial" w:eastAsia="Arial" w:hAnsi="Arial" w:cs="Arial"/>
          <w:color w:val="000000"/>
          <w:vertAlign w:val="superscript"/>
        </w:rPr>
        <w:footnoteReference w:id="10"/>
      </w:r>
      <w:r>
        <w:rPr>
          <w:rFonts w:ascii="Arial" w:eastAsia="Arial" w:hAnsi="Arial" w:cs="Arial"/>
          <w:color w:val="000000"/>
        </w:rPr>
        <w:t xml:space="preserve">. In this, the commodification of Indigeneity through the co-optation and reconfiguration of Indigenous culture through tourism, media, and branding serves the settler states' </w:t>
      </w:r>
      <w:r>
        <w:rPr>
          <w:rFonts w:ascii="Arial" w:eastAsia="Arial" w:hAnsi="Arial" w:cs="Arial"/>
          <w:color w:val="000000"/>
        </w:rPr>
        <w:lastRenderedPageBreak/>
        <w:t xml:space="preserve">objectives of cognitively severing Indigenous communities from creating self-representations (Daigle 2024). </w:t>
      </w:r>
    </w:p>
    <w:p w14:paraId="7109B1B5" w14:textId="529C6E66" w:rsidR="009F0C56" w:rsidRDefault="00653842">
      <w:pPr>
        <w:spacing w:before="280" w:after="280" w:line="240" w:lineRule="auto"/>
        <w:rPr>
          <w:rFonts w:ascii="Arial" w:eastAsia="Arial" w:hAnsi="Arial" w:cs="Arial"/>
          <w:color w:val="000000"/>
        </w:rPr>
      </w:pPr>
      <w:r>
        <w:rPr>
          <w:rFonts w:ascii="Arial" w:eastAsia="Arial" w:hAnsi="Arial" w:cs="Arial"/>
          <w:color w:val="000000"/>
        </w:rPr>
        <w:t xml:space="preserve">Here, Coulthard (2014) and Trosper (2022) further demonstrate how these soft power strategies repurpose Indigenous material culture and iconography to serve settler capitalism, operating to delegitimise Indigenous efforts to speak in their </w:t>
      </w:r>
      <w:r w:rsidR="00E40CD6">
        <w:rPr>
          <w:rFonts w:ascii="Arial" w:eastAsia="Arial" w:hAnsi="Arial" w:cs="Arial"/>
          <w:color w:val="000000"/>
        </w:rPr>
        <w:t xml:space="preserve">own </w:t>
      </w:r>
      <w:r>
        <w:rPr>
          <w:rFonts w:ascii="Arial" w:eastAsia="Arial" w:hAnsi="Arial" w:cs="Arial"/>
          <w:color w:val="000000"/>
        </w:rPr>
        <w:t>terms. Instead, they must either conform to settler expectations or risk invisibility and economic marginalisation. In this process, the settler-structured reality of the commodification of Indigeneity is not merely a cultural misrepresentation as discussed, but a political act of dispossession. That operates to embed the Seminole and Miccosukee deeper into a capitalist World, through the adoption of a settler universalised understanding of Indigeneity</w:t>
      </w:r>
      <w:r>
        <w:rPr>
          <w:rFonts w:ascii="Arial" w:eastAsia="Arial" w:hAnsi="Arial" w:cs="Arial"/>
          <w:color w:val="000000"/>
        </w:rPr>
        <w:t xml:space="preserve"> that denies Seminole and Miccosukee actual sovereignty (Oldham et al</w:t>
      </w:r>
      <w:r w:rsidR="00E40CD6">
        <w:rPr>
          <w:rFonts w:ascii="Arial" w:eastAsia="Arial" w:hAnsi="Arial" w:cs="Arial"/>
          <w:color w:val="000000"/>
        </w:rPr>
        <w:t>.</w:t>
      </w:r>
      <w:r>
        <w:rPr>
          <w:rFonts w:ascii="Arial" w:eastAsia="Arial" w:hAnsi="Arial" w:cs="Arial"/>
          <w:color w:val="000000"/>
        </w:rPr>
        <w:t xml:space="preserve"> 2024). Therefore, this assimilation through the commodification of cultural symbols allows settler society to control Indigenous resistance, rendering it non-threatening within the boundaries of white society and the racialised ‘Other’. Where the settler notion of the “Indian” is something to be sold, celebrated, and remembered, but only in the ways that do not challenge the settler bricolage of realities (Barker 2021, Ndlovu 2019).</w:t>
      </w:r>
    </w:p>
    <w:p w14:paraId="1BF3611F" w14:textId="77777777" w:rsidR="009F0C56" w:rsidRDefault="00653842">
      <w:pPr>
        <w:pStyle w:val="Heading3"/>
        <w:rPr>
          <w:sz w:val="32"/>
          <w:szCs w:val="32"/>
          <w:highlight w:val="white"/>
        </w:rPr>
      </w:pPr>
      <w:bookmarkStart w:id="124" w:name="_Toc240966040"/>
      <w:r>
        <w:rPr>
          <w:sz w:val="32"/>
          <w:szCs w:val="32"/>
          <w:highlight w:val="white"/>
        </w:rPr>
        <w:t>7.15 Line of interest, where next?</w:t>
      </w:r>
      <w:bookmarkEnd w:id="124"/>
    </w:p>
    <w:p w14:paraId="62E1992F" w14:textId="77777777" w:rsidR="009F0C56" w:rsidRDefault="00653842">
      <w:pPr>
        <w:rPr>
          <w:rFonts w:ascii="Arial" w:eastAsia="Arial" w:hAnsi="Arial" w:cs="Arial"/>
        </w:rPr>
      </w:pPr>
      <w:r>
        <w:rPr>
          <w:rFonts w:ascii="Arial" w:eastAsia="Arial" w:hAnsi="Arial" w:cs="Arial"/>
          <w:color w:val="000000"/>
        </w:rPr>
        <w:t xml:space="preserve">Through the analysis of the relationship between commodification and Indigenous representations. Several themes arose from the data gathered that will help to explore in greater detail settler societies' ability to socially influence Indigenous representations and the reasons for it. In analysing the images using a visual geography breakdown alongside settler colonial theory and Indigenous literature. The commodification of </w:t>
      </w:r>
      <w:r>
        <w:rPr>
          <w:rFonts w:ascii="Arial" w:eastAsia="Arial" w:hAnsi="Arial" w:cs="Arial"/>
        </w:rPr>
        <w:t>representations is</w:t>
      </w:r>
      <w:r>
        <w:rPr>
          <w:rFonts w:ascii="Arial" w:eastAsia="Arial" w:hAnsi="Arial" w:cs="Arial"/>
          <w:color w:val="000000"/>
        </w:rPr>
        <w:t xml:space="preserve"> understood as a colonial tool to create an image of the Seminole and Miccosukee that is incorporated into the monolithic representation of Indigenous communities (Coulthard, 2014). Here, colonial semiosis works to erase the ability of the Seminole and Miccosukee to assert their representations, as the market has become flooded with colonial signifiers (Mignolo, 2018). </w:t>
      </w:r>
    </w:p>
    <w:p w14:paraId="03BE7F63" w14:textId="2A9072C1" w:rsidR="009F0C56" w:rsidRDefault="00E40CD6">
      <w:pPr>
        <w:spacing w:before="240" w:after="240" w:line="240" w:lineRule="auto"/>
        <w:rPr>
          <w:rFonts w:ascii="Arial" w:eastAsia="Arial" w:hAnsi="Arial" w:cs="Arial"/>
          <w:color w:val="000000"/>
        </w:rPr>
      </w:pPr>
      <w:r>
        <w:rPr>
          <w:rFonts w:ascii="Arial" w:eastAsia="Arial" w:hAnsi="Arial" w:cs="Arial"/>
          <w:color w:val="000000"/>
        </w:rPr>
        <w:t>These</w:t>
      </w:r>
      <w:r w:rsidR="00653842">
        <w:rPr>
          <w:rFonts w:ascii="Arial" w:eastAsia="Arial" w:hAnsi="Arial" w:cs="Arial"/>
          <w:color w:val="000000"/>
        </w:rPr>
        <w:t xml:space="preserve"> colonial signifiers are materialised in Figure 10 with the selling of the war bonnet as well as Figures 8 and 9, which alter and repackage settler society in an easy, bite-sized understanding of what Indigenous culture is (Aldred 2000). Here, these colonially constructed representations create a coloniality of representations that work in the colonial matrix of power to subdue and repress Indigenous self-representation, which would challenge the colonial status quo (Quijano 2007). The notion of colonial se</w:t>
      </w:r>
      <w:r w:rsidR="00653842">
        <w:rPr>
          <w:rFonts w:ascii="Arial" w:eastAsia="Arial" w:hAnsi="Arial" w:cs="Arial"/>
          <w:color w:val="000000"/>
        </w:rPr>
        <w:t xml:space="preserve">miosis </w:t>
      </w:r>
      <w:r w:rsidR="00653842">
        <w:rPr>
          <w:rFonts w:ascii="Arial" w:eastAsia="Arial" w:hAnsi="Arial" w:cs="Arial"/>
        </w:rPr>
        <w:t>will become</w:t>
      </w:r>
      <w:r w:rsidR="00653842">
        <w:rPr>
          <w:rFonts w:ascii="Arial" w:eastAsia="Arial" w:hAnsi="Arial" w:cs="Arial"/>
          <w:color w:val="000000"/>
        </w:rPr>
        <w:t xml:space="preserve"> something this thesis will explore more heavily going forward, as it </w:t>
      </w:r>
      <w:r w:rsidR="00653842">
        <w:rPr>
          <w:rFonts w:ascii="Arial" w:eastAsia="Arial" w:hAnsi="Arial" w:cs="Arial"/>
        </w:rPr>
        <w:t>aids</w:t>
      </w:r>
      <w:r w:rsidR="00653842">
        <w:rPr>
          <w:rFonts w:ascii="Arial" w:eastAsia="Arial" w:hAnsi="Arial" w:cs="Arial"/>
          <w:color w:val="000000"/>
        </w:rPr>
        <w:t xml:space="preserve"> in exploring the colonial subterfuge of the dislocation of Indigenous representation across the US (Gilmore 2007, Coulthard 2014). Which from the analysis highlighted, shows how the Seminole and Miccosukee have had to adopt colonial tropes to be </w:t>
      </w:r>
      <w:r w:rsidR="00653842">
        <w:rPr>
          <w:rFonts w:ascii="Arial" w:eastAsia="Arial" w:hAnsi="Arial" w:cs="Arial"/>
        </w:rPr>
        <w:t>competitive against the settler state.</w:t>
      </w:r>
      <w:r w:rsidR="00653842">
        <w:rPr>
          <w:rFonts w:ascii="Arial" w:eastAsia="Arial" w:hAnsi="Arial" w:cs="Arial"/>
          <w:color w:val="000000"/>
        </w:rPr>
        <w:t xml:space="preserve">  </w:t>
      </w:r>
    </w:p>
    <w:p w14:paraId="3E29AE3D" w14:textId="77777777" w:rsidR="009F0C56" w:rsidRDefault="00653842">
      <w:pPr>
        <w:spacing w:before="240" w:after="240" w:line="240" w:lineRule="auto"/>
        <w:rPr>
          <w:rFonts w:ascii="Arial" w:eastAsia="Arial" w:hAnsi="Arial" w:cs="Arial"/>
          <w:color w:val="000000"/>
        </w:rPr>
      </w:pPr>
      <w:r>
        <w:rPr>
          <w:rFonts w:ascii="Arial" w:eastAsia="Arial" w:hAnsi="Arial" w:cs="Arial"/>
          <w:color w:val="000000"/>
        </w:rPr>
        <w:t xml:space="preserve">In this, these power relations become incredibly prominent in how settler society operates to assimilate and erase the Seminole and Miccosukee as actors in asserting their own representations. This could challenge the colonial monopoly that </w:t>
      </w:r>
      <w:r>
        <w:rPr>
          <w:rFonts w:ascii="Arial" w:eastAsia="Arial" w:hAnsi="Arial" w:cs="Arial"/>
          <w:color w:val="000000"/>
        </w:rPr>
        <w:lastRenderedPageBreak/>
        <w:t xml:space="preserve">settler US society has crafted. These ideas will help form the next analysis chapter on time’s interrelationship with Indigenous power dynamics.  </w:t>
      </w:r>
    </w:p>
    <w:p w14:paraId="600E399E" w14:textId="77777777" w:rsidR="009F0C56" w:rsidRDefault="00653842">
      <w:pPr>
        <w:pStyle w:val="Heading3"/>
        <w:rPr>
          <w:sz w:val="32"/>
          <w:szCs w:val="32"/>
        </w:rPr>
      </w:pPr>
      <w:bookmarkStart w:id="125" w:name="_Toc240966041"/>
      <w:r>
        <w:rPr>
          <w:sz w:val="32"/>
          <w:szCs w:val="32"/>
        </w:rPr>
        <w:t>7.16 Conclusion</w:t>
      </w:r>
      <w:bookmarkEnd w:id="125"/>
    </w:p>
    <w:p w14:paraId="1CC54BFA"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 xml:space="preserve">From the analysis of this chapter, it becomes clear how commodification works with the colonial matrix of representation in distorting and materialising Indigenous ontologies and cosmologies and reifying them as settler constructions of subordination and coercive control. </w:t>
      </w:r>
    </w:p>
    <w:p w14:paraId="580066AC" w14:textId="77777777" w:rsidR="009F0C56" w:rsidRDefault="00653842">
      <w:pPr>
        <w:spacing w:before="280" w:after="280" w:line="240" w:lineRule="auto"/>
        <w:rPr>
          <w:rFonts w:ascii="Arial" w:eastAsia="Arial" w:hAnsi="Arial" w:cs="Arial"/>
          <w:color w:val="000000"/>
        </w:rPr>
      </w:pPr>
      <w:r>
        <w:rPr>
          <w:rFonts w:ascii="Arial" w:eastAsia="Arial" w:hAnsi="Arial" w:cs="Arial"/>
          <w:color w:val="000000"/>
        </w:rPr>
        <w:t xml:space="preserve">Through the analysis of dreamcatchers, statues, and generalised settler inspired Indigenous goods, commodification operates as a mechanism in unconsciously fortifying the homogenised Indian trope through the mass availability of such items in South Florida, even though they do not match the Seminole and Miccosukee ontologies and epistemologies. These thoughts will be further expanded during the next chapter, which focuses on time. </w:t>
      </w:r>
    </w:p>
    <w:p w14:paraId="226FBECF" w14:textId="77777777" w:rsidR="009F0C56" w:rsidRDefault="009F0C56">
      <w:pPr>
        <w:spacing w:before="240" w:after="240" w:line="240" w:lineRule="auto"/>
        <w:rPr>
          <w:rFonts w:ascii="Arial" w:eastAsia="Arial" w:hAnsi="Arial" w:cs="Arial"/>
          <w:color w:val="000000"/>
        </w:rPr>
      </w:pPr>
    </w:p>
    <w:p w14:paraId="33F7DB60" w14:textId="77777777" w:rsidR="009F0C56" w:rsidRDefault="009F0C56">
      <w:pPr>
        <w:spacing w:before="240" w:after="240" w:line="240" w:lineRule="auto"/>
        <w:rPr>
          <w:rFonts w:ascii="Arial" w:eastAsia="Arial" w:hAnsi="Arial" w:cs="Arial"/>
          <w:color w:val="000000"/>
        </w:rPr>
      </w:pPr>
    </w:p>
    <w:p w14:paraId="46A7B2FD" w14:textId="77777777" w:rsidR="009F0C56" w:rsidRDefault="009F0C56">
      <w:pPr>
        <w:spacing w:before="240" w:after="240" w:line="240" w:lineRule="auto"/>
        <w:rPr>
          <w:rFonts w:ascii="Arial" w:eastAsia="Arial" w:hAnsi="Arial" w:cs="Arial"/>
          <w:color w:val="000000"/>
        </w:rPr>
      </w:pPr>
    </w:p>
    <w:p w14:paraId="2A8A67D5" w14:textId="77777777" w:rsidR="009F0C56" w:rsidRDefault="009F0C56">
      <w:pPr>
        <w:spacing w:before="240" w:after="240" w:line="240" w:lineRule="auto"/>
        <w:rPr>
          <w:rFonts w:ascii="Arial" w:eastAsia="Arial" w:hAnsi="Arial" w:cs="Arial"/>
          <w:color w:val="000000"/>
        </w:rPr>
      </w:pPr>
    </w:p>
    <w:p w14:paraId="1ABE1AA4" w14:textId="77777777" w:rsidR="009F0C56" w:rsidRDefault="009F0C56">
      <w:pPr>
        <w:spacing w:before="240" w:after="240" w:line="240" w:lineRule="auto"/>
        <w:rPr>
          <w:rFonts w:ascii="Arial" w:eastAsia="Arial" w:hAnsi="Arial" w:cs="Arial"/>
          <w:color w:val="000000"/>
        </w:rPr>
      </w:pPr>
    </w:p>
    <w:p w14:paraId="0A10CB44" w14:textId="77777777" w:rsidR="009F0C56" w:rsidRDefault="009F0C56">
      <w:pPr>
        <w:spacing w:before="240" w:after="240" w:line="240" w:lineRule="auto"/>
        <w:rPr>
          <w:rFonts w:ascii="Arial" w:eastAsia="Arial" w:hAnsi="Arial" w:cs="Arial"/>
          <w:color w:val="000000"/>
        </w:rPr>
      </w:pPr>
    </w:p>
    <w:p w14:paraId="4152A055" w14:textId="77777777" w:rsidR="009F0C56" w:rsidRDefault="009F0C56">
      <w:pPr>
        <w:spacing w:before="240" w:after="240" w:line="240" w:lineRule="auto"/>
        <w:rPr>
          <w:rFonts w:ascii="Arial" w:eastAsia="Arial" w:hAnsi="Arial" w:cs="Arial"/>
          <w:color w:val="000000"/>
        </w:rPr>
      </w:pPr>
    </w:p>
    <w:p w14:paraId="19DDB24D" w14:textId="77777777" w:rsidR="009F0C56" w:rsidRDefault="009F0C56">
      <w:pPr>
        <w:spacing w:before="240" w:after="240" w:line="240" w:lineRule="auto"/>
        <w:rPr>
          <w:rFonts w:ascii="Arial" w:eastAsia="Arial" w:hAnsi="Arial" w:cs="Arial"/>
          <w:color w:val="000000"/>
        </w:rPr>
      </w:pPr>
    </w:p>
    <w:p w14:paraId="690DEA25" w14:textId="77777777" w:rsidR="009F0C56" w:rsidRDefault="009F0C56">
      <w:pPr>
        <w:pStyle w:val="Heading1"/>
        <w:rPr>
          <w:rFonts w:ascii="Arial" w:eastAsia="Arial" w:hAnsi="Arial" w:cs="Arial"/>
          <w:u w:val="single"/>
        </w:rPr>
      </w:pPr>
    </w:p>
    <w:p w14:paraId="55DC73CB" w14:textId="77777777" w:rsidR="009F0C56" w:rsidRDefault="009F0C56"/>
    <w:p w14:paraId="0553113C" w14:textId="77777777" w:rsidR="009F0C56" w:rsidRDefault="009F0C56">
      <w:pPr>
        <w:pStyle w:val="Heading1"/>
        <w:rPr>
          <w:rFonts w:ascii="Arial" w:eastAsia="Arial" w:hAnsi="Arial" w:cs="Arial"/>
          <w:u w:val="single"/>
        </w:rPr>
      </w:pPr>
    </w:p>
    <w:p w14:paraId="5EC8E025" w14:textId="77777777" w:rsidR="009F0C56" w:rsidRDefault="009F0C56">
      <w:pPr>
        <w:pStyle w:val="Heading1"/>
        <w:rPr>
          <w:rFonts w:ascii="Arial" w:eastAsia="Arial" w:hAnsi="Arial" w:cs="Arial"/>
          <w:u w:val="single"/>
        </w:rPr>
      </w:pPr>
    </w:p>
    <w:p w14:paraId="5B4BD1DE" w14:textId="77777777" w:rsidR="009F0C56" w:rsidRDefault="009F0C56"/>
    <w:p w14:paraId="06BF171B" w14:textId="77777777" w:rsidR="009F0C56" w:rsidRDefault="00653842">
      <w:pPr>
        <w:pStyle w:val="Heading1"/>
        <w:rPr>
          <w:rFonts w:ascii="Arial" w:eastAsia="Arial" w:hAnsi="Arial" w:cs="Arial"/>
          <w:u w:val="single"/>
        </w:rPr>
      </w:pPr>
      <w:r>
        <w:br w:type="page"/>
      </w:r>
      <w:bookmarkStart w:id="126" w:name="_Toc240966042"/>
      <w:r>
        <w:rPr>
          <w:rFonts w:ascii="Arial" w:eastAsia="Arial" w:hAnsi="Arial" w:cs="Arial"/>
          <w:u w:val="single"/>
        </w:rPr>
        <w:lastRenderedPageBreak/>
        <w:t>8.0 The relationship of Historization and Indigeneity</w:t>
      </w:r>
      <w:bookmarkEnd w:id="126"/>
    </w:p>
    <w:p w14:paraId="6BE61809" w14:textId="77777777" w:rsidR="009F0C56" w:rsidRDefault="00653842">
      <w:pPr>
        <w:pStyle w:val="Heading2"/>
        <w:rPr>
          <w:rFonts w:ascii="Arial" w:eastAsia="Arial" w:hAnsi="Arial" w:cs="Arial"/>
        </w:rPr>
      </w:pPr>
      <w:bookmarkStart w:id="127" w:name="_Toc240966043"/>
      <w:r>
        <w:rPr>
          <w:rFonts w:ascii="Arial" w:eastAsia="Arial" w:hAnsi="Arial" w:cs="Arial"/>
        </w:rPr>
        <w:t>Introduction</w:t>
      </w:r>
      <w:bookmarkEnd w:id="127"/>
    </w:p>
    <w:p w14:paraId="7534F811" w14:textId="77777777" w:rsidR="009F0C56" w:rsidRDefault="00653842">
      <w:pPr>
        <w:pBdr>
          <w:top w:val="nil"/>
          <w:left w:val="nil"/>
          <w:bottom w:val="nil"/>
          <w:right w:val="nil"/>
          <w:between w:val="nil"/>
        </w:pBdr>
        <w:spacing w:line="240" w:lineRule="auto"/>
        <w:rPr>
          <w:rFonts w:ascii="Arial" w:eastAsia="Arial" w:hAnsi="Arial" w:cs="Arial"/>
          <w:b/>
          <w:bCs/>
          <w:color w:val="000000"/>
        </w:rPr>
      </w:pPr>
      <w:r>
        <w:rPr>
          <w:rFonts w:ascii="Arial" w:eastAsia="Arial" w:hAnsi="Arial" w:cs="Arial"/>
          <w:color w:val="000000"/>
        </w:rPr>
        <w:t>The previous chapters on homogenisation and commodification foregrounded how settler colonialism organises Indigeneity into simplified, commodified forms. In this, it was understood how homogenisation diminishes cultural specificity into a singular “Indian” figure, while commodification manipulates that representation into a product for tourist and settler markets. This chapter extends this concept by examining how time itself operates as a settler colonial tool of erasure and assimilation (Veracini 2018).</w:t>
      </w:r>
    </w:p>
    <w:p w14:paraId="0C1DAC79"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Drawing on the work of Deloria (1997), Bruyneel (2021), Moreton-Robinson (2015), and Simpson (2016), this chapter argues that representations of the Seminole and Miccosukee peoples are not only homogenised and commodified but also temporally fixed. Often being cast as vanishing, timeless, or irretrievable items of the past. This temporal framing functions as a disciplining mechanism, positioning Indigenous communities as incompatible with modernity or futurity, and thereby legitimising settler dominance ove</w:t>
      </w:r>
      <w:r>
        <w:rPr>
          <w:rFonts w:ascii="Arial" w:eastAsia="Arial" w:hAnsi="Arial" w:cs="Arial"/>
          <w:color w:val="000000"/>
        </w:rPr>
        <w:t>r land, history, and cultural authority.</w:t>
      </w:r>
    </w:p>
    <w:p w14:paraId="696E6104"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Through this, the empirical evidence of this analysis will focus on statues, commercial souvenirs, and colonial-era texts, all of which will be analysed for how they materialise invented settler histories (Veracini 2018). In this, these objects will be analysed for how they serve as symbolic anchors that operate in rewriting Indigenous presence into a narrative of nostalgia and disappearance, embedding a settler collective memory that privileges colonial achievement while denying Indigenous agency in shapin</w:t>
      </w:r>
      <w:r>
        <w:rPr>
          <w:rFonts w:ascii="Arial" w:eastAsia="Arial" w:hAnsi="Arial" w:cs="Arial"/>
          <w:color w:val="000000"/>
        </w:rPr>
        <w:t>g past, present, and future.</w:t>
      </w:r>
    </w:p>
    <w:p w14:paraId="4A8CC619"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Thus, in tracing how such artefacts operate as temporal structures of power, this chapter demonstrates that chronopolitics and the colonial structuring of time operate as a core mechanism of settler colonial power</w:t>
      </w:r>
      <w:r>
        <w:rPr>
          <w:rFonts w:ascii="Arial" w:eastAsia="Arial" w:hAnsi="Arial" w:cs="Arial"/>
          <w:b/>
          <w:bCs/>
          <w:color w:val="000000"/>
        </w:rPr>
        <w:t>.</w:t>
      </w:r>
      <w:r>
        <w:rPr>
          <w:rFonts w:ascii="Arial" w:eastAsia="Arial" w:hAnsi="Arial" w:cs="Arial"/>
          <w:color w:val="000000"/>
        </w:rPr>
        <w:t xml:space="preserve"> In this, where homogenisation and commodification worked to distort and market Indigeneity, the coloniality of time furthers this argument by incarcerating Indigenous life within the past, foreclosing Indigenous modernities and futurities.</w:t>
      </w:r>
    </w:p>
    <w:p w14:paraId="15987949" w14:textId="77777777" w:rsidR="009F0C56" w:rsidRDefault="00653842">
      <w:pPr>
        <w:pStyle w:val="Heading3"/>
        <w:rPr>
          <w:sz w:val="32"/>
          <w:szCs w:val="32"/>
        </w:rPr>
      </w:pPr>
      <w:bookmarkStart w:id="128" w:name="_Toc240966044"/>
      <w:r>
        <w:rPr>
          <w:sz w:val="32"/>
          <w:szCs w:val="32"/>
        </w:rPr>
        <w:t>8.1 Historization, Time and Indigeneity</w:t>
      </w:r>
      <w:bookmarkEnd w:id="128"/>
      <w:r>
        <w:rPr>
          <w:sz w:val="32"/>
          <w:szCs w:val="32"/>
        </w:rPr>
        <w:t xml:space="preserve"> </w:t>
      </w:r>
    </w:p>
    <w:p w14:paraId="1571B4F2" w14:textId="77777777" w:rsidR="009F0C56" w:rsidRDefault="00653842">
      <w:pPr>
        <w:spacing w:before="240" w:after="240" w:line="276" w:lineRule="auto"/>
        <w:rPr>
          <w:rFonts w:ascii="Arial" w:eastAsia="Arial" w:hAnsi="Arial" w:cs="Arial"/>
          <w:color w:val="000000"/>
        </w:rPr>
      </w:pPr>
      <w:r>
        <w:rPr>
          <w:rFonts w:ascii="Arial" w:eastAsia="Arial" w:hAnsi="Arial" w:cs="Arial"/>
          <w:color w:val="000000"/>
        </w:rPr>
        <w:t>The previous chapter on commodification made it clear that Indigenous representations are regularly centred on the concept of time. The research below will reveal how time has been mobilised as a structuring device to reinforce a settler collective memory regarding Indigenous peoples’ relationships with the past, present, and future representations (Bruyneel 2021). Here, time will be understood alongside homogenisation and commodification as not a neutral or natural phenomenon, but a settler colonial constr</w:t>
      </w:r>
      <w:r>
        <w:rPr>
          <w:rFonts w:ascii="Arial" w:eastAsia="Arial" w:hAnsi="Arial" w:cs="Arial"/>
          <w:color w:val="000000"/>
        </w:rPr>
        <w:t xml:space="preserve">uction, where Indigenous cultures are framed as vanishing or locked in the past (Moreton-Robinson 2015, Simpson 2016). This temporal framing will work as a disciplining mechanism in exploring how time facilitates the assimilation, erasure, and control in constructing a version of </w:t>
      </w:r>
      <w:r>
        <w:rPr>
          <w:rFonts w:ascii="Arial" w:eastAsia="Arial" w:hAnsi="Arial" w:cs="Arial"/>
          <w:color w:val="000000"/>
        </w:rPr>
        <w:lastRenderedPageBreak/>
        <w:t>Indigeneity incompatible with modernity, rationality, or futurity (Mignolo 2011, Simpson 2016, Wolfe 2016).</w:t>
      </w:r>
    </w:p>
    <w:p w14:paraId="46377012" w14:textId="77777777" w:rsidR="009F0C56" w:rsidRDefault="00653842">
      <w:pPr>
        <w:spacing w:before="240" w:after="240" w:line="276" w:lineRule="auto"/>
        <w:rPr>
          <w:rFonts w:ascii="Arial" w:eastAsia="Arial" w:hAnsi="Arial" w:cs="Arial"/>
        </w:rPr>
      </w:pPr>
      <w:r>
        <w:rPr>
          <w:rFonts w:ascii="Arial" w:eastAsia="Arial" w:hAnsi="Arial" w:cs="Arial"/>
        </w:rPr>
        <w:t xml:space="preserve">To unpack this, this chapter will examine the power of temporalities in how they are constructed, contested, and deployed in shaping Indigenous representations. This will be done by analysing examples such as statues, commercial souvenirs, and literary texts. In this, the research will analyse how they are fixed in a romanticised and fetishised understanding. </w:t>
      </w:r>
      <w:r>
        <w:rPr>
          <w:rFonts w:ascii="Arial" w:eastAsia="Arial" w:hAnsi="Arial" w:cs="Arial"/>
          <w:color w:val="000000"/>
        </w:rPr>
        <w:t xml:space="preserve">These items, alongside settler colonial theory and Indigenous critiques of the coloniality of time, will evidence how settler colonialism strategically manipulates time to maintain control over space, history, and identity. All </w:t>
      </w:r>
      <w:r>
        <w:rPr>
          <w:rFonts w:ascii="Arial" w:eastAsia="Arial" w:hAnsi="Arial" w:cs="Arial"/>
        </w:rPr>
        <w:t>of this reveals how this affects Indigenous communities such as the Seminole and Miccosukee, in denying them as actors in the construction of their past, present, and future.</w:t>
      </w:r>
    </w:p>
    <w:p w14:paraId="57D3394E" w14:textId="179F9846" w:rsidR="009F0C56" w:rsidRDefault="00653842">
      <w:pPr>
        <w:spacing w:before="240" w:after="240" w:line="276" w:lineRule="auto"/>
        <w:rPr>
          <w:rFonts w:ascii="Arial" w:eastAsia="Arial" w:hAnsi="Arial" w:cs="Arial"/>
          <w:color w:val="000000"/>
        </w:rPr>
      </w:pPr>
      <w:r>
        <w:rPr>
          <w:rFonts w:ascii="Arial" w:eastAsia="Arial" w:hAnsi="Arial" w:cs="Arial"/>
          <w:color w:val="000000"/>
        </w:rPr>
        <w:t>To begin this chapter, historization and the idea of time as a settler colonial power structure need to be asserted and identified. Here, Deloria's (1997) work on chronopolitics offers a crucial analysis, noting that settler society’s framework of time, in particular its linear, Eurocentric evolutionary models, does not reflect the multiplicity or relationality of Indigenous temporalities. As he states, “The evolutionary framework we presently have does not represent human experiences of the past and presen</w:t>
      </w:r>
      <w:r>
        <w:rPr>
          <w:rFonts w:ascii="Arial" w:eastAsia="Arial" w:hAnsi="Arial" w:cs="Arial"/>
          <w:color w:val="000000"/>
        </w:rPr>
        <w:t>t, but simply Western doctrinal arrangements of selected bits of evidence of those experiences</w:t>
      </w:r>
      <w:r>
        <w:rPr>
          <w:rFonts w:ascii="Arial" w:eastAsia="Arial" w:hAnsi="Arial" w:cs="Arial"/>
          <w:color w:val="000000"/>
        </w:rPr>
        <w:t>” (Deloria 1997, p. 33). Here, Deloria's work helps in exploring how settler-colonial distortions of time are a political act that selects, distorts, and institutionalises partial truths to support colonial authority. In this way, time becomes materialised, and works on centring representations</w:t>
      </w:r>
      <w:r>
        <w:rPr>
          <w:rFonts w:ascii="Arial" w:eastAsia="Arial" w:hAnsi="Arial" w:cs="Arial"/>
          <w:color w:val="000000"/>
        </w:rPr>
        <w:t xml:space="preserve"> in physical artefacts like statues, books, signage, and souvenirs. </w:t>
      </w:r>
    </w:p>
    <w:p w14:paraId="5D4A4C36" w14:textId="3073406F" w:rsidR="009F0C56" w:rsidRDefault="00653842">
      <w:pPr>
        <w:spacing w:before="240" w:after="240" w:line="276" w:lineRule="auto"/>
        <w:rPr>
          <w:rFonts w:ascii="Arial" w:eastAsia="Arial" w:hAnsi="Arial" w:cs="Arial"/>
          <w:color w:val="000000"/>
        </w:rPr>
      </w:pPr>
      <w:r>
        <w:rPr>
          <w:rFonts w:ascii="Arial" w:eastAsia="Arial" w:hAnsi="Arial" w:cs="Arial"/>
          <w:color w:val="000000"/>
        </w:rPr>
        <w:t>While Deloria's work helps begin this thought and is important, his work was relational to the time it was written</w:t>
      </w:r>
      <w:r w:rsidR="00E40CD6">
        <w:rPr>
          <w:rFonts w:ascii="Arial" w:eastAsia="Arial" w:hAnsi="Arial" w:cs="Arial"/>
          <w:color w:val="000000"/>
        </w:rPr>
        <w:t>;</w:t>
      </w:r>
      <w:r>
        <w:rPr>
          <w:rFonts w:ascii="Arial" w:eastAsia="Arial" w:hAnsi="Arial" w:cs="Arial"/>
          <w:color w:val="000000"/>
        </w:rPr>
        <w:t xml:space="preserve"> in this, more contemporary authors such as Kidman </w:t>
      </w:r>
      <w:r w:rsidR="00E40CD6">
        <w:rPr>
          <w:rFonts w:ascii="Arial" w:eastAsia="Arial" w:hAnsi="Arial" w:cs="Arial"/>
          <w:color w:val="000000"/>
        </w:rPr>
        <w:t xml:space="preserve">et al. </w:t>
      </w:r>
      <w:r>
        <w:rPr>
          <w:rFonts w:ascii="Arial" w:eastAsia="Arial" w:hAnsi="Arial" w:cs="Arial"/>
          <w:color w:val="000000"/>
        </w:rPr>
        <w:t>(2021)</w:t>
      </w:r>
      <w:r w:rsidR="00E40CD6">
        <w:rPr>
          <w:rFonts w:ascii="Arial" w:eastAsia="Arial" w:hAnsi="Arial" w:cs="Arial"/>
          <w:color w:val="000000"/>
        </w:rPr>
        <w:t>, whose</w:t>
      </w:r>
      <w:r>
        <w:rPr>
          <w:rFonts w:ascii="Arial" w:eastAsia="Arial" w:hAnsi="Arial" w:cs="Arial"/>
          <w:color w:val="000000"/>
        </w:rPr>
        <w:t xml:space="preserve"> work on Indigenous youth and time in Australia and New Zealand, will be used to analyse how the Seminole and Miccosukee are fighting competing temporal references within their ancestral lands. In this the chapter, </w:t>
      </w:r>
      <w:r w:rsidR="00E40CD6">
        <w:rPr>
          <w:rFonts w:ascii="Arial" w:eastAsia="Arial" w:hAnsi="Arial" w:cs="Arial"/>
          <w:color w:val="000000"/>
        </w:rPr>
        <w:t xml:space="preserve">I </w:t>
      </w:r>
      <w:r>
        <w:rPr>
          <w:rFonts w:ascii="Arial" w:eastAsia="Arial" w:hAnsi="Arial" w:cs="Arial"/>
          <w:color w:val="000000"/>
        </w:rPr>
        <w:t xml:space="preserve">will analyse how the aforementioned images operate </w:t>
      </w:r>
      <w:r w:rsidR="00E40CD6">
        <w:rPr>
          <w:rFonts w:ascii="Arial" w:eastAsia="Arial" w:hAnsi="Arial" w:cs="Arial"/>
          <w:color w:val="000000"/>
        </w:rPr>
        <w:t>not only</w:t>
      </w:r>
      <w:r>
        <w:rPr>
          <w:rFonts w:ascii="Arial" w:eastAsia="Arial" w:hAnsi="Arial" w:cs="Arial"/>
          <w:color w:val="000000"/>
        </w:rPr>
        <w:t xml:space="preserve"> as inert cultural markers, but as temporal mechanisms that reify the settler narrative in solidifying a settler colonial memory (Bruyneel 2021). </w:t>
      </w:r>
    </w:p>
    <w:p w14:paraId="065A9C85" w14:textId="6434FE99" w:rsidR="009F0C56" w:rsidRDefault="00653842">
      <w:pPr>
        <w:spacing w:before="240" w:after="240" w:line="276" w:lineRule="auto"/>
        <w:rPr>
          <w:rFonts w:ascii="Arial" w:eastAsia="Arial" w:hAnsi="Arial" w:cs="Arial"/>
        </w:rPr>
      </w:pPr>
      <w:r>
        <w:rPr>
          <w:rFonts w:ascii="Arial" w:eastAsia="Arial" w:hAnsi="Arial" w:cs="Arial"/>
        </w:rPr>
        <w:t xml:space="preserve">This will be argued through exploring these items as symbolic anchors of Indigenous existence in a way that settler society claims dominion over. Thus, the images of the Indian statue or books filled with colonial-era ethnographies will be used to construct a settler visualisation and material past that will be analysed in how settler society works to contain Indigenous life within pre-modern temporal </w:t>
      </w:r>
      <w:r w:rsidR="00E40CD6">
        <w:rPr>
          <w:rFonts w:ascii="Arial" w:eastAsia="Arial" w:hAnsi="Arial" w:cs="Arial"/>
        </w:rPr>
        <w:t>settler-assimilated</w:t>
      </w:r>
      <w:r>
        <w:rPr>
          <w:rFonts w:ascii="Arial" w:eastAsia="Arial" w:hAnsi="Arial" w:cs="Arial"/>
        </w:rPr>
        <w:t xml:space="preserve"> boundaries, but still separate from settler society (Manning 2018). Here, Nanni’s (2011) </w:t>
      </w:r>
      <w:r>
        <w:rPr>
          <w:rFonts w:ascii="Arial" w:eastAsia="Arial" w:hAnsi="Arial" w:cs="Arial"/>
          <w:color w:val="000000"/>
        </w:rPr>
        <w:t>analysis on timelessness is pivotal as it explores the “Colonial notions of ‘</w:t>
      </w:r>
      <w:r w:rsidR="00E40CD6">
        <w:rPr>
          <w:rFonts w:ascii="Arial" w:eastAsia="Arial" w:hAnsi="Arial" w:cs="Arial"/>
          <w:color w:val="000000"/>
        </w:rPr>
        <w:t>timelessness</w:t>
      </w:r>
      <w:r>
        <w:rPr>
          <w:rFonts w:ascii="Arial" w:eastAsia="Arial" w:hAnsi="Arial" w:cs="Arial"/>
          <w:color w:val="000000"/>
        </w:rPr>
        <w:t xml:space="preserve">’ cast Indigenous societies in a position of extreme racial and cultural inferiority with respect to Europe, at a time when </w:t>
      </w:r>
      <w:r>
        <w:rPr>
          <w:rFonts w:ascii="Arial" w:eastAsia="Arial" w:hAnsi="Arial" w:cs="Arial"/>
        </w:rPr>
        <w:t xml:space="preserve">the terms of this relationship (as </w:t>
      </w:r>
      <w:r>
        <w:rPr>
          <w:rFonts w:ascii="Arial" w:eastAsia="Arial" w:hAnsi="Arial" w:cs="Arial"/>
        </w:rPr>
        <w:lastRenderedPageBreak/>
        <w:t xml:space="preserve">interpreted by colonial powers) were being used as a means of justifying their dispossession” (Nanni 2011. Pg 20). </w:t>
      </w:r>
    </w:p>
    <w:p w14:paraId="5D33592E" w14:textId="14763D1C" w:rsidR="009F0C56" w:rsidRDefault="00653842">
      <w:pPr>
        <w:spacing w:before="240" w:after="240" w:line="276" w:lineRule="auto"/>
        <w:rPr>
          <w:rFonts w:ascii="Arial" w:eastAsia="Arial" w:hAnsi="Arial" w:cs="Arial"/>
        </w:rPr>
      </w:pPr>
      <w:r>
        <w:rPr>
          <w:rFonts w:ascii="Arial" w:eastAsia="Arial" w:hAnsi="Arial" w:cs="Arial"/>
        </w:rPr>
        <w:t xml:space="preserve">This, coupled with A Simpson’s work, further highlights that “the sovereignty of the people we speak of, when speaking for themselves, </w:t>
      </w:r>
      <w:r>
        <w:rPr>
          <w:rFonts w:ascii="Arial" w:eastAsia="Arial" w:hAnsi="Arial" w:cs="Arial"/>
          <w:color w:val="000000"/>
        </w:rPr>
        <w:t xml:space="preserve">interrupts anthropological portraits of timelessness, procedure and function that dominate representations of their past and, sometimes, their present.” (A Simpson 2007, Pg 68). In this, the settler colonial notion of timelessness </w:t>
      </w:r>
      <w:r>
        <w:rPr>
          <w:rFonts w:ascii="Arial" w:eastAsia="Arial" w:hAnsi="Arial" w:cs="Arial"/>
        </w:rPr>
        <w:t xml:space="preserve">is understood to cast Indigenous societies into a position of extreme racial and cultural inferiority with respect to settler societies. Here, this historically correlated to a relationship where this less-than in the temporal present justified settler dispossessions. This, coupled with </w:t>
      </w:r>
      <w:r w:rsidR="00E40CD6">
        <w:rPr>
          <w:rFonts w:ascii="Arial" w:eastAsia="Arial" w:hAnsi="Arial" w:cs="Arial"/>
        </w:rPr>
        <w:t>Waters'</w:t>
      </w:r>
      <w:r>
        <w:rPr>
          <w:rFonts w:ascii="Arial" w:eastAsia="Arial" w:hAnsi="Arial" w:cs="Arial"/>
        </w:rPr>
        <w:t xml:space="preserve"> (2004) work on dualisms, highlights how settler discourse imposes binary ontologies such as past/present, traditional/modern, and authentic/inauthentic, in revealing how representations of Indigeneity are temporally coded to deny the simultaneity of Indigenous modernity. Thus, allowing settler society to construct an Indigenous existence within a closed binary, making Indigenous epistemologies into a malleable settler discourse.</w:t>
      </w:r>
    </w:p>
    <w:p w14:paraId="15F122C3" w14:textId="4F8B435D" w:rsidR="009F0C56" w:rsidRDefault="00653842">
      <w:pPr>
        <w:spacing w:before="240" w:after="240" w:line="276" w:lineRule="auto"/>
        <w:rPr>
          <w:rFonts w:ascii="Arial" w:eastAsia="Arial" w:hAnsi="Arial" w:cs="Arial"/>
          <w:color w:val="000000"/>
        </w:rPr>
      </w:pPr>
      <w:r>
        <w:rPr>
          <w:rFonts w:ascii="Arial" w:eastAsia="Arial" w:hAnsi="Arial" w:cs="Arial"/>
          <w:color w:val="000000"/>
        </w:rPr>
        <w:t xml:space="preserve">Consequently, time will be noted as a colonial weapon operating as a means of conceptual incarceration, preventing Indigenous peoples from existing on their terms in the past, present, and future. Through this, these temporal representational strategies will be utilised to identify that the coloniality of time is not static, but iterative and responsive to settler desires. </w:t>
      </w:r>
      <w:r w:rsidR="00E40CD6">
        <w:rPr>
          <w:rFonts w:ascii="Arial" w:eastAsia="Arial" w:hAnsi="Arial" w:cs="Arial"/>
          <w:color w:val="000000"/>
        </w:rPr>
        <w:t>The</w:t>
      </w:r>
      <w:r>
        <w:rPr>
          <w:rFonts w:ascii="Arial" w:eastAsia="Arial" w:hAnsi="Arial" w:cs="Arial"/>
          <w:color w:val="000000"/>
        </w:rPr>
        <w:t xml:space="preserve"> displays of Indigenous cultural symbols in commercial spaces or heritage sites perform as a form of temporal commodification, in building the aestheticized version of ‘Indianness’. Here, Lightfoot's (2016) and Waters' (2013) work will help frame how representational settler regimes limit the scope for Indigenous communities to define themselves in the now, or to imagine their futures. </w:t>
      </w:r>
    </w:p>
    <w:p w14:paraId="5ECF5FA4" w14:textId="22E91E25" w:rsidR="009F0C56" w:rsidRDefault="00653842">
      <w:pPr>
        <w:spacing w:before="240" w:after="240" w:line="276" w:lineRule="auto"/>
        <w:rPr>
          <w:rFonts w:ascii="Arial" w:eastAsia="Arial" w:hAnsi="Arial" w:cs="Arial"/>
          <w:color w:val="000000"/>
        </w:rPr>
      </w:pPr>
      <w:r>
        <w:rPr>
          <w:rFonts w:ascii="Arial" w:eastAsia="Arial" w:hAnsi="Arial" w:cs="Arial"/>
          <w:color w:val="000000"/>
        </w:rPr>
        <w:t>In this, the assertion of the settler colonial chronopolitics of time, time will be understood to erode Indigenous visual sovereignty, replacing it with settler-curated symbolic iconography, to naturalise settler colonial hegemony (Oldham et al</w:t>
      </w:r>
      <w:r w:rsidR="00E40CD6">
        <w:rPr>
          <w:rFonts w:ascii="Arial" w:eastAsia="Arial" w:hAnsi="Arial" w:cs="Arial"/>
          <w:color w:val="000000"/>
        </w:rPr>
        <w:t>.</w:t>
      </w:r>
      <w:r>
        <w:rPr>
          <w:rFonts w:ascii="Arial" w:eastAsia="Arial" w:hAnsi="Arial" w:cs="Arial"/>
          <w:color w:val="000000"/>
        </w:rPr>
        <w:t xml:space="preserve"> 2024). Operating not as a backdrop, but as an active structure of domination. Further, Moreton-Robinson's (2015) work on time will be utilised to understand how settler-colonial time functions as a form of white possessive temporality, where the legitimacy of Indigenous presence is contingent upon settler recognition. In this settler memory, it is only validated through the symbolic containment of Indigenous temporal agency through signs and signifiers. In this, the following analysis of the chapter will t</w:t>
      </w:r>
      <w:r>
        <w:rPr>
          <w:rFonts w:ascii="Arial" w:eastAsia="Arial" w:hAnsi="Arial" w:cs="Arial"/>
          <w:color w:val="000000"/>
        </w:rPr>
        <w:t xml:space="preserve">race these arguments, analysing how the manipulation of time functions as a core mechanism of settler colonial power. </w:t>
      </w:r>
    </w:p>
    <w:p w14:paraId="5494F762" w14:textId="77777777" w:rsidR="009F0C56" w:rsidRDefault="00653842">
      <w:pPr>
        <w:pStyle w:val="Heading3"/>
        <w:rPr>
          <w:sz w:val="32"/>
          <w:szCs w:val="32"/>
        </w:rPr>
      </w:pPr>
      <w:bookmarkStart w:id="129" w:name="_Toc240966045"/>
      <w:r>
        <w:rPr>
          <w:sz w:val="32"/>
          <w:szCs w:val="32"/>
        </w:rPr>
        <w:lastRenderedPageBreak/>
        <w:t>8.2 Settler memories, a History of Manipulation</w:t>
      </w:r>
      <w:bookmarkEnd w:id="129"/>
    </w:p>
    <w:p w14:paraId="71E35E83" w14:textId="77777777" w:rsidR="009F0C56" w:rsidRDefault="00653842">
      <w:pPr>
        <w:spacing w:before="360" w:after="80" w:line="276" w:lineRule="auto"/>
        <w:rPr>
          <w:rFonts w:ascii="Arial" w:eastAsia="Arial" w:hAnsi="Arial" w:cs="Arial"/>
        </w:rPr>
      </w:pPr>
      <w:r>
        <w:rPr>
          <w:rFonts w:ascii="Arial" w:eastAsia="Arial" w:hAnsi="Arial" w:cs="Arial"/>
          <w:color w:val="000000"/>
        </w:rPr>
        <w:t>A key theme emerging from the research is how settler colonialism manipulates histories to reinforce power over the Seminole and Miccosukee. Settler memory is central here, highlighting how colonial societies alter memories to produce settler-friendly narratives that diminish Indigenous agency (Bruyneel 2021). Through ethnographic observations of Indian statues, books, and clothing, which will be discussed, it becomes clear that these material forms embody a distorted settler memory. That operates to fortif</w:t>
      </w:r>
      <w:r>
        <w:rPr>
          <w:rFonts w:ascii="Arial" w:eastAsia="Arial" w:hAnsi="Arial" w:cs="Arial"/>
          <w:color w:val="000000"/>
        </w:rPr>
        <w:t xml:space="preserve">y narratives such as Indigenous friendliness, while simultaneously homogenising and erasing Indigeneity. Here, this process will be analysed for how it alters Indigenous representations within the settler unconscious, working to construct a false history of peaceful coexistence, further entrenching settler colonial domination by temporal epistemological erasure (Bruyneel </w:t>
      </w:r>
      <w:r>
        <w:rPr>
          <w:rFonts w:ascii="Arial" w:eastAsia="Arial" w:hAnsi="Arial" w:cs="Arial"/>
        </w:rPr>
        <w:t>2021).</w:t>
      </w:r>
    </w:p>
    <w:p w14:paraId="3AADC7B8" w14:textId="77777777" w:rsidR="009F0C56" w:rsidRDefault="009F0C56">
      <w:pPr>
        <w:spacing w:line="240" w:lineRule="auto"/>
        <w:rPr>
          <w:rFonts w:ascii="Arial" w:eastAsia="Arial" w:hAnsi="Arial" w:cs="Arial"/>
        </w:rPr>
      </w:pPr>
    </w:p>
    <w:p w14:paraId="37D3A8B3" w14:textId="77777777" w:rsidR="009F0C56" w:rsidRDefault="00653842">
      <w:pPr>
        <w:spacing w:before="160" w:after="80" w:line="240" w:lineRule="auto"/>
        <w:rPr>
          <w:rFonts w:ascii="Arial" w:eastAsia="Arial" w:hAnsi="Arial" w:cs="Arial"/>
          <w:b/>
          <w:bCs/>
          <w:sz w:val="36"/>
          <w:szCs w:val="36"/>
        </w:rPr>
      </w:pPr>
      <w:r>
        <w:rPr>
          <w:rFonts w:ascii="Arial" w:eastAsia="Arial" w:hAnsi="Arial" w:cs="Arial"/>
          <w:color w:val="0F4761"/>
          <w:sz w:val="32"/>
          <w:szCs w:val="32"/>
        </w:rPr>
        <w:t xml:space="preserve">8.3 Temporal locations of Indigeneity  </w:t>
      </w:r>
    </w:p>
    <w:p w14:paraId="4DFBA01C" w14:textId="438E52C0" w:rsidR="009F0C56" w:rsidRDefault="00653842">
      <w:pPr>
        <w:spacing w:before="240" w:after="240" w:line="276" w:lineRule="auto"/>
        <w:rPr>
          <w:rFonts w:ascii="Arial" w:eastAsia="Arial" w:hAnsi="Arial" w:cs="Arial"/>
        </w:rPr>
      </w:pPr>
      <w:r>
        <w:rPr>
          <w:rFonts w:ascii="Arial" w:eastAsia="Arial" w:hAnsi="Arial" w:cs="Arial"/>
          <w:color w:val="000000"/>
        </w:rPr>
        <w:t>One way time was able to alter representations of Indigenous communities is through statues. The imagery used in Figure 15 was commonplace across South Florida, most typically found in cigar shops across the city, but also in the suburbs. Figure 15 was one of several statues found in similar attire and poses across the research location. Statues such as these were often located in high footfall areas, such as Little Havana, a high tourist density area, and were often used as signifiers to highlight the ware</w:t>
      </w:r>
      <w:r>
        <w:rPr>
          <w:rFonts w:ascii="Arial" w:eastAsia="Arial" w:hAnsi="Arial" w:cs="Arial"/>
          <w:color w:val="000000"/>
        </w:rPr>
        <w:t xml:space="preserve">s of the shop (West 2008). </w:t>
      </w:r>
      <w:r>
        <w:rPr>
          <w:rFonts w:ascii="Arial" w:eastAsia="Arial" w:hAnsi="Arial" w:cs="Arial"/>
        </w:rPr>
        <w:t>Whilst most commonly found in Little Havana, they were also prominent in other areas and were not an uncommon sight; however, most commonly</w:t>
      </w:r>
      <w:r w:rsidR="00E40CD6">
        <w:rPr>
          <w:rFonts w:ascii="Arial" w:eastAsia="Arial" w:hAnsi="Arial" w:cs="Arial"/>
        </w:rPr>
        <w:t>,</w:t>
      </w:r>
      <w:r>
        <w:rPr>
          <w:rFonts w:ascii="Arial" w:eastAsia="Arial" w:hAnsi="Arial" w:cs="Arial"/>
        </w:rPr>
        <w:t xml:space="preserve"> as noted, they were located in tourist </w:t>
      </w:r>
      <w:r>
        <w:rPr>
          <w:rFonts w:ascii="Arial" w:eastAsia="Arial" w:hAnsi="Arial" w:cs="Arial"/>
          <w:highlight w:val="white"/>
        </w:rPr>
        <w:t xml:space="preserve">hotspots on settler and Indigenous </w:t>
      </w:r>
      <w:r>
        <w:rPr>
          <w:rFonts w:ascii="Arial" w:eastAsia="Arial" w:hAnsi="Arial" w:cs="Arial"/>
          <w:color w:val="000000"/>
        </w:rPr>
        <w:t>land</w:t>
      </w:r>
      <w:r>
        <w:rPr>
          <w:rFonts w:ascii="Arial" w:eastAsia="Arial" w:hAnsi="Arial" w:cs="Arial"/>
        </w:rPr>
        <w:t xml:space="preserve">. </w:t>
      </w:r>
    </w:p>
    <w:p w14:paraId="493A3E25" w14:textId="77777777" w:rsidR="009F0C56" w:rsidRDefault="00653842">
      <w:pPr>
        <w:rPr>
          <w:rFonts w:ascii="Arial" w:eastAsia="Arial" w:hAnsi="Arial" w:cs="Arial"/>
          <w:sz w:val="18"/>
          <w:szCs w:val="18"/>
        </w:rPr>
      </w:pPr>
      <w:bookmarkStart w:id="130" w:name="_heading=h.az4yhmxyoiup" w:colFirst="0" w:colLast="0"/>
      <w:bookmarkEnd w:id="130"/>
      <w:r>
        <w:rPr>
          <w:rFonts w:ascii="Arial" w:eastAsia="Arial" w:hAnsi="Arial" w:cs="Arial"/>
          <w:sz w:val="18"/>
          <w:szCs w:val="18"/>
        </w:rPr>
        <w:t>Figure 15  – Indigenous statue outside of a cigar shop located in the Little Havana district (source: author photograph)</w:t>
      </w:r>
    </w:p>
    <w:p w14:paraId="5A6EE177" w14:textId="77777777" w:rsidR="009F0C56" w:rsidRDefault="00653842">
      <w:pPr>
        <w:tabs>
          <w:tab w:val="left" w:pos="1830"/>
        </w:tabs>
        <w:rPr>
          <w:rFonts w:ascii="Arial" w:eastAsia="Arial" w:hAnsi="Arial" w:cs="Arial"/>
        </w:rPr>
      </w:pPr>
      <w:r>
        <w:rPr>
          <w:rFonts w:ascii="Arial" w:eastAsia="Arial" w:hAnsi="Arial" w:cs="Arial"/>
        </w:rPr>
        <w:tab/>
      </w:r>
      <w:r>
        <w:rPr>
          <w:noProof/>
        </w:rPr>
        <w:drawing>
          <wp:anchor distT="0" distB="0" distL="114300" distR="114300" simplePos="0" relativeHeight="251665408" behindDoc="0" locked="0" layoutInCell="1" hidden="0" allowOverlap="1" wp14:anchorId="4E156A1C" wp14:editId="2694944F">
            <wp:simplePos x="0" y="0"/>
            <wp:positionH relativeFrom="column">
              <wp:posOffset>31751</wp:posOffset>
            </wp:positionH>
            <wp:positionV relativeFrom="paragraph">
              <wp:posOffset>-17779</wp:posOffset>
            </wp:positionV>
            <wp:extent cx="3016250" cy="2851150"/>
            <wp:effectExtent l="0" t="0" r="0" b="0"/>
            <wp:wrapSquare wrapText="bothSides" distT="0" distB="0" distL="114300" distR="114300"/>
            <wp:docPr id="1874855870" name="image27.jpg" descr="A statue of a person in a hat and apr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7.jpg" descr="A statue of a person in a hat and apron&#10;&#10;Description automatically generated"/>
                    <pic:cNvPicPr preferRelativeResize="0"/>
                  </pic:nvPicPr>
                  <pic:blipFill>
                    <a:blip r:embed="rId24"/>
                    <a:srcRect/>
                    <a:stretch>
                      <a:fillRect/>
                    </a:stretch>
                  </pic:blipFill>
                  <pic:spPr>
                    <a:xfrm>
                      <a:off x="0" y="0"/>
                      <a:ext cx="3016250" cy="2851150"/>
                    </a:xfrm>
                    <a:prstGeom prst="rect">
                      <a:avLst/>
                    </a:prstGeom>
                    <a:ln/>
                  </pic:spPr>
                </pic:pic>
              </a:graphicData>
            </a:graphic>
          </wp:anchor>
        </w:drawing>
      </w:r>
    </w:p>
    <w:p w14:paraId="6ACC6BC4" w14:textId="77777777" w:rsidR="009F0C56" w:rsidRDefault="009F0C56">
      <w:pPr>
        <w:rPr>
          <w:rFonts w:ascii="Arial" w:eastAsia="Arial" w:hAnsi="Arial" w:cs="Arial"/>
          <w:color w:val="000000"/>
        </w:rPr>
      </w:pPr>
    </w:p>
    <w:p w14:paraId="3F4F40BB" w14:textId="77777777" w:rsidR="009F0C56" w:rsidRDefault="009F0C56">
      <w:pPr>
        <w:rPr>
          <w:rFonts w:ascii="Arial" w:eastAsia="Arial" w:hAnsi="Arial" w:cs="Arial"/>
          <w:color w:val="000000"/>
        </w:rPr>
      </w:pPr>
    </w:p>
    <w:p w14:paraId="5E730998" w14:textId="77777777" w:rsidR="009F0C56" w:rsidRDefault="009F0C56">
      <w:pPr>
        <w:rPr>
          <w:rFonts w:ascii="Arial" w:eastAsia="Arial" w:hAnsi="Arial" w:cs="Arial"/>
          <w:color w:val="000000"/>
        </w:rPr>
      </w:pPr>
    </w:p>
    <w:p w14:paraId="7E43E6E1" w14:textId="77777777" w:rsidR="009F0C56" w:rsidRDefault="009F0C56">
      <w:pPr>
        <w:rPr>
          <w:rFonts w:ascii="Arial" w:eastAsia="Arial" w:hAnsi="Arial" w:cs="Arial"/>
          <w:color w:val="000000"/>
        </w:rPr>
      </w:pPr>
    </w:p>
    <w:p w14:paraId="0DFD3DB4" w14:textId="77777777" w:rsidR="009F0C56" w:rsidRDefault="009F0C56">
      <w:pPr>
        <w:rPr>
          <w:rFonts w:ascii="Arial" w:eastAsia="Arial" w:hAnsi="Arial" w:cs="Arial"/>
          <w:color w:val="000000"/>
        </w:rPr>
      </w:pPr>
    </w:p>
    <w:p w14:paraId="4734CE86" w14:textId="77777777" w:rsidR="009F0C56" w:rsidRDefault="009F0C56">
      <w:pPr>
        <w:rPr>
          <w:rFonts w:ascii="Arial" w:eastAsia="Arial" w:hAnsi="Arial" w:cs="Arial"/>
          <w:color w:val="000000"/>
        </w:rPr>
      </w:pPr>
    </w:p>
    <w:p w14:paraId="4FE3C3FE" w14:textId="77777777" w:rsidR="009F0C56" w:rsidRDefault="009F0C56">
      <w:pPr>
        <w:rPr>
          <w:rFonts w:ascii="Arial" w:eastAsia="Arial" w:hAnsi="Arial" w:cs="Arial"/>
          <w:color w:val="000000"/>
        </w:rPr>
      </w:pPr>
    </w:p>
    <w:p w14:paraId="6FE2D4E4" w14:textId="5DDD2B92" w:rsidR="009F0C56" w:rsidRDefault="00653842">
      <w:pPr>
        <w:spacing w:before="240" w:after="240" w:line="276" w:lineRule="auto"/>
        <w:rPr>
          <w:rFonts w:ascii="Arial" w:eastAsia="Arial" w:hAnsi="Arial" w:cs="Arial"/>
        </w:rPr>
      </w:pPr>
      <w:r>
        <w:rPr>
          <w:rFonts w:ascii="Arial" w:eastAsia="Arial" w:hAnsi="Arial" w:cs="Arial"/>
        </w:rPr>
        <w:lastRenderedPageBreak/>
        <w:t>In this, the imagery in Figure 15</w:t>
      </w:r>
      <w:r>
        <w:rPr>
          <w:rFonts w:ascii="Arial" w:eastAsia="Arial" w:hAnsi="Arial" w:cs="Arial"/>
        </w:rPr>
        <w:t xml:space="preserve"> temporally signifies, to settler communities, a cognitive historical offering of tobacco from Indigenous populations in the area (Cordova 2007). The construction and deployment of such imagery allowed settler society to mould a version of history that supported the creation of a settler memory centred on harmony and welcome (Bruyneel 2021). In this manufactured narrative, Indigenous communities are portrayed as offering gifts, which reinforces the myth that settlers were not invaders but rather guests. </w:t>
      </w:r>
    </w:p>
    <w:p w14:paraId="6C0E2510" w14:textId="25B62967" w:rsidR="009F0C56" w:rsidRDefault="00653842">
      <w:pPr>
        <w:spacing w:before="240" w:after="240" w:line="276" w:lineRule="auto"/>
        <w:rPr>
          <w:rFonts w:ascii="Arial" w:eastAsia="Arial" w:hAnsi="Arial" w:cs="Arial"/>
          <w:color w:val="000000"/>
        </w:rPr>
      </w:pPr>
      <w:r>
        <w:rPr>
          <w:rFonts w:ascii="Arial" w:eastAsia="Arial" w:hAnsi="Arial" w:cs="Arial"/>
        </w:rPr>
        <w:t xml:space="preserve">In this, the placement of the statue at the entrance of the cigar shop spatially and symbolically fortifies this fabricated narrative of Indigenous welcoming. Through such imagery, settler society is noted </w:t>
      </w:r>
      <w:r w:rsidR="00E40CD6">
        <w:rPr>
          <w:rFonts w:ascii="Arial" w:eastAsia="Arial" w:hAnsi="Arial" w:cs="Arial"/>
        </w:rPr>
        <w:t>for</w:t>
      </w:r>
      <w:r>
        <w:rPr>
          <w:rFonts w:ascii="Arial" w:eastAsia="Arial" w:hAnsi="Arial" w:cs="Arial"/>
        </w:rPr>
        <w:t xml:space="preserve"> creating historical assemblages of kindness, which are used to fortify the present temporality of Indigenous peoples welcoming settlers into the area. As with Figure 15</w:t>
      </w:r>
      <w:r>
        <w:rPr>
          <w:rFonts w:ascii="Arial" w:eastAsia="Arial" w:hAnsi="Arial" w:cs="Arial"/>
          <w:color w:val="000000"/>
        </w:rPr>
        <w:t>, they offer their hand</w:t>
      </w:r>
      <w:r w:rsidR="00E40CD6">
        <w:rPr>
          <w:rFonts w:ascii="Arial" w:eastAsia="Arial" w:hAnsi="Arial" w:cs="Arial"/>
          <w:color w:val="000000"/>
        </w:rPr>
        <w:t>,</w:t>
      </w:r>
      <w:r>
        <w:rPr>
          <w:rFonts w:ascii="Arial" w:eastAsia="Arial" w:hAnsi="Arial" w:cs="Arial"/>
          <w:color w:val="000000"/>
        </w:rPr>
        <w:t xml:space="preserve"> with the location of the statue at the entrance of the shop, which supports the notion of Indigenous welcoming. In this, the use of tobacco within this imagery works to strengthen settler claims to land by embedding in the collective memory the idea that colonisation was marked by mutual exchange rather than violent dispossession, creating a screen memory of kindness (Simpson 2016, Veracini 2008). </w:t>
      </w:r>
    </w:p>
    <w:p w14:paraId="75B0C8ED" w14:textId="2696C917" w:rsidR="009F0C56" w:rsidRDefault="00653842">
      <w:pPr>
        <w:spacing w:before="240" w:after="240" w:line="276" w:lineRule="auto"/>
        <w:rPr>
          <w:rFonts w:ascii="Arial" w:eastAsia="Arial" w:hAnsi="Arial" w:cs="Arial"/>
          <w:color w:val="000000"/>
        </w:rPr>
      </w:pPr>
      <w:r>
        <w:rPr>
          <w:rFonts w:ascii="Arial" w:eastAsia="Arial" w:hAnsi="Arial" w:cs="Arial"/>
          <w:color w:val="000000"/>
        </w:rPr>
        <w:t>This occurs as settler colonial society, through pedagogical and cultural repetition, notes that settlers were graciously received by Indigenous communities, masking the realities of conquest, genocide, and resistance (Bruyneel, 2021). Thus, by positioning Indigenous peoples as historical greeters through symbols like the cigar store statue, settler society engages in an act of temporal entrapment: freezing Indigenous communities in a mythologised past while simultaneously denying their contemporary presenc</w:t>
      </w:r>
      <w:r>
        <w:rPr>
          <w:rFonts w:ascii="Arial" w:eastAsia="Arial" w:hAnsi="Arial" w:cs="Arial"/>
          <w:color w:val="000000"/>
        </w:rPr>
        <w:t xml:space="preserve">e and agency (Simpson 2016). This constructed narrative not only locks Indigenous peoples in an imagined temporal frame but also serves broader spatial politics. </w:t>
      </w:r>
      <w:r w:rsidR="00E40CD6">
        <w:rPr>
          <w:rFonts w:ascii="Arial" w:eastAsia="Arial" w:hAnsi="Arial" w:cs="Arial"/>
          <w:color w:val="000000"/>
        </w:rPr>
        <w:t>It</w:t>
      </w:r>
      <w:r>
        <w:rPr>
          <w:rFonts w:ascii="Arial" w:eastAsia="Arial" w:hAnsi="Arial" w:cs="Arial"/>
          <w:color w:val="000000"/>
        </w:rPr>
        <w:t xml:space="preserve"> works to legitimise settler occupation of Indigenous land by reinforcing the idea that settlers belong, as historically in settler memory, they have been "welcomed" (Bruyneel 2021). The creation and maintenance of these representations will be further explored in the next section, where the discussion will turn to how settler society mythologises Indigenous communities, to facilitate both temporal and spatial erasure, ultimately serving colonial domination. This thought will be expanded upon during the upc</w:t>
      </w:r>
      <w:r>
        <w:rPr>
          <w:rFonts w:ascii="Arial" w:eastAsia="Arial" w:hAnsi="Arial" w:cs="Arial"/>
          <w:color w:val="000000"/>
        </w:rPr>
        <w:t xml:space="preserve">oming </w:t>
      </w:r>
      <w:r>
        <w:rPr>
          <w:rFonts w:ascii="Arial" w:eastAsia="Arial" w:hAnsi="Arial" w:cs="Arial"/>
          <w:color w:val="0A0A0A"/>
          <w:highlight w:val="white"/>
        </w:rPr>
        <w:t>territorialization </w:t>
      </w:r>
      <w:r>
        <w:rPr>
          <w:rFonts w:ascii="Arial" w:eastAsia="Arial" w:hAnsi="Arial" w:cs="Arial"/>
          <w:color w:val="000000"/>
        </w:rPr>
        <w:t>chapter as well.</w:t>
      </w:r>
    </w:p>
    <w:p w14:paraId="1A191E84" w14:textId="77777777" w:rsidR="009F0C56" w:rsidRDefault="009F0C56">
      <w:pPr>
        <w:spacing w:line="240" w:lineRule="auto"/>
        <w:rPr>
          <w:rFonts w:ascii="Arial" w:eastAsia="Arial" w:hAnsi="Arial" w:cs="Arial"/>
        </w:rPr>
      </w:pPr>
    </w:p>
    <w:p w14:paraId="50B46F84" w14:textId="77777777" w:rsidR="009F0C56" w:rsidRDefault="00653842">
      <w:pPr>
        <w:spacing w:before="160" w:after="80" w:line="240" w:lineRule="auto"/>
        <w:rPr>
          <w:rFonts w:ascii="Arial" w:eastAsia="Arial" w:hAnsi="Arial" w:cs="Arial"/>
          <w:b/>
          <w:bCs/>
          <w:sz w:val="36"/>
          <w:szCs w:val="36"/>
        </w:rPr>
      </w:pPr>
      <w:r>
        <w:rPr>
          <w:rFonts w:ascii="Arial" w:eastAsia="Arial" w:hAnsi="Arial" w:cs="Arial"/>
          <w:color w:val="0F4761"/>
          <w:sz w:val="32"/>
          <w:szCs w:val="32"/>
        </w:rPr>
        <w:t xml:space="preserve">8.4 The colonial myth of Indigenous welcome </w:t>
      </w:r>
    </w:p>
    <w:p w14:paraId="3526F252" w14:textId="77777777" w:rsidR="009F0C56" w:rsidRDefault="00653842">
      <w:pPr>
        <w:spacing w:before="240" w:after="240" w:line="276" w:lineRule="auto"/>
        <w:rPr>
          <w:rFonts w:ascii="Arial" w:eastAsia="Arial" w:hAnsi="Arial" w:cs="Arial"/>
          <w:color w:val="000000"/>
        </w:rPr>
      </w:pPr>
      <w:r>
        <w:rPr>
          <w:rFonts w:ascii="Arial" w:eastAsia="Arial" w:hAnsi="Arial" w:cs="Arial"/>
          <w:color w:val="000000"/>
        </w:rPr>
        <w:t xml:space="preserve">The colonially manufactured memory of Indigenous “welcoming,” exemplified in Figure 15, serves as a powerful cognitive tool within settler colonial society. It fabricates the myth of harmonious historical relations between settlers and Indigenous communities while obscuring the realities of colonial violence and enduring structures of oppression (LaDuke 2020). This section explores how settler </w:t>
      </w:r>
      <w:r>
        <w:rPr>
          <w:rFonts w:ascii="Arial" w:eastAsia="Arial" w:hAnsi="Arial" w:cs="Arial"/>
          <w:color w:val="000000"/>
        </w:rPr>
        <w:lastRenderedPageBreak/>
        <w:t>society constructs and deploys this narrative, particularly about the Seminole and Miccosukee nations, in using temporal strategies to solidify settler colonial power.</w:t>
      </w:r>
    </w:p>
    <w:p w14:paraId="322B05B0" w14:textId="0C786CE0" w:rsidR="009F0C56" w:rsidRDefault="00653842">
      <w:pPr>
        <w:spacing w:before="240" w:after="240" w:line="276" w:lineRule="auto"/>
        <w:rPr>
          <w:rFonts w:ascii="Arial" w:eastAsia="Arial" w:hAnsi="Arial" w:cs="Arial"/>
          <w:color w:val="000000"/>
        </w:rPr>
      </w:pPr>
      <w:r>
        <w:rPr>
          <w:rFonts w:ascii="Arial" w:eastAsia="Arial" w:hAnsi="Arial" w:cs="Arial"/>
        </w:rPr>
        <w:t>The mythologisation of Indigenous hospitality shown in Figure 15 functions as a displacement tool; it relocates Indigenous histories into a fixed temporal frame of the past. Grosfoguel (2011) notes that Western epistemologies universalised their knowledge systems by delegitimising non-Western ones and positioning Indigenous epistemes as particularistic</w:t>
      </w:r>
      <w:r>
        <w:rPr>
          <w:rFonts w:ascii="Arial" w:eastAsia="Arial" w:hAnsi="Arial" w:cs="Arial"/>
          <w:color w:val="008000"/>
        </w:rPr>
        <w:t xml:space="preserve"> </w:t>
      </w:r>
      <w:r>
        <w:rPr>
          <w:rFonts w:ascii="Arial" w:eastAsia="Arial" w:hAnsi="Arial" w:cs="Arial"/>
          <w:color w:val="000000"/>
        </w:rPr>
        <w:t xml:space="preserve">and backward. This is noted through representations such as Figure 15, where settler society materialises these colonial logics, </w:t>
      </w:r>
      <w:r>
        <w:rPr>
          <w:rFonts w:ascii="Arial" w:eastAsia="Arial" w:hAnsi="Arial" w:cs="Arial"/>
          <w:color w:val="000000"/>
        </w:rPr>
        <w:t>presenting Indigenous communities as static relics rather than dynamic, sovereign peoples</w:t>
      </w:r>
      <w:r w:rsidR="00E40CD6">
        <w:rPr>
          <w:rFonts w:ascii="Arial" w:eastAsia="Arial" w:hAnsi="Arial" w:cs="Arial"/>
          <w:color w:val="000000"/>
        </w:rPr>
        <w:t>,</w:t>
      </w:r>
      <w:r>
        <w:rPr>
          <w:rFonts w:ascii="Arial" w:eastAsia="Arial" w:hAnsi="Arial" w:cs="Arial"/>
          <w:color w:val="000000"/>
        </w:rPr>
        <w:t xml:space="preserve"> creating a settler screen memory (Veracini 2008, Simpson 2016). This epistemic strategy fortifies the settler presence by embedding it within a fabricated narrative of historical acceptance, making colonial occupation appear natural and inevitable. Veracini’s work on settler colonial screen memory further explores this thought, where “screen memories characterise settler reconstructions of the colonising past, a conflictual relation with history is typical of a settler consciousness” (Veracini 2008, Pg. 37</w:t>
      </w:r>
      <w:r>
        <w:rPr>
          <w:rFonts w:ascii="Arial" w:eastAsia="Arial" w:hAnsi="Arial" w:cs="Arial"/>
          <w:color w:val="000000"/>
        </w:rPr>
        <w:t xml:space="preserve">2). In this, Figure 15 depicts Indigenous offerings and stylised clothing, which exemplifies this process. As the statue does not merely signify, it teaches and embeds a settler version of history into the unconscious landscape that distorts Indigenous realities and creates a muddled settler visualisation of Indigeneity and time. </w:t>
      </w:r>
    </w:p>
    <w:p w14:paraId="3785F8DF" w14:textId="0B63DD40" w:rsidR="009F0C56" w:rsidRDefault="00653842">
      <w:pPr>
        <w:spacing w:before="240" w:after="240" w:line="276" w:lineRule="auto"/>
        <w:rPr>
          <w:rFonts w:ascii="Arial" w:eastAsia="Arial" w:hAnsi="Arial" w:cs="Arial"/>
          <w:color w:val="000000"/>
        </w:rPr>
      </w:pPr>
      <w:r>
        <w:rPr>
          <w:rFonts w:ascii="Arial" w:eastAsia="Arial" w:hAnsi="Arial" w:cs="Arial"/>
          <w:color w:val="000000"/>
        </w:rPr>
        <w:t>These representations then render Indigenous peoples "invisible or barely visible as active contemporary forces” (Bruyneel 202, Pg 3). In this, through portraying Indigenous communities solely within the context of settler arrival, settler society centres its narrative as the point of origin (Castro-Gomez 2007, Wolfe 2016). Here, this temporal strategy erases pre-existing Indigenous sovereignties, particularly significant for the Seminole and Miccosukee, who historically resisted U.S. domination and never s</w:t>
      </w:r>
      <w:r>
        <w:rPr>
          <w:rFonts w:ascii="Arial" w:eastAsia="Arial" w:hAnsi="Arial" w:cs="Arial"/>
          <w:color w:val="000000"/>
        </w:rPr>
        <w:t>igned treaties (Seminole 2024). In this, such visual and spatial devices allow settler society to selectively extract and recontextualise Indigenous cultural elements like tobacco usage and traditional clothing to sustain the myth of historical welcoming, creating a screen memory</w:t>
      </w:r>
      <w:r>
        <w:rPr>
          <w:rFonts w:ascii="Arial" w:eastAsia="Arial" w:hAnsi="Arial" w:cs="Arial"/>
          <w:color w:val="000000"/>
        </w:rPr>
        <w:t xml:space="preserve"> through </w:t>
      </w:r>
      <w:r w:rsidR="00E40CD6">
        <w:rPr>
          <w:rFonts w:ascii="Arial" w:eastAsia="Arial" w:hAnsi="Arial" w:cs="Arial"/>
          <w:color w:val="000000"/>
        </w:rPr>
        <w:t>reconstructing</w:t>
      </w:r>
      <w:r>
        <w:rPr>
          <w:rFonts w:ascii="Arial" w:eastAsia="Arial" w:hAnsi="Arial" w:cs="Arial"/>
          <w:color w:val="000000"/>
        </w:rPr>
        <w:t xml:space="preserve"> the colonial past to support the settler consciousness of Indigeneity.</w:t>
      </w:r>
    </w:p>
    <w:p w14:paraId="29A944E0" w14:textId="546CDCC1" w:rsidR="009F0C56" w:rsidRDefault="00653842">
      <w:pPr>
        <w:spacing w:before="240" w:after="240" w:line="276" w:lineRule="auto"/>
        <w:rPr>
          <w:rFonts w:ascii="Arial" w:eastAsia="Arial" w:hAnsi="Arial" w:cs="Arial"/>
        </w:rPr>
      </w:pPr>
      <w:r>
        <w:rPr>
          <w:rFonts w:ascii="Arial" w:eastAsia="Arial" w:hAnsi="Arial" w:cs="Arial"/>
        </w:rPr>
        <w:t>Through this, the aesthetic structuring of these images as aged appears to the settler as historically authentic;</w:t>
      </w:r>
      <w:r>
        <w:rPr>
          <w:rFonts w:ascii="Arial" w:eastAsia="Arial" w:hAnsi="Arial" w:cs="Arial"/>
          <w:color w:val="008000"/>
        </w:rPr>
        <w:t xml:space="preserve"> </w:t>
      </w:r>
      <w:r>
        <w:rPr>
          <w:rFonts w:ascii="Arial" w:eastAsia="Arial" w:hAnsi="Arial" w:cs="Arial"/>
          <w:color w:val="000000"/>
        </w:rPr>
        <w:t xml:space="preserve">this further entrenches the idea that true Indigeneity belongs to the past or is lost, an idea Nani (2011) notes </w:t>
      </w:r>
      <w:r w:rsidR="00E40CD6">
        <w:rPr>
          <w:rFonts w:ascii="Arial" w:eastAsia="Arial" w:hAnsi="Arial" w:cs="Arial"/>
          <w:color w:val="000000"/>
        </w:rPr>
        <w:t>and</w:t>
      </w:r>
      <w:r>
        <w:rPr>
          <w:rFonts w:ascii="Arial" w:eastAsia="Arial" w:hAnsi="Arial" w:cs="Arial"/>
          <w:color w:val="000000"/>
        </w:rPr>
        <w:t xml:space="preserve"> highlights in her work on timelessness, where Indigenous peoples in Canada become separated from their histories and subsumed into the settler histories. Here, </w:t>
      </w:r>
      <w:r>
        <w:rPr>
          <w:rFonts w:ascii="Arial" w:eastAsia="Arial" w:hAnsi="Arial" w:cs="Arial"/>
        </w:rPr>
        <w:t>Simpson's (2016) work can be understood in relation to the Seminole and Miccosukee, along with what Veracini saw as “historylessness”, as their histories and identities become overwritten into the settler discourse of the settler Indian (Veracini 2008). As elements of their culture become disassociated</w:t>
      </w:r>
      <w:r>
        <w:rPr>
          <w:rFonts w:ascii="Arial" w:eastAsia="Arial" w:hAnsi="Arial" w:cs="Arial"/>
        </w:rPr>
        <w:t xml:space="preserve"> with the settler image of the Indian, rendering them in the settler consciousness as non-compliant within the settler constructed images of the </w:t>
      </w:r>
      <w:r>
        <w:rPr>
          <w:rFonts w:ascii="Arial" w:eastAsia="Arial" w:hAnsi="Arial" w:cs="Arial"/>
        </w:rPr>
        <w:lastRenderedPageBreak/>
        <w:t xml:space="preserve">ideal Indian. Consequently, settler society in these </w:t>
      </w:r>
      <w:r w:rsidR="00E40CD6">
        <w:rPr>
          <w:rFonts w:ascii="Arial" w:eastAsia="Arial" w:hAnsi="Arial" w:cs="Arial"/>
        </w:rPr>
        <w:t>images</w:t>
      </w:r>
      <w:r>
        <w:rPr>
          <w:rFonts w:ascii="Arial" w:eastAsia="Arial" w:hAnsi="Arial" w:cs="Arial"/>
        </w:rPr>
        <w:t xml:space="preserve"> crafts a bricolage of representations that teach the settler public a distorted, homogenised understanding of Indigenous identity, diminishing the living presence and political and temporal agency of Indigenous nations (Barker 2021, Bruyneel 2021). Here, Nani’s work on the colonial site of Victoria draws parallels where “western temporalities beyond western European borders remain</w:t>
      </w:r>
      <w:r>
        <w:rPr>
          <w:rFonts w:ascii="Arial" w:eastAsia="Arial" w:hAnsi="Arial" w:cs="Arial"/>
          <w:color w:val="008000"/>
        </w:rPr>
        <w:t xml:space="preserve"> </w:t>
      </w:r>
      <w:r>
        <w:rPr>
          <w:rFonts w:ascii="Arial" w:eastAsia="Arial" w:hAnsi="Arial" w:cs="Arial"/>
          <w:color w:val="000000"/>
        </w:rPr>
        <w:t>contingent on the interruption and reform of ‘other’ cultures of time” (Nani 2011</w:t>
      </w:r>
      <w:r>
        <w:rPr>
          <w:rFonts w:ascii="Arial" w:eastAsia="Arial" w:hAnsi="Arial" w:cs="Arial"/>
        </w:rPr>
        <w:t xml:space="preserve">, Pg 2020). </w:t>
      </w:r>
    </w:p>
    <w:p w14:paraId="5DC41240" w14:textId="77777777" w:rsidR="009F0C56" w:rsidRDefault="00653842">
      <w:pPr>
        <w:spacing w:before="240" w:after="240" w:line="276" w:lineRule="auto"/>
        <w:rPr>
          <w:rFonts w:ascii="Arial" w:eastAsia="Arial" w:hAnsi="Arial" w:cs="Arial"/>
          <w:color w:val="000000"/>
        </w:rPr>
      </w:pPr>
      <w:r>
        <w:rPr>
          <w:rFonts w:ascii="Arial" w:eastAsia="Arial" w:hAnsi="Arial" w:cs="Arial"/>
          <w:color w:val="000000"/>
        </w:rPr>
        <w:t>In this, the erasure of Seminole and Miccosukee contemporaneity, drawing from Nani’s work, serves to justify ongoing colonial occupation. Consequently, historicising Indigenous presence as ‘welcoming’, settler society naturalises its claims to land and governance. As settler society implements what Simpson’s work, in conjunction with Veracini’s work, shall be called a colonial culture of time, which is supported by a screen memory. This idea highlights that settler Indian representations are selectively dra</w:t>
      </w:r>
      <w:r>
        <w:rPr>
          <w:rFonts w:ascii="Arial" w:eastAsia="Arial" w:hAnsi="Arial" w:cs="Arial"/>
          <w:color w:val="000000"/>
        </w:rPr>
        <w:t>wn from Indigenous culture, but reformed and presented as the universalised truth of Indigeneity. Creating a screen around other Indigenous representations that do not correlate to this visually constructed image (Simpson 2016, Veracini 2008).</w:t>
      </w:r>
    </w:p>
    <w:p w14:paraId="45FD0907" w14:textId="12706397" w:rsidR="009F0C56" w:rsidRDefault="00653842">
      <w:pPr>
        <w:spacing w:before="240" w:after="240" w:line="276" w:lineRule="auto"/>
        <w:rPr>
          <w:rFonts w:ascii="Arial" w:eastAsia="Arial" w:hAnsi="Arial" w:cs="Arial"/>
          <w:color w:val="000000"/>
        </w:rPr>
      </w:pPr>
      <w:r>
        <w:rPr>
          <w:rFonts w:ascii="Arial" w:eastAsia="Arial" w:hAnsi="Arial" w:cs="Arial"/>
          <w:color w:val="000000"/>
        </w:rPr>
        <w:t xml:space="preserve">Through this, the manipulation of time has long been central to settler colonial domination, </w:t>
      </w:r>
      <w:r w:rsidR="00E40CD6">
        <w:rPr>
          <w:rFonts w:ascii="Arial" w:eastAsia="Arial" w:hAnsi="Arial" w:cs="Arial"/>
          <w:color w:val="000000"/>
        </w:rPr>
        <w:t>by</w:t>
      </w:r>
      <w:r>
        <w:rPr>
          <w:rFonts w:ascii="Arial" w:eastAsia="Arial" w:hAnsi="Arial" w:cs="Arial"/>
          <w:color w:val="000000"/>
        </w:rPr>
        <w:t xml:space="preserve"> positioning Western societies as the apex of development and relegating Indigenous communities to a past of "lack," whether through lack of writing, history, development, or democracy.</w:t>
      </w:r>
      <w:hyperlink r:id="rId25" w:anchor="_msocom_1">
        <w:r>
          <w:rPr>
            <w:rFonts w:ascii="Arial" w:eastAsia="Arial" w:hAnsi="Arial" w:cs="Arial"/>
            <w:color w:val="000000"/>
          </w:rPr>
          <w:t xml:space="preserve"> </w:t>
        </w:r>
      </w:hyperlink>
      <w:r>
        <w:rPr>
          <w:rFonts w:ascii="Arial" w:eastAsia="Arial" w:hAnsi="Arial" w:cs="Arial"/>
          <w:color w:val="000000"/>
        </w:rPr>
        <w:t>Settler society can control narratives and monopolise settler engagements with time and Indigeneity.</w:t>
      </w:r>
      <w:r>
        <w:rPr>
          <w:color w:val="000000"/>
        </w:rPr>
        <w:t xml:space="preserve"> </w:t>
      </w:r>
      <w:r>
        <w:rPr>
          <w:rFonts w:ascii="Arial" w:eastAsia="Arial" w:hAnsi="Arial" w:cs="Arial"/>
          <w:color w:val="000000"/>
        </w:rPr>
        <w:t xml:space="preserve">Here, this monopolisation of time and historical narratives continues to structure the colonial matrix of power, where settler society positions itself as the core of modernity in its hegemonic position. </w:t>
      </w:r>
    </w:p>
    <w:p w14:paraId="17501AFA" w14:textId="4D9ADBDE" w:rsidR="009F0C56" w:rsidRDefault="00653842">
      <w:pPr>
        <w:spacing w:before="240" w:after="240" w:line="276" w:lineRule="auto"/>
        <w:rPr>
          <w:rFonts w:ascii="Arial" w:eastAsia="Arial" w:hAnsi="Arial" w:cs="Arial"/>
          <w:color w:val="000000"/>
        </w:rPr>
      </w:pPr>
      <w:r>
        <w:rPr>
          <w:rFonts w:ascii="Arial" w:eastAsia="Arial" w:hAnsi="Arial" w:cs="Arial"/>
          <w:color w:val="000000"/>
        </w:rPr>
        <w:t>Grosfoguel (2011) articulates</w:t>
      </w:r>
      <w:r w:rsidR="00E40CD6">
        <w:rPr>
          <w:rFonts w:ascii="Arial" w:eastAsia="Arial" w:hAnsi="Arial" w:cs="Arial"/>
          <w:color w:val="000000"/>
        </w:rPr>
        <w:t xml:space="preserve"> that</w:t>
      </w:r>
      <w:r>
        <w:rPr>
          <w:rFonts w:ascii="Arial" w:eastAsia="Arial" w:hAnsi="Arial" w:cs="Arial"/>
          <w:color w:val="000000"/>
        </w:rPr>
        <w:t xml:space="preserve"> this style of epistemic violence of time systematically discredits Indigenous peoples, through portraying them as eternally behind or incomplete. Therefore, representations like Figure 15 do not simply reflect settler myths; they actively produce and reproduce colonial hierarchies </w:t>
      </w:r>
      <w:r w:rsidR="00E40CD6">
        <w:rPr>
          <w:rFonts w:ascii="Arial" w:eastAsia="Arial" w:hAnsi="Arial" w:cs="Arial"/>
          <w:color w:val="000000"/>
        </w:rPr>
        <w:t>by</w:t>
      </w:r>
      <w:r>
        <w:rPr>
          <w:rFonts w:ascii="Arial" w:eastAsia="Arial" w:hAnsi="Arial" w:cs="Arial"/>
          <w:color w:val="000000"/>
        </w:rPr>
        <w:t xml:space="preserve"> distorting history through visual mediums (Simpson 2016). In this, by centring settler knowledge and temporality, colonial representations like Figure 15 diminish the Seminole and Miccosukee's independent historical and political realities. Instead, they create a settler screen that distorts authentic representations</w:t>
      </w:r>
      <w:r w:rsidR="00E40CD6">
        <w:rPr>
          <w:rFonts w:ascii="Arial" w:eastAsia="Arial" w:hAnsi="Arial" w:cs="Arial"/>
          <w:color w:val="000000"/>
        </w:rPr>
        <w:t>,</w:t>
      </w:r>
      <w:r>
        <w:rPr>
          <w:rFonts w:ascii="Arial" w:eastAsia="Arial" w:hAnsi="Arial" w:cs="Arial"/>
          <w:color w:val="000000"/>
        </w:rPr>
        <w:t xml:space="preserve"> as seen in settler Australia and New Zealand in Kidman et Al’s analysis of education systems (Kidman et al</w:t>
      </w:r>
      <w:r w:rsidR="00E40CD6">
        <w:rPr>
          <w:rFonts w:ascii="Arial" w:eastAsia="Arial" w:hAnsi="Arial" w:cs="Arial"/>
          <w:color w:val="000000"/>
        </w:rPr>
        <w:t>.</w:t>
      </w:r>
      <w:r>
        <w:rPr>
          <w:rFonts w:ascii="Arial" w:eastAsia="Arial" w:hAnsi="Arial" w:cs="Arial"/>
          <w:color w:val="000000"/>
        </w:rPr>
        <w:t>, 2021; Veracini, 2008).</w:t>
      </w:r>
    </w:p>
    <w:p w14:paraId="77279C98" w14:textId="77777777" w:rsidR="009F0C56" w:rsidRDefault="00653842">
      <w:pPr>
        <w:spacing w:before="160" w:after="80" w:line="276" w:lineRule="auto"/>
        <w:rPr>
          <w:rFonts w:ascii="Arial" w:eastAsia="Arial" w:hAnsi="Arial" w:cs="Arial"/>
        </w:rPr>
      </w:pPr>
      <w:r>
        <w:rPr>
          <w:rFonts w:ascii="Arial" w:eastAsia="Arial" w:hAnsi="Arial" w:cs="Arial"/>
        </w:rPr>
        <w:t>Through this, settler society is seen to use selectively endorsed Indigenous cultural elements to transform Indigeneity into colonial signifiers, to support settler power structures. While stripping the ability of the Seminole or Miccosukee to narrate their past, present, or future in the public sphere without settler pushback. This lack of visibility can be traced through the images in how settler society utilises traditional but distorted Indigenous signifiers throughout society, not only in policy or sta</w:t>
      </w:r>
      <w:r>
        <w:rPr>
          <w:rFonts w:ascii="Arial" w:eastAsia="Arial" w:hAnsi="Arial" w:cs="Arial"/>
        </w:rPr>
        <w:t>te-</w:t>
      </w:r>
      <w:r>
        <w:rPr>
          <w:rFonts w:ascii="Arial" w:eastAsia="Arial" w:hAnsi="Arial" w:cs="Arial"/>
        </w:rPr>
        <w:lastRenderedPageBreak/>
        <w:t xml:space="preserve">sanctioned </w:t>
      </w:r>
      <w:r>
        <w:rPr>
          <w:rFonts w:ascii="Arial" w:eastAsia="Arial" w:hAnsi="Arial" w:cs="Arial"/>
          <w:color w:val="000000"/>
        </w:rPr>
        <w:t xml:space="preserve">visualisations but through corporate and local visualisations. In creating a colonial corporate form, where settler society can unconsciously replicate settler colonial structures without strict hierarchical orders. </w:t>
      </w:r>
      <w:r>
        <w:rPr>
          <w:rFonts w:ascii="Arial" w:eastAsia="Arial" w:hAnsi="Arial" w:cs="Arial"/>
        </w:rPr>
        <w:t>As seen in Figure 15, the prominence of the</w:t>
      </w:r>
      <w:hyperlink r:id="rId26" w:anchor="_msocom_2">
        <w:r>
          <w:rPr>
            <w:rFonts w:ascii="Arial" w:eastAsia="Arial" w:hAnsi="Arial" w:cs="Arial"/>
          </w:rPr>
          <w:t xml:space="preserve"> </w:t>
        </w:r>
      </w:hyperlink>
      <w:r>
        <w:rPr>
          <w:rFonts w:ascii="Arial" w:eastAsia="Arial" w:hAnsi="Arial" w:cs="Arial"/>
        </w:rPr>
        <w:t xml:space="preserve">statue across Miami distorts the Seminole and Miccosukee as temporal actors. </w:t>
      </w:r>
    </w:p>
    <w:p w14:paraId="45AF60C4" w14:textId="7A28501B" w:rsidR="009F0C56" w:rsidRDefault="00E40CD6">
      <w:pPr>
        <w:spacing w:before="160" w:after="80" w:line="276" w:lineRule="auto"/>
        <w:rPr>
          <w:rFonts w:ascii="Arial" w:eastAsia="Arial" w:hAnsi="Arial" w:cs="Arial"/>
          <w:sz w:val="16"/>
          <w:szCs w:val="16"/>
        </w:rPr>
      </w:pPr>
      <w:r>
        <w:rPr>
          <w:rFonts w:ascii="Arial" w:eastAsia="Arial" w:hAnsi="Arial" w:cs="Arial"/>
          <w:color w:val="000000"/>
        </w:rPr>
        <w:t>This</w:t>
      </w:r>
      <w:r w:rsidR="00653842">
        <w:rPr>
          <w:rFonts w:ascii="Arial" w:eastAsia="Arial" w:hAnsi="Arial" w:cs="Arial"/>
          <w:color w:val="000000"/>
        </w:rPr>
        <w:t xml:space="preserve"> also </w:t>
      </w:r>
      <w:r>
        <w:rPr>
          <w:rFonts w:ascii="Arial" w:eastAsia="Arial" w:hAnsi="Arial" w:cs="Arial"/>
          <w:color w:val="000000"/>
        </w:rPr>
        <w:t>masks</w:t>
      </w:r>
      <w:r w:rsidR="00653842">
        <w:rPr>
          <w:rFonts w:ascii="Arial" w:eastAsia="Arial" w:hAnsi="Arial" w:cs="Arial"/>
          <w:color w:val="000000"/>
        </w:rPr>
        <w:t xml:space="preserve"> their Indigeneity through representations of historical welcoming (Bruyneel 2021, Veracini 2014). Thus, this chapter’s analysis of settler memory and temporal manipulation now sets the foundation for the following discussion, which will examine how colonial naming practices further entrench spatial and temporal control. In exploring how the creation of colonial binaries dismantles Indigenous self-representation and reinforces the hierarchies of settler colonial power (Berg 2015, Waters </w:t>
      </w:r>
      <w:r w:rsidR="00653842">
        <w:rPr>
          <w:rFonts w:ascii="Arial" w:eastAsia="Arial" w:hAnsi="Arial" w:cs="Arial"/>
        </w:rPr>
        <w:t>2004).</w:t>
      </w:r>
      <w:r w:rsidR="00653842">
        <w:rPr>
          <w:rFonts w:ascii="Arial" w:eastAsia="Arial" w:hAnsi="Arial" w:cs="Arial"/>
          <w:sz w:val="16"/>
          <w:szCs w:val="16"/>
        </w:rPr>
        <w:t xml:space="preserve"> </w:t>
      </w:r>
    </w:p>
    <w:p w14:paraId="74200841" w14:textId="77777777" w:rsidR="009F0C56" w:rsidRDefault="009F0C56">
      <w:pPr>
        <w:spacing w:before="160" w:after="80" w:line="276" w:lineRule="auto"/>
        <w:rPr>
          <w:rFonts w:ascii="Arial" w:eastAsia="Arial" w:hAnsi="Arial" w:cs="Arial"/>
        </w:rPr>
      </w:pPr>
    </w:p>
    <w:p w14:paraId="0BE9A9A4" w14:textId="77777777" w:rsidR="009F0C56" w:rsidRDefault="00653842">
      <w:pPr>
        <w:pStyle w:val="Heading2"/>
        <w:rPr>
          <w:rFonts w:ascii="Arial" w:eastAsia="Arial" w:hAnsi="Arial" w:cs="Arial"/>
          <w:b/>
          <w:bCs/>
          <w:sz w:val="48"/>
          <w:szCs w:val="48"/>
        </w:rPr>
      </w:pPr>
      <w:bookmarkStart w:id="131" w:name="_Toc240966046"/>
      <w:r>
        <w:rPr>
          <w:rFonts w:ascii="Arial" w:eastAsia="Arial" w:hAnsi="Arial" w:cs="Arial"/>
        </w:rPr>
        <w:t>8.5 Temporal dimensions of settler power</w:t>
      </w:r>
      <w:bookmarkEnd w:id="131"/>
      <w:r>
        <w:rPr>
          <w:rFonts w:ascii="Arial" w:eastAsia="Arial" w:hAnsi="Arial" w:cs="Arial"/>
        </w:rPr>
        <w:t xml:space="preserve"> </w:t>
      </w:r>
    </w:p>
    <w:p w14:paraId="1E1DAE27" w14:textId="77777777" w:rsidR="009F0C56" w:rsidRDefault="00653842">
      <w:pPr>
        <w:spacing w:before="240" w:after="240" w:line="276" w:lineRule="auto"/>
        <w:rPr>
          <w:rFonts w:ascii="Arial" w:eastAsia="Arial" w:hAnsi="Arial" w:cs="Arial"/>
          <w:color w:val="000000"/>
          <w:highlight w:val="white"/>
        </w:rPr>
      </w:pPr>
      <w:r>
        <w:rPr>
          <w:rFonts w:ascii="Arial" w:eastAsia="Arial" w:hAnsi="Arial" w:cs="Arial"/>
          <w:color w:val="000000"/>
        </w:rPr>
        <w:t>As mentioned, this section builds on the analysis of colonial memory by examining the temporal dimensions of settler colonial power. Specifically, this area will investigate how time functions as a settler fluid and strategic tool within settler colonial discourse. Here, the section will use the concept of settler bricolage to analyse the constructed realities imposed on the Seminole and Miccosukee, in ways that simultaneously erase and assimilate their presence into the dominant settler U.S. Indian narrati</w:t>
      </w:r>
      <w:r>
        <w:rPr>
          <w:rFonts w:ascii="Arial" w:eastAsia="Arial" w:hAnsi="Arial" w:cs="Arial"/>
          <w:color w:val="000000"/>
        </w:rPr>
        <w:t xml:space="preserve">ve. Through this, temporal fluidity will serve as a critical lens to unpack how settler societies manipulate representations of Indigeneity by collapsing distinctions between past, present, and future. In doing so, this section will identify how settler colonialism reshapes discourses and memories to maintain its structural dominance. </w:t>
      </w:r>
    </w:p>
    <w:p w14:paraId="73AEE322" w14:textId="023DE229" w:rsidR="009F0C56" w:rsidRDefault="00653842">
      <w:pPr>
        <w:spacing w:before="240" w:after="240" w:line="276" w:lineRule="auto"/>
      </w:pPr>
      <w:r>
        <w:rPr>
          <w:rFonts w:ascii="Arial" w:eastAsia="Arial" w:hAnsi="Arial" w:cs="Arial"/>
          <w:color w:val="000000"/>
          <w:highlight w:val="white"/>
        </w:rPr>
        <w:t>Therefore,</w:t>
      </w:r>
      <w:r>
        <w:rPr>
          <w:rFonts w:ascii="Arial" w:eastAsia="Arial" w:hAnsi="Arial" w:cs="Arial"/>
          <w:color w:val="000000"/>
        </w:rPr>
        <w:t xml:space="preserve"> recasting Indigenous identities as either relics of a distant past or passive participants in a settler-defined present. This will draw from Veracini’s screen memory and corporate colonialism as well as Wright-Maley’s understanding of settler temporal blindness (Veracini 2007 + 2008, Wright-Maley 2021</w:t>
      </w:r>
      <w:r>
        <w:rPr>
          <w:rFonts w:ascii="Arial" w:eastAsia="Arial" w:hAnsi="Arial" w:cs="Arial"/>
          <w:color w:val="000000"/>
          <w:highlight w:val="white"/>
        </w:rPr>
        <w:t>)</w:t>
      </w:r>
      <w:r>
        <w:rPr>
          <w:rFonts w:ascii="Arial" w:eastAsia="Arial" w:hAnsi="Arial" w:cs="Arial"/>
          <w:highlight w:val="white"/>
        </w:rPr>
        <w:t xml:space="preserve">. This will be used to analyse how temporal fluidity in </w:t>
      </w:r>
      <w:r>
        <w:rPr>
          <w:rFonts w:ascii="Arial" w:eastAsia="Arial" w:hAnsi="Arial" w:cs="Arial"/>
          <w:highlight w:val="white"/>
        </w:rPr>
        <w:t xml:space="preserve">settler society reconfigures temporal elements of Indigenous communities, and shapes them in different realities, through historicizing them, vanishing them, or reshaping them. </w:t>
      </w:r>
    </w:p>
    <w:p w14:paraId="174C8ECF" w14:textId="77777777" w:rsidR="009F0C56" w:rsidRDefault="00653842">
      <w:pPr>
        <w:pStyle w:val="Heading2"/>
        <w:rPr>
          <w:rFonts w:ascii="Arial" w:eastAsia="Arial" w:hAnsi="Arial" w:cs="Arial"/>
          <w:b/>
          <w:bCs/>
          <w:sz w:val="36"/>
          <w:szCs w:val="36"/>
        </w:rPr>
      </w:pPr>
      <w:bookmarkStart w:id="132" w:name="_Toc240966047"/>
      <w:r>
        <w:rPr>
          <w:rFonts w:ascii="Arial" w:eastAsia="Arial" w:hAnsi="Arial" w:cs="Arial"/>
        </w:rPr>
        <w:t>8.6 Fluidity of time</w:t>
      </w:r>
      <w:bookmarkEnd w:id="132"/>
    </w:p>
    <w:p w14:paraId="6F0F4DA0" w14:textId="7FD02688" w:rsidR="009F0C56" w:rsidRDefault="00653842">
      <w:pPr>
        <w:spacing w:before="240" w:after="240" w:line="276" w:lineRule="auto"/>
        <w:rPr>
          <w:rFonts w:ascii="Arial" w:eastAsia="Arial" w:hAnsi="Arial" w:cs="Arial"/>
          <w:color w:val="000000"/>
          <w:highlight w:val="white"/>
        </w:rPr>
      </w:pPr>
      <w:r>
        <w:rPr>
          <w:rFonts w:ascii="Arial" w:eastAsia="Arial" w:hAnsi="Arial" w:cs="Arial"/>
          <w:color w:val="000000"/>
        </w:rPr>
        <w:t xml:space="preserve">Indigenous culture superficially and only within settler boundaries intersects with the past, present, and future in ways deeply shaped by settler-constructed contexts around time. These contexts produce varying cognitive outcomes for settler understandings of history, enabling a temporal fluidity that manipulates Indigenous representations to support settler narratives of Indigeneity (Derrida 2006, Barthes </w:t>
      </w:r>
      <w:r>
        <w:rPr>
          <w:rFonts w:ascii="Arial" w:eastAsia="Arial" w:hAnsi="Arial" w:cs="Arial"/>
          <w:color w:val="000000"/>
        </w:rPr>
        <w:lastRenderedPageBreak/>
        <w:t>2009). Here, these fluid</w:t>
      </w:r>
      <w:r w:rsidR="00E40CD6">
        <w:rPr>
          <w:rFonts w:ascii="Arial" w:eastAsia="Arial" w:hAnsi="Arial" w:cs="Arial"/>
          <w:color w:val="000000"/>
        </w:rPr>
        <w:t>,</w:t>
      </w:r>
      <w:r>
        <w:rPr>
          <w:rFonts w:ascii="Arial" w:eastAsia="Arial" w:hAnsi="Arial" w:cs="Arial"/>
          <w:color w:val="000000"/>
        </w:rPr>
        <w:t xml:space="preserve"> constructed settler representations reduce the power of self-representation for the Seminole and Miccosukee, whilst constructing a settler bricolage of realities that affirm the colonial status quo (Barker 2021, Barthes 2000). This has become a central mechanism of settler colonialism, which operates as a tool to naturalise settler colonial control and mediate settler interactions with Indigenous culture, in one way</w:t>
      </w:r>
      <w:r>
        <w:rPr>
          <w:rFonts w:ascii="Arial" w:eastAsia="Arial" w:hAnsi="Arial" w:cs="Arial"/>
          <w:color w:val="000000"/>
          <w:highlight w:val="white"/>
        </w:rPr>
        <w:t xml:space="preserve">, augmenting and distorting Indigenous </w:t>
      </w:r>
      <w:r>
        <w:rPr>
          <w:rFonts w:ascii="Arial" w:eastAsia="Arial" w:hAnsi="Arial" w:cs="Arial"/>
          <w:color w:val="000000"/>
        </w:rPr>
        <w:t>names</w:t>
      </w:r>
      <w:r>
        <w:rPr>
          <w:rFonts w:ascii="Arial" w:eastAsia="Arial" w:hAnsi="Arial" w:cs="Arial"/>
          <w:color w:val="000000"/>
          <w:highlight w:val="white"/>
        </w:rPr>
        <w:t>.</w:t>
      </w:r>
    </w:p>
    <w:p w14:paraId="3921D655" w14:textId="1EA3164D" w:rsidR="009F0C56" w:rsidRDefault="00653842">
      <w:pPr>
        <w:spacing w:before="240" w:after="240" w:line="276" w:lineRule="auto"/>
        <w:rPr>
          <w:rFonts w:ascii="Arial" w:eastAsia="Arial" w:hAnsi="Arial" w:cs="Arial"/>
          <w:highlight w:val="white"/>
        </w:rPr>
      </w:pPr>
      <w:r>
        <w:rPr>
          <w:rFonts w:ascii="Arial" w:eastAsia="Arial" w:hAnsi="Arial" w:cs="Arial"/>
          <w:color w:val="000000"/>
          <w:highlight w:val="white"/>
        </w:rPr>
        <w:t>In this process,</w:t>
      </w:r>
      <w:r>
        <w:rPr>
          <w:rFonts w:ascii="Arial" w:eastAsia="Arial" w:hAnsi="Arial" w:cs="Arial"/>
          <w:color w:val="000000"/>
        </w:rPr>
        <w:t xml:space="preserve"> settler colonialism constructs screen memories, which are selective recollections of history that displace and distort actual histories by overwriting violent colonial interactions with more settler-friendly narratives (Veracini 2008). Through this, the context of naming and representation means that the Seminole and Miccosukee are remembered only through distorted, </w:t>
      </w:r>
      <w:r w:rsidR="00E40CD6">
        <w:rPr>
          <w:rFonts w:ascii="Arial" w:eastAsia="Arial" w:hAnsi="Arial" w:cs="Arial"/>
          <w:color w:val="000000"/>
        </w:rPr>
        <w:t>settler-nostalgic</w:t>
      </w:r>
      <w:r>
        <w:rPr>
          <w:rFonts w:ascii="Arial" w:eastAsia="Arial" w:hAnsi="Arial" w:cs="Arial"/>
          <w:color w:val="000000"/>
        </w:rPr>
        <w:t xml:space="preserve"> signs that appease settler notions of Indigeneity (Bruyneel 2021). Here, screen memories do not preserve Indigenous presence; rather, they function to cover, </w:t>
      </w:r>
      <w:r>
        <w:rPr>
          <w:rFonts w:ascii="Arial" w:eastAsia="Arial" w:hAnsi="Arial" w:cs="Arial"/>
          <w:color w:val="000000"/>
          <w:highlight w:val="white"/>
        </w:rPr>
        <w:t xml:space="preserve">erase, and </w:t>
      </w:r>
      <w:r>
        <w:rPr>
          <w:rFonts w:ascii="Arial" w:eastAsia="Arial" w:hAnsi="Arial" w:cs="Arial"/>
          <w:highlight w:val="white"/>
        </w:rPr>
        <w:t>present a sanitised settler version of the past that facilitates the purposeful forgetting of individualistic communities like the Seminole and Miccosukee. As is seen below with the naming of “Indiantown” or branding like “La India Bonita”, which exemplifies this dynamic, as these names represent Indigeneity as quaint, historical, or culturally neutral, rather than politically present or resistant. In this, these names are perceived as settler-friendly screen memories that domesticate Indigenous identity in</w:t>
      </w:r>
      <w:r>
        <w:rPr>
          <w:rFonts w:ascii="Arial" w:eastAsia="Arial" w:hAnsi="Arial" w:cs="Arial"/>
          <w:highlight w:val="white"/>
        </w:rPr>
        <w:t xml:space="preserve">to a universalised entity. </w:t>
      </w:r>
    </w:p>
    <w:p w14:paraId="6228413C" w14:textId="77777777" w:rsidR="009F0C56" w:rsidRDefault="00653842">
      <w:pPr>
        <w:spacing w:before="240" w:after="240" w:line="276" w:lineRule="auto"/>
        <w:rPr>
          <w:rFonts w:ascii="Arial" w:eastAsia="Arial" w:hAnsi="Arial" w:cs="Arial"/>
          <w:highlight w:val="white"/>
        </w:rPr>
      </w:pPr>
      <w:r>
        <w:rPr>
          <w:rFonts w:ascii="Arial" w:eastAsia="Arial" w:hAnsi="Arial" w:cs="Arial"/>
          <w:color w:val="262626"/>
        </w:rPr>
        <w:t xml:space="preserve">Notably, this alteration of Indigenous representation through naming in contemporary times can be noted in Figure 16. This photograph was taken in Indian </w:t>
      </w:r>
      <w:r>
        <w:rPr>
          <w:rFonts w:ascii="Arial" w:eastAsia="Arial" w:hAnsi="Arial" w:cs="Arial"/>
          <w:highlight w:val="white"/>
        </w:rPr>
        <w:t>Town, a small town located an hour’s drive from Miami. The town was historically a Seminole and US trading post; however, over the years, it became a town with a once-famous inn. The town survived through tourism during the middle of the 20</w:t>
      </w:r>
      <w:r>
        <w:rPr>
          <w:rFonts w:ascii="Arial" w:eastAsia="Arial" w:hAnsi="Arial" w:cs="Arial"/>
          <w:highlight w:val="white"/>
          <w:vertAlign w:val="superscript"/>
        </w:rPr>
        <w:t>th</w:t>
      </w:r>
      <w:r>
        <w:rPr>
          <w:rFonts w:ascii="Arial" w:eastAsia="Arial" w:hAnsi="Arial" w:cs="Arial"/>
          <w:highlight w:val="white"/>
        </w:rPr>
        <w:t xml:space="preserve"> century; however, currently, the town holds no real tourist value; rather, it is a commuter farming area. </w:t>
      </w:r>
    </w:p>
    <w:p w14:paraId="3D5B8A24" w14:textId="77777777" w:rsidR="009F0C56" w:rsidRDefault="009F0C56">
      <w:pPr>
        <w:spacing w:before="240" w:after="240" w:line="276" w:lineRule="auto"/>
        <w:rPr>
          <w:rFonts w:ascii="Arial" w:eastAsia="Arial" w:hAnsi="Arial" w:cs="Arial"/>
          <w:highlight w:val="white"/>
        </w:rPr>
      </w:pPr>
    </w:p>
    <w:p w14:paraId="7BCF5DC4" w14:textId="77777777" w:rsidR="009F0C56" w:rsidRDefault="009F0C56">
      <w:pPr>
        <w:spacing w:before="240" w:after="240" w:line="276" w:lineRule="auto"/>
        <w:rPr>
          <w:rFonts w:ascii="Arial" w:eastAsia="Arial" w:hAnsi="Arial" w:cs="Arial"/>
          <w:highlight w:val="white"/>
        </w:rPr>
      </w:pPr>
    </w:p>
    <w:p w14:paraId="5D4D2E79" w14:textId="77777777" w:rsidR="009F0C56" w:rsidRDefault="009F0C56">
      <w:pPr>
        <w:spacing w:before="240" w:after="240" w:line="276" w:lineRule="auto"/>
        <w:rPr>
          <w:rFonts w:ascii="Arial" w:eastAsia="Arial" w:hAnsi="Arial" w:cs="Arial"/>
          <w:highlight w:val="white"/>
        </w:rPr>
      </w:pPr>
    </w:p>
    <w:p w14:paraId="74FCC4FA" w14:textId="77777777" w:rsidR="009F0C56" w:rsidRDefault="009F0C56">
      <w:pPr>
        <w:spacing w:before="240" w:after="240" w:line="276" w:lineRule="auto"/>
        <w:rPr>
          <w:rFonts w:ascii="Arial" w:eastAsia="Arial" w:hAnsi="Arial" w:cs="Arial"/>
          <w:highlight w:val="white"/>
        </w:rPr>
      </w:pPr>
    </w:p>
    <w:p w14:paraId="201D8FAD" w14:textId="77777777" w:rsidR="009F0C56" w:rsidRDefault="009F0C56">
      <w:pPr>
        <w:spacing w:before="240" w:after="240" w:line="276" w:lineRule="auto"/>
        <w:rPr>
          <w:rFonts w:ascii="Arial" w:eastAsia="Arial" w:hAnsi="Arial" w:cs="Arial"/>
          <w:highlight w:val="white"/>
        </w:rPr>
      </w:pPr>
    </w:p>
    <w:p w14:paraId="291DA635" w14:textId="77777777" w:rsidR="009F0C56" w:rsidRDefault="009F0C56">
      <w:pPr>
        <w:spacing w:before="240" w:after="240" w:line="276" w:lineRule="auto"/>
        <w:rPr>
          <w:rFonts w:ascii="Arial" w:eastAsia="Arial" w:hAnsi="Arial" w:cs="Arial"/>
          <w:highlight w:val="white"/>
        </w:rPr>
      </w:pPr>
    </w:p>
    <w:p w14:paraId="717E083B" w14:textId="77777777" w:rsidR="009F0C56" w:rsidRDefault="009F0C56">
      <w:pPr>
        <w:spacing w:before="240" w:after="240" w:line="276" w:lineRule="auto"/>
        <w:rPr>
          <w:rFonts w:ascii="Arial" w:eastAsia="Arial" w:hAnsi="Arial" w:cs="Arial"/>
          <w:highlight w:val="white"/>
        </w:rPr>
      </w:pPr>
    </w:p>
    <w:p w14:paraId="0B0EBC7E" w14:textId="77777777" w:rsidR="009F0C56" w:rsidRDefault="009F0C56">
      <w:pPr>
        <w:spacing w:before="240" w:after="240" w:line="276" w:lineRule="auto"/>
        <w:rPr>
          <w:rFonts w:ascii="Arial" w:eastAsia="Arial" w:hAnsi="Arial" w:cs="Arial"/>
          <w:highlight w:val="white"/>
        </w:rPr>
      </w:pPr>
    </w:p>
    <w:p w14:paraId="4F61E765" w14:textId="77777777" w:rsidR="009F0C56" w:rsidRDefault="009F0C56">
      <w:pPr>
        <w:spacing w:line="240" w:lineRule="auto"/>
      </w:pPr>
    </w:p>
    <w:p w14:paraId="79F6DB50" w14:textId="6E783150" w:rsidR="009F0C56" w:rsidRDefault="00653842">
      <w:pPr>
        <w:spacing w:line="240" w:lineRule="auto"/>
        <w:rPr>
          <w:sz w:val="18"/>
          <w:szCs w:val="18"/>
        </w:rPr>
      </w:pPr>
      <w:bookmarkStart w:id="133" w:name="_heading=h.neezjgumt395" w:colFirst="0" w:colLast="0"/>
      <w:bookmarkEnd w:id="133"/>
      <w:r>
        <w:rPr>
          <w:sz w:val="18"/>
          <w:szCs w:val="18"/>
        </w:rPr>
        <w:lastRenderedPageBreak/>
        <w:t xml:space="preserve">Figure 16 – 20/07/2023. </w:t>
      </w:r>
      <w:r w:rsidR="00E40CD6">
        <w:rPr>
          <w:sz w:val="18"/>
          <w:szCs w:val="18"/>
        </w:rPr>
        <w:t>The taco truck</w:t>
      </w:r>
      <w:r>
        <w:rPr>
          <w:sz w:val="18"/>
          <w:szCs w:val="18"/>
        </w:rPr>
        <w:t xml:space="preserve"> is located in Indian Town</w:t>
      </w:r>
      <w:r w:rsidR="00E40CD6">
        <w:rPr>
          <w:sz w:val="18"/>
          <w:szCs w:val="18"/>
        </w:rPr>
        <w:t>,</w:t>
      </w:r>
      <w:r>
        <w:rPr>
          <w:sz w:val="18"/>
          <w:szCs w:val="18"/>
        </w:rPr>
        <w:t xml:space="preserve"> Florida. Truck name</w:t>
      </w:r>
      <w:r w:rsidR="00E40CD6">
        <w:rPr>
          <w:sz w:val="18"/>
          <w:szCs w:val="18"/>
        </w:rPr>
        <w:t>:</w:t>
      </w:r>
      <w:r>
        <w:rPr>
          <w:sz w:val="18"/>
          <w:szCs w:val="18"/>
        </w:rPr>
        <w:t xml:space="preserve"> “La India Bonita”</w:t>
      </w:r>
    </w:p>
    <w:p w14:paraId="0E489329" w14:textId="77777777" w:rsidR="009F0C56" w:rsidRDefault="00653842">
      <w:pPr>
        <w:spacing w:line="240" w:lineRule="auto"/>
        <w:rPr>
          <w:highlight w:val="white"/>
        </w:rPr>
      </w:pPr>
      <w:r>
        <w:rPr>
          <w:noProof/>
        </w:rPr>
        <w:drawing>
          <wp:anchor distT="0" distB="0" distL="114300" distR="114300" simplePos="0" relativeHeight="251666432" behindDoc="0" locked="0" layoutInCell="1" hidden="0" allowOverlap="1" wp14:anchorId="2D0A4FE6" wp14:editId="7FA8030B">
            <wp:simplePos x="0" y="0"/>
            <wp:positionH relativeFrom="column">
              <wp:posOffset>-517521</wp:posOffset>
            </wp:positionH>
            <wp:positionV relativeFrom="paragraph">
              <wp:posOffset>517525</wp:posOffset>
            </wp:positionV>
            <wp:extent cx="4159250" cy="3124200"/>
            <wp:effectExtent l="0" t="0" r="0" b="0"/>
            <wp:wrapSquare wrapText="bothSides" distT="0" distB="0" distL="114300" distR="114300"/>
            <wp:docPr id="1874855857" name="image10.jpg" descr="A wooden post with a sign on the side of a food truck&#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jpg" descr="A wooden post with a sign on the side of a food truck&#10;&#10;Description automatically generated"/>
                    <pic:cNvPicPr preferRelativeResize="0"/>
                  </pic:nvPicPr>
                  <pic:blipFill>
                    <a:blip r:embed="rId27"/>
                    <a:srcRect/>
                    <a:stretch>
                      <a:fillRect/>
                    </a:stretch>
                  </pic:blipFill>
                  <pic:spPr>
                    <a:xfrm rot="5400000">
                      <a:off x="0" y="0"/>
                      <a:ext cx="4159250" cy="3124200"/>
                    </a:xfrm>
                    <a:prstGeom prst="rect">
                      <a:avLst/>
                    </a:prstGeom>
                    <a:ln/>
                  </pic:spPr>
                </pic:pic>
              </a:graphicData>
            </a:graphic>
          </wp:anchor>
        </w:drawing>
      </w:r>
    </w:p>
    <w:p w14:paraId="1142528E" w14:textId="77777777" w:rsidR="009F0C56" w:rsidRDefault="009F0C56">
      <w:pPr>
        <w:rPr>
          <w:rFonts w:ascii="Arial" w:eastAsia="Arial" w:hAnsi="Arial" w:cs="Arial"/>
          <w:color w:val="000000"/>
        </w:rPr>
      </w:pPr>
    </w:p>
    <w:p w14:paraId="3865D014" w14:textId="77777777" w:rsidR="009F0C56" w:rsidRDefault="009F0C56">
      <w:pPr>
        <w:rPr>
          <w:rFonts w:ascii="Arial" w:eastAsia="Arial" w:hAnsi="Arial" w:cs="Arial"/>
          <w:color w:val="000000"/>
        </w:rPr>
      </w:pPr>
    </w:p>
    <w:p w14:paraId="34EC5579" w14:textId="77777777" w:rsidR="009F0C56" w:rsidRDefault="009F0C56">
      <w:pPr>
        <w:rPr>
          <w:rFonts w:ascii="Arial" w:eastAsia="Arial" w:hAnsi="Arial" w:cs="Arial"/>
          <w:color w:val="000000"/>
        </w:rPr>
      </w:pPr>
    </w:p>
    <w:p w14:paraId="6997E45D" w14:textId="77777777" w:rsidR="009F0C56" w:rsidRDefault="009F0C56">
      <w:pPr>
        <w:rPr>
          <w:rFonts w:ascii="Arial" w:eastAsia="Arial" w:hAnsi="Arial" w:cs="Arial"/>
          <w:color w:val="000000"/>
        </w:rPr>
      </w:pPr>
    </w:p>
    <w:p w14:paraId="0320A2B9" w14:textId="77777777" w:rsidR="009F0C56" w:rsidRDefault="009F0C56">
      <w:pPr>
        <w:rPr>
          <w:rFonts w:ascii="Arial" w:eastAsia="Arial" w:hAnsi="Arial" w:cs="Arial"/>
          <w:color w:val="000000"/>
        </w:rPr>
      </w:pPr>
    </w:p>
    <w:p w14:paraId="160F4C01" w14:textId="77777777" w:rsidR="009F0C56" w:rsidRDefault="009F0C56">
      <w:pPr>
        <w:rPr>
          <w:rFonts w:ascii="Arial" w:eastAsia="Arial" w:hAnsi="Arial" w:cs="Arial"/>
          <w:color w:val="000000"/>
        </w:rPr>
      </w:pPr>
    </w:p>
    <w:p w14:paraId="63E39010" w14:textId="77777777" w:rsidR="009F0C56" w:rsidRDefault="009F0C56">
      <w:pPr>
        <w:rPr>
          <w:rFonts w:ascii="Arial" w:eastAsia="Arial" w:hAnsi="Arial" w:cs="Arial"/>
          <w:color w:val="000000"/>
        </w:rPr>
      </w:pPr>
    </w:p>
    <w:p w14:paraId="2C1AB485" w14:textId="77777777" w:rsidR="009F0C56" w:rsidRDefault="009F0C56">
      <w:pPr>
        <w:rPr>
          <w:rFonts w:ascii="Arial" w:eastAsia="Arial" w:hAnsi="Arial" w:cs="Arial"/>
          <w:color w:val="000000"/>
        </w:rPr>
      </w:pPr>
    </w:p>
    <w:p w14:paraId="178C0BB7" w14:textId="77777777" w:rsidR="009F0C56" w:rsidRDefault="009F0C56">
      <w:pPr>
        <w:rPr>
          <w:rFonts w:ascii="Arial" w:eastAsia="Arial" w:hAnsi="Arial" w:cs="Arial"/>
          <w:color w:val="000000"/>
        </w:rPr>
      </w:pPr>
    </w:p>
    <w:p w14:paraId="72AA2433" w14:textId="77777777" w:rsidR="009F0C56" w:rsidRDefault="009F0C56">
      <w:pPr>
        <w:rPr>
          <w:rFonts w:ascii="Arial" w:eastAsia="Arial" w:hAnsi="Arial" w:cs="Arial"/>
          <w:color w:val="000000"/>
        </w:rPr>
      </w:pPr>
    </w:p>
    <w:p w14:paraId="043BA5A0" w14:textId="77777777" w:rsidR="009F0C56" w:rsidRDefault="009F0C56">
      <w:pPr>
        <w:rPr>
          <w:rFonts w:ascii="Arial" w:eastAsia="Arial" w:hAnsi="Arial" w:cs="Arial"/>
          <w:color w:val="000000"/>
        </w:rPr>
      </w:pPr>
    </w:p>
    <w:p w14:paraId="7F4DB094" w14:textId="77777777" w:rsidR="009F0C56" w:rsidRDefault="009F0C56">
      <w:pPr>
        <w:rPr>
          <w:rFonts w:ascii="Arial" w:eastAsia="Arial" w:hAnsi="Arial" w:cs="Arial"/>
          <w:color w:val="000000"/>
        </w:rPr>
      </w:pPr>
    </w:p>
    <w:p w14:paraId="627C2C94" w14:textId="77777777" w:rsidR="009F0C56" w:rsidRDefault="009F0C56">
      <w:pPr>
        <w:rPr>
          <w:rFonts w:ascii="Arial" w:eastAsia="Arial" w:hAnsi="Arial" w:cs="Arial"/>
          <w:color w:val="000000"/>
        </w:rPr>
      </w:pPr>
    </w:p>
    <w:p w14:paraId="50C70BB2" w14:textId="2FD29380" w:rsidR="009F0C56" w:rsidRDefault="00653842">
      <w:pPr>
        <w:spacing w:before="240" w:after="240" w:line="276" w:lineRule="auto"/>
        <w:rPr>
          <w:rFonts w:ascii="Arial" w:eastAsia="Arial" w:hAnsi="Arial" w:cs="Arial"/>
          <w:color w:val="262626"/>
        </w:rPr>
      </w:pPr>
      <w:r>
        <w:rPr>
          <w:rFonts w:ascii="Arial" w:eastAsia="Arial" w:hAnsi="Arial" w:cs="Arial"/>
          <w:color w:val="262626"/>
        </w:rPr>
        <w:t>This manipulation of representation is clearly illustrated in Figure 16</w:t>
      </w:r>
      <w:r w:rsidR="00E40CD6">
        <w:rPr>
          <w:rFonts w:ascii="Arial" w:eastAsia="Arial" w:hAnsi="Arial" w:cs="Arial"/>
          <w:color w:val="262626"/>
        </w:rPr>
        <w:t>:</w:t>
      </w:r>
      <w:r>
        <w:rPr>
          <w:rFonts w:ascii="Arial" w:eastAsia="Arial" w:hAnsi="Arial" w:cs="Arial"/>
          <w:color w:val="262626"/>
        </w:rPr>
        <w:t xml:space="preserve"> as originally tied to Indigenous presence, in contemporary times, the town functions primarily as a commuter farming area, heavily stripped of its prior cultural significance, minus the name and an inn.</w:t>
      </w:r>
    </w:p>
    <w:p w14:paraId="7F189502" w14:textId="72A3B379" w:rsidR="009F0C56" w:rsidRDefault="00653842">
      <w:pPr>
        <w:spacing w:before="240" w:after="240" w:line="276" w:lineRule="auto"/>
        <w:rPr>
          <w:rFonts w:ascii="Arial" w:eastAsia="Arial" w:hAnsi="Arial" w:cs="Arial"/>
        </w:rPr>
      </w:pPr>
      <w:r>
        <w:rPr>
          <w:rFonts w:ascii="Arial" w:eastAsia="Arial" w:hAnsi="Arial" w:cs="Arial"/>
          <w:color w:val="262626"/>
        </w:rPr>
        <w:t>Here, the food truck in Figure 16 was a staple feature in the single shopping street in the town and was called “La India Bonita”, which translates to cute/beautiful Indian depending on the reader's perspective (Translation</w:t>
      </w:r>
      <w:r w:rsidR="00E40CD6">
        <w:rPr>
          <w:rFonts w:ascii="Arial" w:eastAsia="Arial" w:hAnsi="Arial" w:cs="Arial"/>
          <w:color w:val="262626"/>
        </w:rPr>
        <w:t>:</w:t>
      </w:r>
      <w:r>
        <w:rPr>
          <w:rFonts w:ascii="Arial" w:eastAsia="Arial" w:hAnsi="Arial" w:cs="Arial"/>
          <w:color w:val="262626"/>
        </w:rPr>
        <w:t xml:space="preserve"> Islas, </w:t>
      </w:r>
      <w:r>
        <w:rPr>
          <w:rFonts w:ascii="Arial" w:eastAsia="Arial" w:hAnsi="Arial" w:cs="Arial"/>
          <w:color w:val="262626"/>
          <w:highlight w:val="white"/>
        </w:rPr>
        <w:t>2024</w:t>
      </w:r>
      <w:r>
        <w:rPr>
          <w:rFonts w:ascii="Arial" w:eastAsia="Arial" w:hAnsi="Arial" w:cs="Arial"/>
          <w:color w:val="262626"/>
        </w:rPr>
        <w:t xml:space="preserve">). Here, the use of the name exemplifies the commodification and distortion of Indigenous identity. </w:t>
      </w:r>
      <w:r>
        <w:rPr>
          <w:rFonts w:ascii="Arial" w:eastAsia="Arial" w:hAnsi="Arial" w:cs="Arial"/>
        </w:rPr>
        <w:t xml:space="preserve">The term Indian is now colloquially used throughout the town to indicate the town's name. The term “Indian” no longer relates to the Indigenous population who founded the site, but rather is now altered and used to represent the town's presence. </w:t>
      </w:r>
    </w:p>
    <w:p w14:paraId="6D197CC3" w14:textId="15780717" w:rsidR="009F0C56" w:rsidRDefault="00653842">
      <w:pPr>
        <w:spacing w:before="240" w:after="240" w:line="276" w:lineRule="auto"/>
        <w:rPr>
          <w:rFonts w:ascii="Arial" w:eastAsia="Arial" w:hAnsi="Arial" w:cs="Arial"/>
        </w:rPr>
      </w:pPr>
      <w:r>
        <w:rPr>
          <w:rFonts w:ascii="Arial" w:eastAsia="Arial" w:hAnsi="Arial" w:cs="Arial"/>
        </w:rPr>
        <w:t xml:space="preserve">This creates a history of the area, as the town’s name is disconnected from any genuine cultural lineage; rather, through the use of the imagery, US Indigeneity is being subsumed into the dialectics of US and Mexican relations. In this, the image manipulates Indigenous presence in the town as a part of </w:t>
      </w:r>
      <w:r>
        <w:rPr>
          <w:rFonts w:ascii="Arial" w:eastAsia="Arial" w:hAnsi="Arial" w:cs="Arial"/>
        </w:rPr>
        <w:t>US-Mexican relations. This reduces the ability for the Seminole and Miccosukee to assert their representations outside of the boundaries of US-Mexican relations (Urrieta Jr</w:t>
      </w:r>
      <w:r w:rsidR="00E40CD6">
        <w:rPr>
          <w:rFonts w:ascii="Arial" w:eastAsia="Arial" w:hAnsi="Arial" w:cs="Arial"/>
        </w:rPr>
        <w:t>.</w:t>
      </w:r>
      <w:r>
        <w:rPr>
          <w:rFonts w:ascii="Arial" w:eastAsia="Arial" w:hAnsi="Arial" w:cs="Arial"/>
        </w:rPr>
        <w:t xml:space="preserve">, Calderon, Urrieta 2019). </w:t>
      </w:r>
      <w:r>
        <w:rPr>
          <w:sz w:val="16"/>
          <w:szCs w:val="16"/>
        </w:rPr>
        <w:t xml:space="preserve"> </w:t>
      </w:r>
      <w:r>
        <w:rPr>
          <w:rFonts w:ascii="Arial" w:eastAsia="Arial" w:hAnsi="Arial" w:cs="Arial"/>
        </w:rPr>
        <w:t xml:space="preserve">This argument is furthered with the use of the Zapotec figure located in the image, which holds no relation to the Seminole who founded the location. Here, the Indigenous culture of the town had been erased as a primary factor; rather, the name </w:t>
      </w:r>
      <w:r>
        <w:rPr>
          <w:rFonts w:ascii="Arial" w:eastAsia="Arial" w:hAnsi="Arial" w:cs="Arial"/>
        </w:rPr>
        <w:lastRenderedPageBreak/>
        <w:t xml:space="preserve">is used only about the location of the town, erasing the histories of the town itself. This was not uncommon throughout the town. </w:t>
      </w:r>
    </w:p>
    <w:p w14:paraId="05D43B9B" w14:textId="628231E1" w:rsidR="009F0C56" w:rsidRDefault="00653842">
      <w:pPr>
        <w:spacing w:line="240" w:lineRule="auto"/>
        <w:rPr>
          <w:rFonts w:ascii="Arial" w:eastAsia="Arial" w:hAnsi="Arial" w:cs="Arial"/>
          <w:color w:val="262626"/>
        </w:rPr>
      </w:pPr>
      <w:r>
        <w:rPr>
          <w:rFonts w:ascii="Arial" w:eastAsia="Arial" w:hAnsi="Arial" w:cs="Arial"/>
        </w:rPr>
        <w:t>This</w:t>
      </w:r>
      <w:r>
        <w:rPr>
          <w:rFonts w:ascii="Arial" w:eastAsia="Arial" w:hAnsi="Arial" w:cs="Arial"/>
          <w:color w:val="008000"/>
        </w:rPr>
        <w:t xml:space="preserve"> </w:t>
      </w:r>
      <w:r>
        <w:rPr>
          <w:rFonts w:ascii="Arial" w:eastAsia="Arial" w:hAnsi="Arial" w:cs="Arial"/>
          <w:color w:val="262626"/>
        </w:rPr>
        <w:t>settler strategy aligns with Wright-Maley’s (2021) analysis of settler temporality. Wright-Maley writes, “settler time stakes its claim as the monolithic temporal orientation governing how we (should) understand the relationship between past, present, and future. This uniform conceptualisation of time facilitates a certain kind of blindness to temporally divergent insights. So, while this may serve people well in the governance of their sense of historicity, it tends to hinder their ability to see value in—</w:t>
      </w:r>
      <w:r>
        <w:rPr>
          <w:rFonts w:ascii="Arial" w:eastAsia="Arial" w:hAnsi="Arial" w:cs="Arial"/>
          <w:color w:val="262626"/>
        </w:rPr>
        <w:t xml:space="preserve">or learn anything from—folk histories" (Pg. 12). In this, settler naming, as seen in </w:t>
      </w:r>
      <w:r w:rsidR="00E40CD6">
        <w:rPr>
          <w:rFonts w:ascii="Arial" w:eastAsia="Arial" w:hAnsi="Arial" w:cs="Arial"/>
          <w:color w:val="262626"/>
        </w:rPr>
        <w:t>Figure</w:t>
      </w:r>
      <w:r>
        <w:rPr>
          <w:rFonts w:ascii="Arial" w:eastAsia="Arial" w:hAnsi="Arial" w:cs="Arial"/>
          <w:color w:val="262626"/>
        </w:rPr>
        <w:t xml:space="preserve"> 16, operationalises a temporal blindness by distorting and weaving colonial narratives into the landscape. Here, names become a politically charged settler tool, where they are not only for spatial control, but also act as </w:t>
      </w:r>
      <w:r w:rsidR="00E40CD6">
        <w:rPr>
          <w:rFonts w:ascii="Arial" w:eastAsia="Arial" w:hAnsi="Arial" w:cs="Arial"/>
          <w:color w:val="262626"/>
        </w:rPr>
        <w:t>a</w:t>
      </w:r>
      <w:r>
        <w:rPr>
          <w:rFonts w:ascii="Arial" w:eastAsia="Arial" w:hAnsi="Arial" w:cs="Arial"/>
          <w:color w:val="262626"/>
        </w:rPr>
        <w:t xml:space="preserve"> monopolisation in asserting a linear timeline that locks Indigenous histories in the past, in a settler-controlled representation. </w:t>
      </w:r>
    </w:p>
    <w:p w14:paraId="39FF590A" w14:textId="77777777" w:rsidR="009F0C56" w:rsidRDefault="00653842">
      <w:pPr>
        <w:spacing w:line="240" w:lineRule="auto"/>
        <w:rPr>
          <w:rFonts w:ascii="Arial" w:eastAsia="Arial" w:hAnsi="Arial" w:cs="Arial"/>
          <w:color w:val="262626"/>
        </w:rPr>
      </w:pPr>
      <w:r>
        <w:rPr>
          <w:rFonts w:ascii="Arial" w:eastAsia="Arial" w:hAnsi="Arial" w:cs="Arial"/>
          <w:color w:val="262626"/>
        </w:rPr>
        <w:t>In this, the use of the food truck works as a form of corporate colonialism, where settler colonialism is not only created by a top-down approach but is structured in a way that allows, often unconsciously, all citizens to engage with the colonising process. As is seen with the use of the Zapotec figure, here migrants from Mexico and Latin America, through their historical engagement with Indigeneity, have centred the idea of the Indian as fixed to the Global South (Pasternak 2020). This displaces the Semin</w:t>
      </w:r>
      <w:r>
        <w:rPr>
          <w:rFonts w:ascii="Arial" w:eastAsia="Arial" w:hAnsi="Arial" w:cs="Arial"/>
          <w:color w:val="262626"/>
        </w:rPr>
        <w:t xml:space="preserve">ole and Miccosukee, who, as mentioned, historically founded the town, as embedded into a wider construction of Global Indigeneity, which erases the history and visibility of the Seminole and Miccosukee in the area. Thus, the visual representations of Figure 16 operate to subsume Seminole and Miccosukee into broader U.S.-Mexican cultural relations, which then further displaces the Seminole and Miccosukee through presenting them as a homogenised, pan-Indigenous figure located in the past (Pasternak 2020). In </w:t>
      </w:r>
      <w:r>
        <w:rPr>
          <w:rFonts w:ascii="Arial" w:eastAsia="Arial" w:hAnsi="Arial" w:cs="Arial"/>
          <w:color w:val="262626"/>
        </w:rPr>
        <w:t>this, the use of such imagery further works to distort and universalise any Indigenous presence into an aesthetic representation that abstracts and facilitates the erasure of the Seminole and Miccosukee’s contemporary cultural agency and histories, as will be explored in Figure 17.</w:t>
      </w:r>
    </w:p>
    <w:p w14:paraId="1407A329" w14:textId="77777777" w:rsidR="009F0C56" w:rsidRDefault="009F0C56">
      <w:pPr>
        <w:spacing w:line="240" w:lineRule="auto"/>
        <w:rPr>
          <w:sz w:val="18"/>
          <w:szCs w:val="18"/>
        </w:rPr>
      </w:pPr>
      <w:bookmarkStart w:id="134" w:name="_heading=h.mgfpp37yx4ly" w:colFirst="0" w:colLast="0"/>
      <w:bookmarkEnd w:id="134"/>
    </w:p>
    <w:p w14:paraId="040B1D29" w14:textId="77777777" w:rsidR="009F0C56" w:rsidRDefault="009F0C56">
      <w:pPr>
        <w:spacing w:line="240" w:lineRule="auto"/>
        <w:rPr>
          <w:sz w:val="18"/>
          <w:szCs w:val="18"/>
        </w:rPr>
      </w:pPr>
    </w:p>
    <w:p w14:paraId="396A6963" w14:textId="77777777" w:rsidR="009F0C56" w:rsidRDefault="009F0C56">
      <w:pPr>
        <w:spacing w:line="240" w:lineRule="auto"/>
        <w:rPr>
          <w:sz w:val="18"/>
          <w:szCs w:val="18"/>
        </w:rPr>
      </w:pPr>
    </w:p>
    <w:p w14:paraId="4259DD59" w14:textId="77777777" w:rsidR="009F0C56" w:rsidRDefault="009F0C56">
      <w:pPr>
        <w:spacing w:line="240" w:lineRule="auto"/>
        <w:rPr>
          <w:sz w:val="18"/>
          <w:szCs w:val="18"/>
        </w:rPr>
      </w:pPr>
    </w:p>
    <w:p w14:paraId="0C8D65C5" w14:textId="77777777" w:rsidR="009F0C56" w:rsidRDefault="009F0C56">
      <w:pPr>
        <w:spacing w:line="240" w:lineRule="auto"/>
        <w:rPr>
          <w:sz w:val="18"/>
          <w:szCs w:val="18"/>
        </w:rPr>
      </w:pPr>
    </w:p>
    <w:p w14:paraId="2785E027" w14:textId="77777777" w:rsidR="009F0C56" w:rsidRDefault="009F0C56">
      <w:pPr>
        <w:spacing w:line="240" w:lineRule="auto"/>
        <w:rPr>
          <w:sz w:val="18"/>
          <w:szCs w:val="18"/>
        </w:rPr>
      </w:pPr>
    </w:p>
    <w:p w14:paraId="55F50ABD" w14:textId="77777777" w:rsidR="009F0C56" w:rsidRDefault="009F0C56">
      <w:pPr>
        <w:spacing w:line="240" w:lineRule="auto"/>
        <w:rPr>
          <w:sz w:val="18"/>
          <w:szCs w:val="18"/>
        </w:rPr>
      </w:pPr>
    </w:p>
    <w:p w14:paraId="34A9D4F2" w14:textId="77777777" w:rsidR="009F0C56" w:rsidRDefault="009F0C56">
      <w:pPr>
        <w:spacing w:line="240" w:lineRule="auto"/>
        <w:rPr>
          <w:sz w:val="18"/>
          <w:szCs w:val="18"/>
        </w:rPr>
      </w:pPr>
    </w:p>
    <w:p w14:paraId="725B0B0C" w14:textId="77777777" w:rsidR="009F0C56" w:rsidRDefault="009F0C56">
      <w:pPr>
        <w:spacing w:line="240" w:lineRule="auto"/>
        <w:rPr>
          <w:sz w:val="18"/>
          <w:szCs w:val="18"/>
        </w:rPr>
      </w:pPr>
    </w:p>
    <w:p w14:paraId="29C3C1F9" w14:textId="77777777" w:rsidR="009F0C56" w:rsidRDefault="009F0C56">
      <w:pPr>
        <w:spacing w:line="240" w:lineRule="auto"/>
        <w:rPr>
          <w:sz w:val="18"/>
          <w:szCs w:val="18"/>
        </w:rPr>
      </w:pPr>
    </w:p>
    <w:p w14:paraId="55F5359D" w14:textId="77777777" w:rsidR="009F0C56" w:rsidRDefault="009F0C56">
      <w:pPr>
        <w:spacing w:line="240" w:lineRule="auto"/>
        <w:rPr>
          <w:sz w:val="18"/>
          <w:szCs w:val="18"/>
        </w:rPr>
      </w:pPr>
    </w:p>
    <w:p w14:paraId="3B169ECE" w14:textId="77777777" w:rsidR="009F0C56" w:rsidRDefault="009F0C56">
      <w:pPr>
        <w:spacing w:line="240" w:lineRule="auto"/>
        <w:rPr>
          <w:sz w:val="18"/>
          <w:szCs w:val="18"/>
        </w:rPr>
      </w:pPr>
    </w:p>
    <w:p w14:paraId="6DD70559" w14:textId="77777777" w:rsidR="009F0C56" w:rsidRDefault="009F0C56">
      <w:pPr>
        <w:spacing w:line="240" w:lineRule="auto"/>
        <w:rPr>
          <w:sz w:val="18"/>
          <w:szCs w:val="18"/>
        </w:rPr>
      </w:pPr>
    </w:p>
    <w:p w14:paraId="6CF5103B" w14:textId="643218E0" w:rsidR="009F0C56" w:rsidRDefault="00653842">
      <w:pPr>
        <w:spacing w:line="240" w:lineRule="auto"/>
        <w:rPr>
          <w:sz w:val="18"/>
          <w:szCs w:val="18"/>
        </w:rPr>
      </w:pPr>
      <w:r>
        <w:rPr>
          <w:sz w:val="18"/>
          <w:szCs w:val="18"/>
        </w:rPr>
        <w:lastRenderedPageBreak/>
        <w:t xml:space="preserve">Figure 17 – 20/07/203, Seminole Inn, located in Indian </w:t>
      </w:r>
      <w:r w:rsidR="00E40CD6">
        <w:rPr>
          <w:sz w:val="18"/>
          <w:szCs w:val="18"/>
        </w:rPr>
        <w:t>Town</w:t>
      </w:r>
    </w:p>
    <w:p w14:paraId="107C8CAA" w14:textId="77777777" w:rsidR="009F0C56" w:rsidRDefault="009F0C56">
      <w:pPr>
        <w:spacing w:line="240" w:lineRule="auto"/>
        <w:rPr>
          <w:sz w:val="18"/>
          <w:szCs w:val="18"/>
        </w:rPr>
      </w:pPr>
    </w:p>
    <w:p w14:paraId="152D1886" w14:textId="77777777" w:rsidR="009F0C56" w:rsidRDefault="00653842">
      <w:pPr>
        <w:rPr>
          <w:rFonts w:ascii="Arial" w:eastAsia="Arial" w:hAnsi="Arial" w:cs="Arial"/>
          <w:color w:val="000000"/>
        </w:rPr>
      </w:pPr>
      <w:r>
        <w:rPr>
          <w:noProof/>
        </w:rPr>
        <w:drawing>
          <wp:inline distT="0" distB="0" distL="0" distR="0" wp14:anchorId="6B89AAB0" wp14:editId="1B661F25">
            <wp:extent cx="4540250" cy="3333750"/>
            <wp:effectExtent l="0" t="0" r="0" b="0"/>
            <wp:docPr id="1874855880" name="image17.jpg" descr="A building with columns and a 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7.jpg" descr="A building with columns and a sign&#10;&#10;Description automatically generated"/>
                    <pic:cNvPicPr preferRelativeResize="0"/>
                  </pic:nvPicPr>
                  <pic:blipFill>
                    <a:blip r:embed="rId28"/>
                    <a:srcRect/>
                    <a:stretch>
                      <a:fillRect/>
                    </a:stretch>
                  </pic:blipFill>
                  <pic:spPr>
                    <a:xfrm>
                      <a:off x="0" y="0"/>
                      <a:ext cx="4540250" cy="3333750"/>
                    </a:xfrm>
                    <a:prstGeom prst="rect">
                      <a:avLst/>
                    </a:prstGeom>
                    <a:ln/>
                  </pic:spPr>
                </pic:pic>
              </a:graphicData>
            </a:graphic>
          </wp:inline>
        </w:drawing>
      </w:r>
    </w:p>
    <w:p w14:paraId="7E127A15" w14:textId="4FA604B1" w:rsidR="009F0C56" w:rsidRDefault="00653842">
      <w:pPr>
        <w:spacing w:before="240" w:after="240" w:line="276" w:lineRule="auto"/>
        <w:rPr>
          <w:rFonts w:ascii="Arial" w:eastAsia="Arial" w:hAnsi="Arial" w:cs="Arial"/>
          <w:color w:val="262626"/>
        </w:rPr>
      </w:pPr>
      <w:r>
        <w:rPr>
          <w:rFonts w:ascii="Arial" w:eastAsia="Arial" w:hAnsi="Arial" w:cs="Arial"/>
          <w:color w:val="262626"/>
        </w:rPr>
        <w:t xml:space="preserve">As noted, this settler dynamic around a linear time further persists in Figure 17. This image was taken in Indiantown; the site has been historically used as a tourist destination to highlight the </w:t>
      </w:r>
      <w:r w:rsidR="00E40CD6">
        <w:rPr>
          <w:rFonts w:ascii="Arial" w:eastAsia="Arial" w:hAnsi="Arial" w:cs="Arial"/>
          <w:color w:val="262626"/>
        </w:rPr>
        <w:t>Seminoles’</w:t>
      </w:r>
      <w:r>
        <w:rPr>
          <w:rFonts w:ascii="Arial" w:eastAsia="Arial" w:hAnsi="Arial" w:cs="Arial"/>
          <w:color w:val="262626"/>
        </w:rPr>
        <w:t xml:space="preserve"> past interactions with the area as a trading post site. However, despite the use of the terminology of Indian town and Seminole, these names work as a colonial tool to pedagogically show the settlers an alternative representation of Indigenous culture that is no longer in everyday existence (Barthes, 2000). Here, the erasure of Indigeneity as a contemporary being is undertaken by settler society in creating re-representations of Indigeneity that are simplified and heavily structured through the use of imag</w:t>
      </w:r>
      <w:r>
        <w:rPr>
          <w:rFonts w:ascii="Arial" w:eastAsia="Arial" w:hAnsi="Arial" w:cs="Arial"/>
          <w:color w:val="262626"/>
        </w:rPr>
        <w:t xml:space="preserve">ery and language (Mignolo, 2012). In this, these signs are instrumentalised to construct ideologically driven myths that settler society uses to reconfigure Seminole and Miccosukee identity into manageable fragments of memory that are no longer tethered to political autonomy or land rights (Veracini 2008). </w:t>
      </w:r>
    </w:p>
    <w:p w14:paraId="25E27AAE" w14:textId="24FF151F" w:rsidR="009F0C56" w:rsidRDefault="00653842">
      <w:pPr>
        <w:spacing w:before="240" w:after="240" w:line="276" w:lineRule="auto"/>
        <w:rPr>
          <w:rFonts w:ascii="Arial" w:eastAsia="Arial" w:hAnsi="Arial" w:cs="Arial"/>
          <w:color w:val="262626"/>
        </w:rPr>
      </w:pPr>
      <w:r>
        <w:rPr>
          <w:rFonts w:ascii="Arial" w:eastAsia="Arial" w:hAnsi="Arial" w:cs="Arial"/>
        </w:rPr>
        <w:t>Therefore, these settler signs function to strategically misremember and reproduce the myth of colonial innocence, which ultimately further entrenches the idea of Indigenous invisibility, as real histories and representations are ignored (Simpson 2016, Veracini 2008). In this, Figures 16 and 17 embody how settler societies deploy fragments of Indigenous histories to substantiate settler historical legitimacy in the consciousness of settler society. Using</w:t>
      </w:r>
      <w:r>
        <w:rPr>
          <w:rFonts w:ascii="Arial" w:eastAsia="Arial" w:hAnsi="Arial" w:cs="Arial"/>
          <w:color w:val="008000"/>
        </w:rPr>
        <w:t xml:space="preserve"> </w:t>
      </w:r>
      <w:r>
        <w:rPr>
          <w:rFonts w:ascii="Arial" w:eastAsia="Arial" w:hAnsi="Arial" w:cs="Arial"/>
          <w:color w:val="262626"/>
        </w:rPr>
        <w:t xml:space="preserve">historical references in place names allows settlers to present themselves as natural inheritors and stewards of the land (Wolfe 2016, Trosper 2022). Here, settler </w:t>
      </w:r>
      <w:r w:rsidR="00E40CD6">
        <w:rPr>
          <w:rFonts w:ascii="Arial" w:eastAsia="Arial" w:hAnsi="Arial" w:cs="Arial"/>
          <w:color w:val="262626"/>
        </w:rPr>
        <w:t>visualisations</w:t>
      </w:r>
      <w:r>
        <w:rPr>
          <w:rFonts w:ascii="Arial" w:eastAsia="Arial" w:hAnsi="Arial" w:cs="Arial"/>
          <w:color w:val="262626"/>
        </w:rPr>
        <w:t xml:space="preserve"> and names are shaping the consciousness of the settler public, particularly the lumpen-proletariat, through </w:t>
      </w:r>
      <w:r>
        <w:rPr>
          <w:rFonts w:ascii="Arial" w:eastAsia="Arial" w:hAnsi="Arial" w:cs="Arial"/>
          <w:color w:val="262626"/>
        </w:rPr>
        <w:lastRenderedPageBreak/>
        <w:t>reinforcing settler colonial narratives that locate Indigeneity in the past</w:t>
      </w:r>
      <w:r>
        <w:rPr>
          <w:rFonts w:ascii="Arial" w:eastAsia="Arial" w:hAnsi="Arial" w:cs="Arial"/>
          <w:color w:val="262626"/>
          <w:vertAlign w:val="superscript"/>
        </w:rPr>
        <w:footnoteReference w:id="11"/>
      </w:r>
      <w:r>
        <w:rPr>
          <w:rFonts w:ascii="Arial" w:eastAsia="Arial" w:hAnsi="Arial" w:cs="Arial"/>
          <w:color w:val="262626"/>
        </w:rPr>
        <w:t xml:space="preserve">. The use of naming </w:t>
      </w:r>
      <w:r w:rsidR="00E40CD6">
        <w:rPr>
          <w:rFonts w:ascii="Arial" w:eastAsia="Arial" w:hAnsi="Arial" w:cs="Arial"/>
          <w:color w:val="262626"/>
        </w:rPr>
        <w:t xml:space="preserve">in </w:t>
      </w:r>
      <w:r>
        <w:rPr>
          <w:rFonts w:ascii="Arial" w:eastAsia="Arial" w:hAnsi="Arial" w:cs="Arial"/>
          <w:color w:val="262626"/>
        </w:rPr>
        <w:t>settler colonialism operates a temporal shift where previously dynamic cultures become fixed as historical curiosities, supporting a settler vision of a post-Indigenous present (Dussel 2013, Barker 2021).</w:t>
      </w:r>
    </w:p>
    <w:p w14:paraId="7C893335" w14:textId="4028FEEB" w:rsidR="009F0C56" w:rsidRDefault="00653842">
      <w:pPr>
        <w:spacing w:before="240" w:after="240" w:line="276" w:lineRule="auto"/>
        <w:rPr>
          <w:rFonts w:ascii="Arial" w:eastAsia="Arial" w:hAnsi="Arial" w:cs="Arial"/>
          <w:color w:val="262626"/>
        </w:rPr>
      </w:pPr>
      <w:r>
        <w:rPr>
          <w:rFonts w:ascii="Arial" w:eastAsia="Arial" w:hAnsi="Arial" w:cs="Arial"/>
          <w:color w:val="262626"/>
        </w:rPr>
        <w:t xml:space="preserve">Berg's (2011) work supports this, </w:t>
      </w:r>
      <w:r w:rsidR="00E40CD6">
        <w:rPr>
          <w:rFonts w:ascii="Arial" w:eastAsia="Arial" w:hAnsi="Arial" w:cs="Arial"/>
          <w:color w:val="262626"/>
        </w:rPr>
        <w:t>as</w:t>
      </w:r>
      <w:r>
        <w:rPr>
          <w:rFonts w:ascii="Arial" w:eastAsia="Arial" w:hAnsi="Arial" w:cs="Arial"/>
          <w:color w:val="262626"/>
        </w:rPr>
        <w:t xml:space="preserve"> he explored how naming works in land dispossession; here, colonial naming will be explored in how it creates a displacement tool against Indigenous communities </w:t>
      </w:r>
      <w:r w:rsidR="00E40CD6">
        <w:rPr>
          <w:rFonts w:ascii="Arial" w:eastAsia="Arial" w:hAnsi="Arial" w:cs="Arial"/>
          <w:color w:val="262626"/>
        </w:rPr>
        <w:t>by</w:t>
      </w:r>
      <w:r>
        <w:rPr>
          <w:rFonts w:ascii="Arial" w:eastAsia="Arial" w:hAnsi="Arial" w:cs="Arial"/>
          <w:color w:val="262626"/>
        </w:rPr>
        <w:t xml:space="preserve"> fixing them to the past. As can be seen in the case of Figures 16 and 17, </w:t>
      </w:r>
      <w:r>
        <w:rPr>
          <w:rFonts w:ascii="Arial" w:eastAsia="Arial" w:hAnsi="Arial" w:cs="Arial"/>
          <w:color w:val="262626"/>
        </w:rPr>
        <w:t xml:space="preserve">colonial naming is utilised to erase the Indigenous presence as contemporary actors on the land, whilst simultaneously fortifying the settler colonial historical claim that settlers have a strong historical claim to the land. </w:t>
      </w:r>
      <w:r w:rsidR="00E40CD6">
        <w:rPr>
          <w:rFonts w:ascii="Arial" w:eastAsia="Arial" w:hAnsi="Arial" w:cs="Arial"/>
          <w:color w:val="262626"/>
        </w:rPr>
        <w:t>They</w:t>
      </w:r>
      <w:r>
        <w:rPr>
          <w:rFonts w:ascii="Arial" w:eastAsia="Arial" w:hAnsi="Arial" w:cs="Arial"/>
          <w:color w:val="262626"/>
        </w:rPr>
        <w:t xml:space="preserve"> have become stewards due to the perceived absence of the Seminole and Miccosukee in settler Indigenous signifiers (Berg 2011). This not only obscures Seminole and Miccosukee resistance to presence in the area, but also epistemologically removes them as present-day political actors. This erasure ties to the legacy of Cartesian dualism, which underpins many Western philosophical traditions. </w:t>
      </w:r>
    </w:p>
    <w:p w14:paraId="367E7BD4" w14:textId="6E78CD1A" w:rsidR="009F0C56" w:rsidRDefault="00653842">
      <w:pPr>
        <w:spacing w:before="240" w:after="240" w:line="276" w:lineRule="auto"/>
        <w:rPr>
          <w:rFonts w:ascii="Arial" w:eastAsia="Arial" w:hAnsi="Arial" w:cs="Arial"/>
        </w:rPr>
      </w:pPr>
      <w:r>
        <w:rPr>
          <w:rFonts w:ascii="Arial" w:eastAsia="Arial" w:hAnsi="Arial" w:cs="Arial"/>
          <w:color w:val="262626"/>
        </w:rPr>
        <w:t>Here, Descartes' separation of mind, body, and nature creates an ontological void that settler society readily occupied. Here, settlers positioned themselves at the centre of knowledge and temporality (Descartes 2013, Grosfoguel 2002). Through this epistemological dominance, settlers gained control over how time is perceived and represented. In this, Figures 16 and 17 serve as visual evidence of this control, where Indigenous history becomes a curated past, disconnected from resistance or contemporary relev</w:t>
      </w:r>
      <w:r>
        <w:rPr>
          <w:rFonts w:ascii="Arial" w:eastAsia="Arial" w:hAnsi="Arial" w:cs="Arial"/>
          <w:color w:val="262626"/>
        </w:rPr>
        <w:t>ance and screened in settler memory (Veracini 2008). H</w:t>
      </w:r>
      <w:r>
        <w:rPr>
          <w:rFonts w:ascii="Arial" w:eastAsia="Arial" w:hAnsi="Arial" w:cs="Arial"/>
        </w:rPr>
        <w:t>ere, this fabricated temporality enables settlers to appropriate cultural markers selectively, as Barker (2021, p. 107) notes</w:t>
      </w:r>
      <w:r w:rsidR="00E40CD6">
        <w:rPr>
          <w:rFonts w:ascii="Arial" w:eastAsia="Arial" w:hAnsi="Arial" w:cs="Arial"/>
        </w:rPr>
        <w:t>:</w:t>
      </w:r>
      <w:r>
        <w:rPr>
          <w:rFonts w:ascii="Arial" w:eastAsia="Arial" w:hAnsi="Arial" w:cs="Arial"/>
        </w:rPr>
        <w:t xml:space="preserve"> settlers have “ambitions to invade Indigenous spaces and to displace/or destroy Indigenous peoples while selectively keeping many of their practices, cultural symbols, and products”.</w:t>
      </w:r>
    </w:p>
    <w:p w14:paraId="2D614C5C" w14:textId="4B2BE072" w:rsidR="009F0C56" w:rsidRDefault="00653842">
      <w:pPr>
        <w:spacing w:before="240" w:after="240" w:line="276" w:lineRule="auto"/>
        <w:rPr>
          <w:rFonts w:ascii="Arial" w:eastAsia="Arial" w:hAnsi="Arial" w:cs="Arial"/>
          <w:color w:val="262626"/>
        </w:rPr>
      </w:pPr>
      <w:r>
        <w:rPr>
          <w:rFonts w:ascii="Arial" w:eastAsia="Arial" w:hAnsi="Arial" w:cs="Arial"/>
        </w:rPr>
        <w:t xml:space="preserve">In this, settlers seek to displace or erase Indigenous peoples while retaining symbolic elements of their culture. Here, names and signs become fragments of settler memory, shaped by screen memories and sustained by temporal blindness (Veracini 2008, Wright-Maley 2021). Functioning as a tool, </w:t>
      </w:r>
      <w:r>
        <w:rPr>
          <w:rFonts w:ascii="Arial" w:eastAsia="Arial" w:hAnsi="Arial" w:cs="Arial"/>
        </w:rPr>
        <w:t xml:space="preserve">the present is rewritten, and Indigenous resistance is </w:t>
      </w:r>
      <w:r>
        <w:rPr>
          <w:rFonts w:ascii="Arial" w:eastAsia="Arial" w:hAnsi="Arial" w:cs="Arial"/>
          <w:color w:val="262626"/>
        </w:rPr>
        <w:t xml:space="preserve">erased as happening. Thus, through the naming practices and visual representations in Figures 16 and 17, the Seminole and Miccosukee are systematically located within a colonial time logic that denies them a contemporary ontological presence (TallBear 2019). In this, settler society constructs a universal truth beyond time and space, which privileges access to the laws of the </w:t>
      </w:r>
      <w:r>
        <w:rPr>
          <w:rFonts w:ascii="Arial" w:eastAsia="Arial" w:hAnsi="Arial" w:cs="Arial"/>
          <w:color w:val="262626"/>
        </w:rPr>
        <w:lastRenderedPageBreak/>
        <w:t>Universe, allowing them domination in their capacity to produce scientific knowledge and theory, which is entirely placed in the mind</w:t>
      </w:r>
      <w:r>
        <w:rPr>
          <w:rFonts w:ascii="Arial" w:eastAsia="Arial" w:hAnsi="Arial" w:cs="Arial"/>
          <w:color w:val="262626"/>
        </w:rPr>
        <w:t xml:space="preserve"> of the Settler (Grosfoguel 2007). This manipulation of time and space through naming, screen memory, and temporal blindness is central to the settler colonial erasure and assimilation of the Seminole and Miccosukee and will be further explored in the next section on how Seminole and Miccosukee are temporally locked in the past.</w:t>
      </w:r>
    </w:p>
    <w:p w14:paraId="08BB1ED2" w14:textId="77777777" w:rsidR="009F0C56" w:rsidRDefault="009F0C56">
      <w:pPr>
        <w:spacing w:before="240" w:after="240"/>
        <w:rPr>
          <w:rFonts w:ascii="Arial" w:eastAsia="Arial" w:hAnsi="Arial" w:cs="Arial"/>
        </w:rPr>
      </w:pPr>
    </w:p>
    <w:p w14:paraId="0D9A1703" w14:textId="77777777" w:rsidR="009F0C56" w:rsidRDefault="00653842">
      <w:pPr>
        <w:spacing w:before="160" w:after="80" w:line="240" w:lineRule="auto"/>
        <w:rPr>
          <w:rFonts w:ascii="Arial" w:eastAsia="Arial" w:hAnsi="Arial" w:cs="Arial"/>
          <w:b/>
          <w:bCs/>
          <w:sz w:val="36"/>
          <w:szCs w:val="36"/>
        </w:rPr>
      </w:pPr>
      <w:r>
        <w:rPr>
          <w:rFonts w:ascii="Arial" w:eastAsia="Arial" w:hAnsi="Arial" w:cs="Arial"/>
          <w:color w:val="0F4761"/>
          <w:sz w:val="32"/>
          <w:szCs w:val="32"/>
        </w:rPr>
        <w:t>8.7 Situating Indigeneity as locked in the past</w:t>
      </w:r>
    </w:p>
    <w:p w14:paraId="6B7194D2" w14:textId="77777777" w:rsidR="009F0C56" w:rsidRDefault="00653842">
      <w:pPr>
        <w:spacing w:before="240" w:after="240" w:line="276" w:lineRule="auto"/>
        <w:rPr>
          <w:rFonts w:ascii="Arial" w:eastAsia="Arial" w:hAnsi="Arial" w:cs="Arial"/>
          <w:color w:val="262626"/>
        </w:rPr>
      </w:pPr>
      <w:r>
        <w:rPr>
          <w:rFonts w:ascii="Arial" w:eastAsia="Arial" w:hAnsi="Arial" w:cs="Arial"/>
          <w:color w:val="262626"/>
        </w:rPr>
        <w:t>Another settler displacement tool that time has utilised to strengthen colonial representations is through the historicising of Indigenous epistemologies. This was done through the use of books in Figures 8 and 18. Which was taken in Miami at Barnes and Noble, the largest chain bookstore in the US. As noted, Barnes and Noble is the largest chain bookshop in the US, which means the publication of these books will be widespread, as Barnes and Noble has approximately 600 shops alongside a large online catalogu</w:t>
      </w:r>
      <w:r>
        <w:rPr>
          <w:rFonts w:ascii="Arial" w:eastAsia="Arial" w:hAnsi="Arial" w:cs="Arial"/>
          <w:color w:val="262626"/>
        </w:rPr>
        <w:t xml:space="preserve">e.    </w:t>
      </w:r>
    </w:p>
    <w:p w14:paraId="7F67281B" w14:textId="77777777" w:rsidR="009F0C56" w:rsidRDefault="00653842">
      <w:pPr>
        <w:spacing w:line="240" w:lineRule="auto"/>
        <w:rPr>
          <w:rFonts w:ascii="Arial" w:eastAsia="Arial" w:hAnsi="Arial" w:cs="Arial"/>
        </w:rPr>
      </w:pPr>
      <w:bookmarkStart w:id="135" w:name="_heading=h.4xszjqu3py4z" w:colFirst="0" w:colLast="0"/>
      <w:bookmarkEnd w:id="135"/>
      <w:r>
        <w:rPr>
          <w:rFonts w:ascii="Arial" w:eastAsia="Arial" w:hAnsi="Arial" w:cs="Arial"/>
          <w:sz w:val="18"/>
          <w:szCs w:val="18"/>
        </w:rPr>
        <w:t>Figure 18 - Barnes and Noble Miami, Indigenous section, 19/07/2023</w:t>
      </w:r>
    </w:p>
    <w:p w14:paraId="337AA2B3" w14:textId="77777777" w:rsidR="009F0C56" w:rsidRDefault="00653842">
      <w:pPr>
        <w:spacing w:line="240" w:lineRule="auto"/>
        <w:rPr>
          <w:rFonts w:ascii="Arial" w:eastAsia="Arial" w:hAnsi="Arial" w:cs="Arial"/>
        </w:rPr>
      </w:pPr>
      <w:r>
        <w:rPr>
          <w:rFonts w:ascii="Arial" w:eastAsia="Arial" w:hAnsi="Arial" w:cs="Arial"/>
          <w:noProof/>
        </w:rPr>
        <w:drawing>
          <wp:inline distT="0" distB="0" distL="0" distR="0" wp14:anchorId="37C59600" wp14:editId="32184363">
            <wp:extent cx="4241800" cy="3263900"/>
            <wp:effectExtent l="0" t="0" r="0" b="0"/>
            <wp:docPr id="1874855882" name="image21.jpg" descr="A shelf of books on a wall&#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1.jpg" descr="A shelf of books on a wall&#10;&#10;Description automatically generated"/>
                    <pic:cNvPicPr preferRelativeResize="0"/>
                  </pic:nvPicPr>
                  <pic:blipFill>
                    <a:blip r:embed="rId29"/>
                    <a:srcRect/>
                    <a:stretch>
                      <a:fillRect/>
                    </a:stretch>
                  </pic:blipFill>
                  <pic:spPr>
                    <a:xfrm>
                      <a:off x="0" y="0"/>
                      <a:ext cx="4241800" cy="3263900"/>
                    </a:xfrm>
                    <a:prstGeom prst="rect">
                      <a:avLst/>
                    </a:prstGeom>
                    <a:ln/>
                  </pic:spPr>
                </pic:pic>
              </a:graphicData>
            </a:graphic>
          </wp:inline>
        </w:drawing>
      </w:r>
    </w:p>
    <w:p w14:paraId="02C06F7E" w14:textId="77777777" w:rsidR="009F0C56" w:rsidRDefault="009F0C56">
      <w:pPr>
        <w:spacing w:line="240" w:lineRule="auto"/>
        <w:rPr>
          <w:rFonts w:ascii="Arial" w:eastAsia="Arial" w:hAnsi="Arial" w:cs="Arial"/>
        </w:rPr>
      </w:pPr>
    </w:p>
    <w:p w14:paraId="2B81ECAC" w14:textId="3B160CE8" w:rsidR="009F0C56" w:rsidRDefault="00653842">
      <w:pPr>
        <w:spacing w:before="240" w:after="240" w:line="276" w:lineRule="auto"/>
        <w:rPr>
          <w:rFonts w:ascii="Arial" w:eastAsia="Arial" w:hAnsi="Arial" w:cs="Arial"/>
        </w:rPr>
      </w:pPr>
      <w:r>
        <w:rPr>
          <w:rFonts w:ascii="Arial" w:eastAsia="Arial" w:hAnsi="Arial" w:cs="Arial"/>
        </w:rPr>
        <w:t xml:space="preserve">Figure 8 shows three books facing forward with red sale stickers, each drawing on homogenised and commodified representations of Indigenous culture. As well as being positioned prominently near the checkouts, all three books followed a similar theme around a homogenised aesthetic notion of Indigenous culture through their coverings, while also creating a crafted settler representation of Indigenous culture (Goeman 2011). Here, settler society, through the imagery used in the books, </w:t>
      </w:r>
      <w:r>
        <w:rPr>
          <w:rFonts w:ascii="Arial" w:eastAsia="Arial" w:hAnsi="Arial" w:cs="Arial"/>
        </w:rPr>
        <w:lastRenderedPageBreak/>
        <w:t>utilised either old photos of Indigenous peoples or inspired imagery such as feathers, sage, and medicine pouches. The use of signs in these images serves as a signifier of a “mythic” Indigenous past, helping to construct what is known as a plastic</w:t>
      </w:r>
      <w:r>
        <w:rPr>
          <w:rFonts w:ascii="Arial" w:eastAsia="Arial" w:hAnsi="Arial" w:cs="Arial"/>
          <w:i/>
          <w:iCs/>
        </w:rPr>
        <w:t xml:space="preserve"> </w:t>
      </w:r>
      <w:r>
        <w:rPr>
          <w:rFonts w:ascii="Arial" w:eastAsia="Arial" w:hAnsi="Arial" w:cs="Arial"/>
        </w:rPr>
        <w:t xml:space="preserve">shamanic narrative. But building on Aldred’s work, </w:t>
      </w:r>
      <w:r>
        <w:rPr>
          <w:rFonts w:ascii="Arial" w:eastAsia="Arial" w:hAnsi="Arial" w:cs="Arial"/>
        </w:rPr>
        <w:t>settler-authored appropriations are viewed as authentic forms of Indigenous knowledge and purchasable (Aldred 2000). In these representations, therefore, screen memories are embodied with an agency, as the books don’t just allude to a reference of Indigeneity; they reframe it within a settler-friendly mythology that narrates the “disappearance” of Indigenous peoples into the background of history. Here, they depict Indigenous culture as fixed in the past, spiritual, and vanished, thereby neutralising any co</w:t>
      </w:r>
      <w:r>
        <w:rPr>
          <w:rFonts w:ascii="Arial" w:eastAsia="Arial" w:hAnsi="Arial" w:cs="Arial"/>
        </w:rPr>
        <w:t xml:space="preserve">ntemporary political or cultural agency (Simpson 2016). </w:t>
      </w:r>
    </w:p>
    <w:p w14:paraId="3261494C" w14:textId="010EEC5A" w:rsidR="009F0C56" w:rsidRDefault="00653842">
      <w:pPr>
        <w:spacing w:before="240" w:after="240" w:line="276" w:lineRule="auto"/>
        <w:rPr>
          <w:rFonts w:ascii="Arial" w:eastAsia="Arial" w:hAnsi="Arial" w:cs="Arial"/>
        </w:rPr>
      </w:pPr>
      <w:r>
        <w:rPr>
          <w:rFonts w:ascii="Arial" w:eastAsia="Arial" w:hAnsi="Arial" w:cs="Arial"/>
        </w:rPr>
        <w:t xml:space="preserve">Through this, the nostalgic constructions of Indigeneity serve settler society by enabling an illusion of respect, while erasing real Indigenous voices and histories. This draws similarities to Simpson's (2016) work on Vancouver, but instead of exploring governmental </w:t>
      </w:r>
      <w:r w:rsidR="00E40CD6">
        <w:rPr>
          <w:rFonts w:ascii="Arial" w:eastAsia="Arial" w:hAnsi="Arial" w:cs="Arial"/>
        </w:rPr>
        <w:t>legislation</w:t>
      </w:r>
      <w:r>
        <w:rPr>
          <w:rFonts w:ascii="Arial" w:eastAsia="Arial" w:hAnsi="Arial" w:cs="Arial"/>
        </w:rPr>
        <w:t xml:space="preserve"> and policies that erase Indigeneity. Here, cultural signifiers that are embedded into the material elements of settler society are noted in the vanishing of Indigeneity, as will be explored during this section, following a deeper analysis of the authors of these books (Diaz-Parra Cordero 2024).</w:t>
      </w:r>
    </w:p>
    <w:p w14:paraId="5945A5AD" w14:textId="7CD0E487" w:rsidR="009F0C56" w:rsidRDefault="00653842">
      <w:pPr>
        <w:spacing w:before="240" w:after="240" w:line="276" w:lineRule="auto"/>
        <w:rPr>
          <w:rFonts w:ascii="Arial" w:eastAsia="Arial" w:hAnsi="Arial" w:cs="Arial"/>
          <w:color w:val="262626"/>
        </w:rPr>
      </w:pPr>
      <w:r>
        <w:rPr>
          <w:rFonts w:ascii="Arial" w:eastAsia="Arial" w:hAnsi="Arial" w:cs="Arial"/>
          <w:color w:val="262626"/>
        </w:rPr>
        <w:t>The authors of these books are</w:t>
      </w:r>
      <w:r w:rsidR="00E40CD6">
        <w:rPr>
          <w:rFonts w:ascii="Arial" w:eastAsia="Arial" w:hAnsi="Arial" w:cs="Arial"/>
          <w:color w:val="262626"/>
        </w:rPr>
        <w:t>,</w:t>
      </w:r>
      <w:r>
        <w:rPr>
          <w:rFonts w:ascii="Arial" w:eastAsia="Arial" w:hAnsi="Arial" w:cs="Arial"/>
          <w:color w:val="262626"/>
        </w:rPr>
        <w:t xml:space="preserve"> in order: Dougherty (a martial arts hobbyist), Baumann (a self-taught animal spirituality writer), and Kelly-Gangi (an editor of Christian quote collections)</w:t>
      </w:r>
      <w:r w:rsidR="00E40CD6">
        <w:rPr>
          <w:rFonts w:ascii="Arial" w:eastAsia="Arial" w:hAnsi="Arial" w:cs="Arial"/>
          <w:color w:val="262626"/>
        </w:rPr>
        <w:t>;</w:t>
      </w:r>
      <w:r>
        <w:rPr>
          <w:rFonts w:ascii="Arial" w:eastAsia="Arial" w:hAnsi="Arial" w:cs="Arial"/>
          <w:color w:val="262626"/>
        </w:rPr>
        <w:t xml:space="preserve"> all have no scholarly or lived connection to Indigenous communities that can be ascertained through available work and biographies (Nunpa 2020). Rather, their authority is constructed, not through relational epistemology or community engagement, but through marketability and commodification. Aligning with Aldred’s (2000) critique and </w:t>
      </w:r>
      <w:r w:rsidR="00E40CD6">
        <w:rPr>
          <w:rFonts w:ascii="Arial" w:eastAsia="Arial" w:hAnsi="Arial" w:cs="Arial"/>
          <w:color w:val="262626"/>
        </w:rPr>
        <w:t>builds</w:t>
      </w:r>
      <w:r>
        <w:rPr>
          <w:rFonts w:ascii="Arial" w:eastAsia="Arial" w:hAnsi="Arial" w:cs="Arial"/>
          <w:color w:val="262626"/>
        </w:rPr>
        <w:t xml:space="preserve"> on it with how settlers commodify Indigenous knowledge for spiritual or aesthetic consumption. Here, these items are used as superficial signifiers of “authenticity” to legitimise settler relations to Indigeneity. </w:t>
      </w:r>
    </w:p>
    <w:p w14:paraId="5FF1B91C" w14:textId="4B3FE997" w:rsidR="009F0C56" w:rsidRDefault="00653842">
      <w:pPr>
        <w:spacing w:before="240" w:after="240" w:line="276" w:lineRule="auto"/>
        <w:rPr>
          <w:rFonts w:ascii="Arial" w:eastAsia="Arial" w:hAnsi="Arial" w:cs="Arial"/>
        </w:rPr>
      </w:pPr>
      <w:r>
        <w:rPr>
          <w:rFonts w:ascii="Arial" w:eastAsia="Arial" w:hAnsi="Arial" w:cs="Arial"/>
        </w:rPr>
        <w:t>Baudrillard notes, “There is a proliferation of myths of origin and signs of reality, of second-hand truth, objectivity, and authenticity.” (Baudrillard 1994. Pg.447) In this, the books in Figure 8 participate in this proliferation of Indigeneity through presenting reified, settler-constructed myths of Indigeneity onto the market as temporal truths. In this, their authority is validated not by Indigenous communities but by their commercial visibility and being sold at the largest bookstore chain in the U.S.</w:t>
      </w:r>
      <w:r>
        <w:rPr>
          <w:rFonts w:ascii="Arial" w:eastAsia="Arial" w:hAnsi="Arial" w:cs="Arial"/>
        </w:rPr>
        <w:t>, thus reinforcing settler cultural dominance over Indigenous epistemologies through corporate colonial actions (Aldred 2000). This is further supported by Figure 18, which reveals the layers of settler memory, as the image shows the only shelf in the bookstore labelled as “Indigenous,” while being placed in the social sciences section. Here, the majority of the texts are of a historical context, which subconsciously reinforces the idea that Indigeneity is located in the past. This, coupled with the inclusi</w:t>
      </w:r>
      <w:r>
        <w:rPr>
          <w:rFonts w:ascii="Arial" w:eastAsia="Arial" w:hAnsi="Arial" w:cs="Arial"/>
        </w:rPr>
        <w:t>on of unrelated books like “</w:t>
      </w:r>
      <w:r>
        <w:rPr>
          <w:rFonts w:ascii="Arial" w:eastAsia="Arial" w:hAnsi="Arial" w:cs="Arial"/>
          <w:i/>
          <w:iCs/>
        </w:rPr>
        <w:t xml:space="preserve">Cannabis for Creatives,” </w:t>
      </w:r>
      <w:r>
        <w:rPr>
          <w:rFonts w:ascii="Arial" w:eastAsia="Arial" w:hAnsi="Arial" w:cs="Arial"/>
        </w:rPr>
        <w:t>which</w:t>
      </w:r>
      <w:r>
        <w:rPr>
          <w:rFonts w:ascii="Arial" w:eastAsia="Arial" w:hAnsi="Arial" w:cs="Arial"/>
          <w:i/>
          <w:iCs/>
        </w:rPr>
        <w:t xml:space="preserve"> </w:t>
      </w:r>
      <w:r>
        <w:rPr>
          <w:rFonts w:ascii="Arial" w:eastAsia="Arial" w:hAnsi="Arial" w:cs="Arial"/>
        </w:rPr>
        <w:t>is</w:t>
      </w:r>
      <w:r>
        <w:rPr>
          <w:rFonts w:ascii="Arial" w:eastAsia="Arial" w:hAnsi="Arial" w:cs="Arial"/>
          <w:i/>
          <w:iCs/>
        </w:rPr>
        <w:t xml:space="preserve"> </w:t>
      </w:r>
      <w:r>
        <w:rPr>
          <w:rFonts w:ascii="Arial" w:eastAsia="Arial" w:hAnsi="Arial" w:cs="Arial"/>
        </w:rPr>
        <w:t xml:space="preserve">shelved nearby, cognitively associates Indigenous cultures with drug use and altered consciousness. </w:t>
      </w:r>
      <w:r>
        <w:rPr>
          <w:rFonts w:ascii="Arial" w:eastAsia="Arial" w:hAnsi="Arial" w:cs="Arial"/>
        </w:rPr>
        <w:lastRenderedPageBreak/>
        <w:t xml:space="preserve">This reflects Aldred’s critique of how settler society selectively misattributed cultural elements to Indigenous peoples in ways that both </w:t>
      </w:r>
      <w:r w:rsidR="00E40CD6">
        <w:rPr>
          <w:rFonts w:ascii="Arial" w:eastAsia="Arial" w:hAnsi="Arial" w:cs="Arial"/>
        </w:rPr>
        <w:t>exoticise</w:t>
      </w:r>
      <w:r>
        <w:rPr>
          <w:rFonts w:ascii="Arial" w:eastAsia="Arial" w:hAnsi="Arial" w:cs="Arial"/>
        </w:rPr>
        <w:t xml:space="preserve"> and depoliticise them, and as Veracini's work helps situate, it </w:t>
      </w:r>
      <w:r>
        <w:rPr>
          <w:rFonts w:ascii="Arial" w:eastAsia="Arial" w:hAnsi="Arial" w:cs="Arial"/>
          <w:color w:val="262626"/>
        </w:rPr>
        <w:t>creates a screen memory that is curated. Working to hide an authentic Indigenous representation of the Seminole and Miccosukee to be present (Veracini 2008).</w:t>
      </w:r>
    </w:p>
    <w:p w14:paraId="57574A27" w14:textId="77777777" w:rsidR="009F0C56" w:rsidRDefault="00653842">
      <w:pPr>
        <w:spacing w:before="240" w:after="240" w:line="240" w:lineRule="auto"/>
        <w:rPr>
          <w:rFonts w:ascii="Arial" w:eastAsia="Arial" w:hAnsi="Arial" w:cs="Arial"/>
        </w:rPr>
      </w:pPr>
      <w:r>
        <w:rPr>
          <w:rFonts w:ascii="Arial" w:eastAsia="Arial" w:hAnsi="Arial" w:cs="Arial"/>
        </w:rPr>
        <w:t>In this settler collusion of asserting the settler Indian, temporal blindness further supports this argument, where settler blindness explains how settler logic displays Indigenous knowledge as not only irrelevant but also made invisible in the present, while also denying the temporal complexities of the Seminole and Miccosukee (Wright-Mayley 2021). Here, Indigenous folk histories, oral traditions, and lived present-day experiences are flattened into a linear narrative of disappearance. Where the framing of</w:t>
      </w:r>
      <w:r>
        <w:rPr>
          <w:rFonts w:ascii="Arial" w:eastAsia="Arial" w:hAnsi="Arial" w:cs="Arial"/>
        </w:rPr>
        <w:t xml:space="preserve"> Indigenous culture is solely represented through spiritual generalities or historical artefacts, as Figures 8 and 18 show, highlighting how settler culture upholds its realities of historicity and progress. Allowing settler society to govern whose knowledge is considered legitimate in their perception of validity, as Grosfoguel (2011) spoke on earlier, noted with epistemic centring. Ultimately, this process further erases the Seminole and Miccosukee’s ability to assert their temporalities and realities. </w:t>
      </w:r>
    </w:p>
    <w:p w14:paraId="4AC491FC" w14:textId="77777777" w:rsidR="009F0C56" w:rsidRDefault="00653842">
      <w:pPr>
        <w:spacing w:before="240" w:after="240" w:line="240" w:lineRule="auto"/>
        <w:rPr>
          <w:rFonts w:ascii="Arial" w:eastAsia="Arial" w:hAnsi="Arial" w:cs="Arial"/>
          <w:color w:val="262626"/>
          <w:highlight w:val="yellow"/>
        </w:rPr>
      </w:pPr>
      <w:r>
        <w:rPr>
          <w:rFonts w:ascii="Arial" w:eastAsia="Arial" w:hAnsi="Arial" w:cs="Arial"/>
        </w:rPr>
        <w:t>This</w:t>
      </w:r>
      <w:r>
        <w:rPr>
          <w:rFonts w:ascii="Arial" w:eastAsia="Arial" w:hAnsi="Arial" w:cs="Arial"/>
          <w:color w:val="008000"/>
        </w:rPr>
        <w:t xml:space="preserve"> </w:t>
      </w:r>
      <w:r>
        <w:rPr>
          <w:rFonts w:ascii="Arial" w:eastAsia="Arial" w:hAnsi="Arial" w:cs="Arial"/>
          <w:color w:val="262626"/>
        </w:rPr>
        <w:t>analysis extends into Figure 18, which shows a commercial shop that adopts a mythicised Indigeneity to market itself as “holistic.” While the shop invokes Indigenous cultural elements to signify authenticity and balance, it ultimately serves settler consumer needs (Aldred 2000). In this, the representation is not grounded in any community accountability or cultural specificity; rather, it operates in what Lukas describes as a “servitude to the second nature”, a constructed reality where Indigenous symbols a</w:t>
      </w:r>
      <w:r>
        <w:rPr>
          <w:rFonts w:ascii="Arial" w:eastAsia="Arial" w:hAnsi="Arial" w:cs="Arial"/>
          <w:color w:val="262626"/>
        </w:rPr>
        <w:t>re circulated as commodities that are detached from their original meanings and functions (Lukas 2017, p. 66). Where, in replacing Indigenous presence with settler-authored representations, screen memory and temporal blindness are noted to be present.  As with Indigenous cultures remembered only in ways that make them commodifiable, a screening in the settler framework allows settler society to obscure historical violence while also maintaining symbolic control over Indigenous identity (Veracini 2008). In t</w:t>
      </w:r>
      <w:r>
        <w:rPr>
          <w:rFonts w:ascii="Arial" w:eastAsia="Arial" w:hAnsi="Arial" w:cs="Arial"/>
          <w:color w:val="262626"/>
        </w:rPr>
        <w:t xml:space="preserve">urn, it creates a curated mythology of Indigeneity that becomes ever embedded in everyday commercial spaces. All working to construct a corporate colonialism that naturalises settler colonial narratives of Indigeneity in all elements of society, suppressing Indigenous agency in the present, which is seen further in Figure 18 below (Veracini 2008). </w:t>
      </w:r>
    </w:p>
    <w:p w14:paraId="722145E3" w14:textId="77777777" w:rsidR="009F0C56" w:rsidRDefault="009F0C56">
      <w:pPr>
        <w:spacing w:before="240" w:after="240" w:line="240" w:lineRule="auto"/>
        <w:rPr>
          <w:rFonts w:ascii="Arial" w:eastAsia="Arial" w:hAnsi="Arial" w:cs="Arial"/>
          <w:sz w:val="18"/>
          <w:szCs w:val="18"/>
        </w:rPr>
      </w:pPr>
      <w:bookmarkStart w:id="136" w:name="_heading=h.o1vgzgbb3eh4" w:colFirst="0" w:colLast="0"/>
      <w:bookmarkEnd w:id="136"/>
    </w:p>
    <w:p w14:paraId="01831166" w14:textId="77777777" w:rsidR="009F0C56" w:rsidRDefault="009F0C56">
      <w:pPr>
        <w:spacing w:before="240" w:after="240" w:line="240" w:lineRule="auto"/>
        <w:rPr>
          <w:rFonts w:ascii="Arial" w:eastAsia="Arial" w:hAnsi="Arial" w:cs="Arial"/>
          <w:sz w:val="18"/>
          <w:szCs w:val="18"/>
        </w:rPr>
      </w:pPr>
    </w:p>
    <w:p w14:paraId="1C3F3A51" w14:textId="77777777" w:rsidR="009F0C56" w:rsidRDefault="009F0C56">
      <w:pPr>
        <w:spacing w:before="240" w:after="240" w:line="240" w:lineRule="auto"/>
        <w:rPr>
          <w:rFonts w:ascii="Arial" w:eastAsia="Arial" w:hAnsi="Arial" w:cs="Arial"/>
          <w:sz w:val="18"/>
          <w:szCs w:val="18"/>
        </w:rPr>
      </w:pPr>
    </w:p>
    <w:p w14:paraId="40ACFB1C" w14:textId="77777777" w:rsidR="009F0C56" w:rsidRDefault="009F0C56">
      <w:pPr>
        <w:spacing w:before="240" w:after="240" w:line="240" w:lineRule="auto"/>
        <w:rPr>
          <w:rFonts w:ascii="Arial" w:eastAsia="Arial" w:hAnsi="Arial" w:cs="Arial"/>
          <w:sz w:val="18"/>
          <w:szCs w:val="18"/>
        </w:rPr>
      </w:pPr>
    </w:p>
    <w:p w14:paraId="472A43AA" w14:textId="77777777" w:rsidR="009F0C56" w:rsidRDefault="009F0C56">
      <w:pPr>
        <w:spacing w:before="240" w:after="240" w:line="240" w:lineRule="auto"/>
        <w:rPr>
          <w:rFonts w:ascii="Arial" w:eastAsia="Arial" w:hAnsi="Arial" w:cs="Arial"/>
          <w:sz w:val="18"/>
          <w:szCs w:val="18"/>
        </w:rPr>
      </w:pPr>
    </w:p>
    <w:p w14:paraId="3B72B4DD" w14:textId="77777777" w:rsidR="009F0C56" w:rsidRDefault="009F0C56">
      <w:pPr>
        <w:spacing w:before="240" w:after="240" w:line="240" w:lineRule="auto"/>
        <w:rPr>
          <w:rFonts w:ascii="Arial" w:eastAsia="Arial" w:hAnsi="Arial" w:cs="Arial"/>
          <w:sz w:val="18"/>
          <w:szCs w:val="18"/>
        </w:rPr>
      </w:pPr>
    </w:p>
    <w:p w14:paraId="3A914F89" w14:textId="77777777" w:rsidR="009F0C56" w:rsidRDefault="009F0C56">
      <w:pPr>
        <w:spacing w:before="240" w:after="240" w:line="240" w:lineRule="auto"/>
        <w:rPr>
          <w:rFonts w:ascii="Arial" w:eastAsia="Arial" w:hAnsi="Arial" w:cs="Arial"/>
          <w:sz w:val="18"/>
          <w:szCs w:val="18"/>
        </w:rPr>
      </w:pPr>
    </w:p>
    <w:p w14:paraId="73A51F05" w14:textId="77777777" w:rsidR="009F0C56" w:rsidRDefault="00653842">
      <w:pPr>
        <w:spacing w:before="240" w:after="240" w:line="240" w:lineRule="auto"/>
        <w:rPr>
          <w:rFonts w:ascii="Arial" w:eastAsia="Arial" w:hAnsi="Arial" w:cs="Arial"/>
          <w:sz w:val="18"/>
          <w:szCs w:val="18"/>
        </w:rPr>
      </w:pPr>
      <w:r>
        <w:rPr>
          <w:rFonts w:ascii="Arial" w:eastAsia="Arial" w:hAnsi="Arial" w:cs="Arial"/>
          <w:sz w:val="18"/>
          <w:szCs w:val="18"/>
        </w:rPr>
        <w:t>Figure 19 – Wynwood district – shop selling Indigenous-inspired wear. 9/07/23</w:t>
      </w:r>
    </w:p>
    <w:p w14:paraId="20A4045F" w14:textId="77777777" w:rsidR="009F0C56" w:rsidRDefault="00653842">
      <w:pPr>
        <w:spacing w:before="240" w:after="240" w:line="240" w:lineRule="auto"/>
        <w:rPr>
          <w:rFonts w:ascii="Arial" w:eastAsia="Arial" w:hAnsi="Arial" w:cs="Arial"/>
        </w:rPr>
      </w:pPr>
      <w:r>
        <w:rPr>
          <w:rFonts w:ascii="Arial" w:eastAsia="Arial" w:hAnsi="Arial" w:cs="Arial"/>
          <w:noProof/>
        </w:rPr>
        <w:lastRenderedPageBreak/>
        <w:drawing>
          <wp:inline distT="0" distB="0" distL="0" distR="0" wp14:anchorId="67DDE815" wp14:editId="471D5388">
            <wp:extent cx="4546600" cy="3067050"/>
            <wp:effectExtent l="0" t="0" r="0" b="0"/>
            <wp:docPr id="1874855883" name="image20.jpg" descr="A building with a sign on the sid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0.jpg" descr="A building with a sign on the side&#10;&#10;Description automatically generated"/>
                    <pic:cNvPicPr preferRelativeResize="0"/>
                  </pic:nvPicPr>
                  <pic:blipFill>
                    <a:blip r:embed="rId30"/>
                    <a:srcRect/>
                    <a:stretch>
                      <a:fillRect/>
                    </a:stretch>
                  </pic:blipFill>
                  <pic:spPr>
                    <a:xfrm>
                      <a:off x="0" y="0"/>
                      <a:ext cx="4546600" cy="3067050"/>
                    </a:xfrm>
                    <a:prstGeom prst="rect">
                      <a:avLst/>
                    </a:prstGeom>
                    <a:ln/>
                  </pic:spPr>
                </pic:pic>
              </a:graphicData>
            </a:graphic>
          </wp:inline>
        </w:drawing>
      </w:r>
    </w:p>
    <w:p w14:paraId="4F48663C" w14:textId="05383BC5" w:rsidR="009F0C56" w:rsidRDefault="00653842">
      <w:pPr>
        <w:spacing w:before="240" w:after="240" w:line="276" w:lineRule="auto"/>
        <w:rPr>
          <w:rFonts w:ascii="Arial" w:eastAsia="Arial" w:hAnsi="Arial" w:cs="Arial"/>
          <w:color w:val="262626"/>
        </w:rPr>
      </w:pPr>
      <w:r>
        <w:rPr>
          <w:rFonts w:ascii="Arial" w:eastAsia="Arial" w:hAnsi="Arial" w:cs="Arial"/>
        </w:rPr>
        <w:t xml:space="preserve">In Figure 19, the use of the term </w:t>
      </w:r>
      <w:r>
        <w:rPr>
          <w:rFonts w:ascii="Arial" w:eastAsia="Arial" w:hAnsi="Arial" w:cs="Arial"/>
          <w:i/>
          <w:iCs/>
        </w:rPr>
        <w:t>“</w:t>
      </w:r>
      <w:r>
        <w:rPr>
          <w:rFonts w:ascii="Arial" w:eastAsia="Arial" w:hAnsi="Arial" w:cs="Arial"/>
        </w:rPr>
        <w:t>Tribe</w:t>
      </w:r>
      <w:r>
        <w:rPr>
          <w:rFonts w:ascii="Arial" w:eastAsia="Arial" w:hAnsi="Arial" w:cs="Arial"/>
          <w:i/>
          <w:iCs/>
        </w:rPr>
        <w:t>”</w:t>
      </w:r>
      <w:r>
        <w:rPr>
          <w:rFonts w:ascii="Arial" w:eastAsia="Arial" w:hAnsi="Arial" w:cs="Arial"/>
          <w:color w:val="008000"/>
        </w:rPr>
        <w:t xml:space="preserve"> </w:t>
      </w:r>
      <w:r>
        <w:rPr>
          <w:rFonts w:ascii="Arial" w:eastAsia="Arial" w:hAnsi="Arial" w:cs="Arial"/>
          <w:color w:val="262626"/>
        </w:rPr>
        <w:t>exemplifies how settler colonialism commodifies signifiers of Indigeneity</w:t>
      </w:r>
      <w:r>
        <w:rPr>
          <w:rFonts w:ascii="Arial" w:eastAsia="Arial" w:hAnsi="Arial" w:cs="Arial"/>
          <w:color w:val="262626"/>
        </w:rPr>
        <w:t xml:space="preserve"> by stripping them of their original meaning and re-embedding them into white-liberal consumer culture located in the past (Aldred 2000). Drawing from Lukas's work on reification (2017), the term </w:t>
      </w:r>
      <w:r>
        <w:rPr>
          <w:rFonts w:ascii="Arial" w:eastAsia="Arial" w:hAnsi="Arial" w:cs="Arial"/>
          <w:i/>
          <w:iCs/>
          <w:color w:val="262626"/>
        </w:rPr>
        <w:t>‘</w:t>
      </w:r>
      <w:r>
        <w:rPr>
          <w:rFonts w:ascii="Arial" w:eastAsia="Arial" w:hAnsi="Arial" w:cs="Arial"/>
          <w:color w:val="262626"/>
        </w:rPr>
        <w:t xml:space="preserve">Tribe’ was once without intrinsic commodity value, but through images such as Figure 19, has become embedded with economic and symbolic capital. In this, through commodification, the term “tribe” no longer relates to sovereign Indigenous communities, but has been transformed into a flexible marketing tool to signify community, spirituality, or lifestyle (Aldred 2000). </w:t>
      </w:r>
    </w:p>
    <w:p w14:paraId="2786EEB4" w14:textId="689F3BEB" w:rsidR="009F0C56" w:rsidRDefault="00653842">
      <w:pPr>
        <w:spacing w:before="240" w:after="240" w:line="276" w:lineRule="auto"/>
        <w:rPr>
          <w:rFonts w:ascii="Arial" w:eastAsia="Arial" w:hAnsi="Arial" w:cs="Arial"/>
        </w:rPr>
      </w:pPr>
      <w:r>
        <w:rPr>
          <w:rFonts w:ascii="Arial" w:eastAsia="Arial" w:hAnsi="Arial" w:cs="Arial"/>
        </w:rPr>
        <w:t xml:space="preserve">This shift allows settler society to control and screen the term according to market desires. This is identified as part of a broader plastic shamanic settler tradition, where spiritual and cultural elements drawn from Indigenous lifeways are appropriated and repackaged for settler consumption through language. In the context of Figure 19, </w:t>
      </w:r>
      <w:r>
        <w:rPr>
          <w:rFonts w:ascii="Arial" w:eastAsia="Arial" w:hAnsi="Arial" w:cs="Arial"/>
          <w:i/>
          <w:iCs/>
        </w:rPr>
        <w:t>“</w:t>
      </w:r>
      <w:r>
        <w:rPr>
          <w:rFonts w:ascii="Arial" w:eastAsia="Arial" w:hAnsi="Arial" w:cs="Arial"/>
        </w:rPr>
        <w:t>Tribe</w:t>
      </w:r>
      <w:r>
        <w:rPr>
          <w:rFonts w:ascii="Arial" w:eastAsia="Arial" w:hAnsi="Arial" w:cs="Arial"/>
          <w:i/>
          <w:iCs/>
          <w:color w:val="262626"/>
        </w:rPr>
        <w:t>”</w:t>
      </w:r>
      <w:r>
        <w:rPr>
          <w:rFonts w:ascii="Arial" w:eastAsia="Arial" w:hAnsi="Arial" w:cs="Arial"/>
          <w:color w:val="262626"/>
        </w:rPr>
        <w:t xml:space="preserve"> operates as a linguistic and cultural screen. That works in alienating the material realities of Indigenous communities and replacing them with settler fantasies of unity, healing, and belonging (Aldred 2000). This alienation screens the ongoing effects of settler colonialism, where the consumer is offered a feel-good abstraction and is disembodied from accountability or relation. In this, corporate colonialism has positioned this style of store as ethical, selectively promoting elements of Indigenous cult</w:t>
      </w:r>
      <w:r>
        <w:rPr>
          <w:rFonts w:ascii="Arial" w:eastAsia="Arial" w:hAnsi="Arial" w:cs="Arial"/>
          <w:color w:val="262626"/>
        </w:rPr>
        <w:t>ure, such as the term “tribe”</w:t>
      </w:r>
      <w:r w:rsidR="00E40CD6">
        <w:rPr>
          <w:rFonts w:ascii="Arial" w:eastAsia="Arial" w:hAnsi="Arial" w:cs="Arial"/>
          <w:color w:val="262626"/>
        </w:rPr>
        <w:t>,</w:t>
      </w:r>
      <w:r>
        <w:rPr>
          <w:rFonts w:ascii="Arial" w:eastAsia="Arial" w:hAnsi="Arial" w:cs="Arial"/>
          <w:color w:val="262626"/>
        </w:rPr>
        <w:t xml:space="preserve"> that does not challenge the settler status quo of temporal linearity (Lightfoot 2012, Veracini 2008)</w:t>
      </w:r>
    </w:p>
    <w:p w14:paraId="7E80403C" w14:textId="5603FBB6" w:rsidR="009F0C56" w:rsidRDefault="00653842">
      <w:pPr>
        <w:spacing w:before="240" w:after="240" w:line="276" w:lineRule="auto"/>
        <w:rPr>
          <w:rFonts w:ascii="Arial" w:eastAsia="Arial" w:hAnsi="Arial" w:cs="Arial"/>
          <w:color w:val="262626"/>
        </w:rPr>
      </w:pPr>
      <w:r>
        <w:rPr>
          <w:rFonts w:ascii="Arial" w:eastAsia="Arial" w:hAnsi="Arial" w:cs="Arial"/>
        </w:rPr>
        <w:t xml:space="preserve">Through these lenses, settler engagements with the term “Tribe” reflect a flattened temporality where Indigenous cultures are assumed to exist either in a distant past or only as relics revived by settler intervention (Lightfoot 2012). In this, a disavowal of contemporary Indigenous agency is constructed where settler society positions itself not as a violent colonial force, but as a guardian of a culture that it presumes to have </w:t>
      </w:r>
      <w:r>
        <w:rPr>
          <w:rFonts w:ascii="Arial" w:eastAsia="Arial" w:hAnsi="Arial" w:cs="Arial"/>
        </w:rPr>
        <w:lastRenderedPageBreak/>
        <w:t>vanished or become fragmented. This framing is not just a rhetorical move;</w:t>
      </w:r>
      <w:r>
        <w:rPr>
          <w:rFonts w:ascii="Arial" w:eastAsia="Arial" w:hAnsi="Arial" w:cs="Arial"/>
          <w:color w:val="008000"/>
        </w:rPr>
        <w:t xml:space="preserve"> </w:t>
      </w:r>
      <w:r>
        <w:rPr>
          <w:rFonts w:ascii="Arial" w:eastAsia="Arial" w:hAnsi="Arial" w:cs="Arial"/>
          <w:color w:val="262626"/>
        </w:rPr>
        <w:t xml:space="preserve">it works to legitimise settler authority over the very epistemes it has historically marginalised. This relates to Simpson (2016) and Nani’s (2011) work on Indigeneity, vanishing, and timelessness, through </w:t>
      </w:r>
      <w:r>
        <w:rPr>
          <w:rFonts w:ascii="Arial" w:eastAsia="Arial" w:hAnsi="Arial" w:cs="Arial"/>
          <w:color w:val="262626"/>
        </w:rPr>
        <w:t>state-structured legislative policies. However, building on Simpson's work highlights how settler colonialism is not bound to state-manufactured forms of coloniality. Rather, in this analysis, it identifies how everyday citizens and businesses also participate in the settler colonial manufacturing of settler structures of oppression (Veracini 2008). In this, the fluidity of colonial assertion on time operates as a settler colonial tool in asserting and manipulating Indigenous representations to allow the “s</w:t>
      </w:r>
      <w:r>
        <w:rPr>
          <w:rFonts w:ascii="Arial" w:eastAsia="Arial" w:hAnsi="Arial" w:cs="Arial"/>
          <w:color w:val="262626"/>
        </w:rPr>
        <w:t xml:space="preserve">ettler people do not intend to destroy either the material or cultural manifestations of Indigeneity that they encounter in place. Rather, settler colonizers seek to preserve particular elements as a form of primitive accumulation to settler colonialism” (Barker, 2021: 105). </w:t>
      </w:r>
    </w:p>
    <w:p w14:paraId="192D3DA1" w14:textId="77777777" w:rsidR="009F0C56" w:rsidRDefault="00653842">
      <w:pPr>
        <w:spacing w:before="240" w:after="240" w:line="276" w:lineRule="auto"/>
        <w:rPr>
          <w:rFonts w:ascii="Arial" w:eastAsia="Arial" w:hAnsi="Arial" w:cs="Arial"/>
        </w:rPr>
      </w:pPr>
      <w:r>
        <w:rPr>
          <w:rFonts w:ascii="Arial" w:eastAsia="Arial" w:hAnsi="Arial" w:cs="Arial"/>
          <w:color w:val="262626"/>
        </w:rPr>
        <w:t xml:space="preserve">Barker's quote here draws back to the commodification chapter. Where the appropriation of Indigenous culture is undertaken to draw surplus value from Indigeneity, here Barker’s work helps to build the image of how settler society adopts particular elements in this case of Indigenous history, to commercialise it and reify it as lost knowledge. Here, this settler preservation serves the purpose of reducing the contemporary presence of the Seminole and Miccosukee, through further locating these communities in </w:t>
      </w:r>
      <w:r>
        <w:rPr>
          <w:rFonts w:ascii="Arial" w:eastAsia="Arial" w:hAnsi="Arial" w:cs="Arial"/>
          <w:color w:val="262626"/>
        </w:rPr>
        <w:t>the past, through creating a bricolage or Indigenous realities that lock the Seminole and Miccosukee through the books as homogenised and locked in the past.  Therefore, in this, the settler performs a dual function of alienating the settler publics from real Indigenous relationships, while simultaneously setting settler society as the entrance of how to begin and engage with Indigeneity (Barker 2021). Through reifying these settler screens of Indigenous histories, objects, and symbols, it positions these s</w:t>
      </w:r>
      <w:r>
        <w:rPr>
          <w:rFonts w:ascii="Arial" w:eastAsia="Arial" w:hAnsi="Arial" w:cs="Arial"/>
          <w:color w:val="262626"/>
        </w:rPr>
        <w:t xml:space="preserve">ame cultures as past-tense. Thus, Figure 18, and the act of naming and marketing of “Tribe” becomes a cognitive and temporal form of settler colonialism. In this, the settler engages </w:t>
      </w:r>
      <w:r>
        <w:rPr>
          <w:rFonts w:ascii="Arial" w:eastAsia="Arial" w:hAnsi="Arial" w:cs="Arial"/>
        </w:rPr>
        <w:t xml:space="preserve">with Indigeneity in a temporally settler constructed ideology that renders the Seminole and Miccosukee as “invisible” as they do not conform to the stylised settler representations of Indigeneity that these figures replicate (Barker 2021, Simpson 2016). </w:t>
      </w:r>
    </w:p>
    <w:p w14:paraId="77A1F877" w14:textId="77777777" w:rsidR="009F0C56" w:rsidRDefault="00653842">
      <w:pPr>
        <w:spacing w:before="240" w:after="240" w:line="276" w:lineRule="auto"/>
        <w:rPr>
          <w:rFonts w:ascii="Arial" w:eastAsia="Arial" w:hAnsi="Arial" w:cs="Arial"/>
        </w:rPr>
      </w:pPr>
      <w:r>
        <w:rPr>
          <w:rFonts w:ascii="Arial" w:eastAsia="Arial" w:hAnsi="Arial" w:cs="Arial"/>
        </w:rPr>
        <w:t>Thus, the co-option of “Tribe” is not a misrepresentation; it is a settler-colonial tactic that masks dispossession as cultural appreciation, reinforcing the illusion that Indigenous presence is static, dependent, or extinct unless actively revived through settler frameworks (Keene et al, 2024; Simpson, 2016). In doing this, settler societies can sustain the settler temporal and cultural hegemony they have crafted through the commodified essence of the settler Indian.</w:t>
      </w:r>
    </w:p>
    <w:p w14:paraId="1BC5E92A" w14:textId="77777777" w:rsidR="009F0C56" w:rsidRDefault="009F0C56">
      <w:pPr>
        <w:spacing w:before="240" w:after="240" w:line="240" w:lineRule="auto"/>
        <w:rPr>
          <w:rFonts w:ascii="Arial" w:eastAsia="Arial" w:hAnsi="Arial" w:cs="Arial"/>
        </w:rPr>
      </w:pPr>
    </w:p>
    <w:p w14:paraId="128EB485" w14:textId="77777777" w:rsidR="009F0C56" w:rsidRDefault="009F0C56">
      <w:pPr>
        <w:spacing w:before="160" w:after="80" w:line="240" w:lineRule="auto"/>
        <w:rPr>
          <w:rFonts w:ascii="Arial" w:eastAsia="Arial" w:hAnsi="Arial" w:cs="Arial"/>
          <w:color w:val="0F4761"/>
          <w:sz w:val="32"/>
          <w:szCs w:val="32"/>
        </w:rPr>
      </w:pPr>
    </w:p>
    <w:p w14:paraId="07B01801" w14:textId="77777777" w:rsidR="009F0C56" w:rsidRDefault="00653842">
      <w:pPr>
        <w:spacing w:before="160" w:after="80" w:line="240" w:lineRule="auto"/>
        <w:rPr>
          <w:rFonts w:ascii="Arial" w:eastAsia="Arial" w:hAnsi="Arial" w:cs="Arial"/>
          <w:b/>
          <w:bCs/>
          <w:sz w:val="36"/>
          <w:szCs w:val="36"/>
        </w:rPr>
      </w:pPr>
      <w:r>
        <w:rPr>
          <w:rFonts w:ascii="Arial" w:eastAsia="Arial" w:hAnsi="Arial" w:cs="Arial"/>
          <w:color w:val="0F4761"/>
          <w:sz w:val="32"/>
          <w:szCs w:val="32"/>
        </w:rPr>
        <w:t>8.8 Colonial claims of history</w:t>
      </w:r>
    </w:p>
    <w:p w14:paraId="09958EFF" w14:textId="77777777" w:rsidR="009F0C56" w:rsidRDefault="00653842">
      <w:pPr>
        <w:spacing w:before="240" w:after="240" w:line="276" w:lineRule="auto"/>
        <w:rPr>
          <w:rFonts w:ascii="Arial" w:eastAsia="Arial" w:hAnsi="Arial" w:cs="Arial"/>
        </w:rPr>
      </w:pPr>
      <w:r>
        <w:rPr>
          <w:rFonts w:ascii="Arial" w:eastAsia="Arial" w:hAnsi="Arial" w:cs="Arial"/>
        </w:rPr>
        <w:lastRenderedPageBreak/>
        <w:t>In Figure 8, the use of sepia tones across the three books serves a critical function in constructing the illusion of wisdom being held within the books. The sepia aesthetic, commonly associated with age and historical significance, functions as a visual strategy to evoke nostalgia and imbue the books with a sense of temporal distance, creating a temporal screen (Veracini 2008). This aesthetic device is not neutral; it plays into colonial hierarchies of knowledge by marketing non-Western epistemes as pre-mo</w:t>
      </w:r>
      <w:r>
        <w:rPr>
          <w:rFonts w:ascii="Arial" w:eastAsia="Arial" w:hAnsi="Arial" w:cs="Arial"/>
        </w:rPr>
        <w:t xml:space="preserve">dern or archaic. In this, the sepia does more than suggest age; it becomes a tool of temporal dislocation, it cognitively situates Indigenous knowledge in a romanticised past rather than the present or future (Okazaki 1994). </w:t>
      </w:r>
    </w:p>
    <w:p w14:paraId="499B7BB1" w14:textId="77777777" w:rsidR="009F0C56" w:rsidRDefault="00653842">
      <w:pPr>
        <w:spacing w:before="240" w:after="240" w:line="276" w:lineRule="auto"/>
        <w:rPr>
          <w:rFonts w:ascii="Arial" w:eastAsia="Arial" w:hAnsi="Arial" w:cs="Arial"/>
        </w:rPr>
      </w:pPr>
      <w:r>
        <w:rPr>
          <w:rFonts w:ascii="Arial" w:eastAsia="Arial" w:hAnsi="Arial" w:cs="Arial"/>
        </w:rPr>
        <w:t>Here, Mignolo’s critique of epistemic coloniality and Wright-Maley’s work on Indigenous knowledge systems work in conjunction with what Mategui (1971) observed in Peru: with what he called literary perrichlismo or, going forward, what I will call romantic bricolage, which is constructed from fragments of Indigenous histories, but crafted to appeal to non-Indigenous audiences, similarly distorting real Indigenous realities with settler-constructed ideals of the “Indian”</w:t>
      </w:r>
      <w:r>
        <w:rPr>
          <w:rFonts w:ascii="Arial" w:eastAsia="Arial" w:hAnsi="Arial" w:cs="Arial"/>
          <w:vertAlign w:val="superscript"/>
        </w:rPr>
        <w:footnoteReference w:id="12"/>
      </w:r>
      <w:r>
        <w:rPr>
          <w:rFonts w:ascii="Arial" w:eastAsia="Arial" w:hAnsi="Arial" w:cs="Arial"/>
        </w:rPr>
        <w:t>. In this, the sepia in these books creates a settler fantasy of a lost, mystical knowledge through a romantic bricolage. Through this, settler society reifies Indigenous wisdom as static, aestheticized, or as artefacts through the illusion of age (Simpson 2016). In this settler societies manufacture the appearance of authenticity while reinforcing the idea that Indigenous cultures are temporally othered, and therefore no longer part of the living present, unless bought through items shown in Figure 8 (Wate</w:t>
      </w:r>
      <w:r>
        <w:rPr>
          <w:rFonts w:ascii="Arial" w:eastAsia="Arial" w:hAnsi="Arial" w:cs="Arial"/>
        </w:rPr>
        <w:t>rs 2004).</w:t>
      </w:r>
    </w:p>
    <w:p w14:paraId="6CE511D6" w14:textId="77777777" w:rsidR="009F0C56" w:rsidRDefault="00653842">
      <w:pPr>
        <w:spacing w:before="240" w:after="240" w:line="276" w:lineRule="auto"/>
        <w:rPr>
          <w:rFonts w:ascii="Arial" w:eastAsia="Arial" w:hAnsi="Arial" w:cs="Arial"/>
          <w:color w:val="262626"/>
        </w:rPr>
      </w:pPr>
      <w:r>
        <w:rPr>
          <w:rFonts w:ascii="Arial" w:eastAsia="Arial" w:hAnsi="Arial" w:cs="Arial"/>
          <w:color w:val="262626"/>
        </w:rPr>
        <w:t>In this, the use of sepia is a settler colonial tool used to displace Indigenous presence through the third space of sovereignty, a zone where Indigenous presence is tolerated only when safely contained within settler temporal narratives, thus, they are neither within U.S. society nor completely dislocated from it (Bruyneel 2007). This draws back to the commodification chapter, where the use of sepia-toned book covers becomes a visual screen memory presenting a selective recollection that suppresses the con</w:t>
      </w:r>
      <w:r>
        <w:rPr>
          <w:rFonts w:ascii="Arial" w:eastAsia="Arial" w:hAnsi="Arial" w:cs="Arial"/>
          <w:color w:val="262626"/>
        </w:rPr>
        <w:t xml:space="preserve">temporary existence of Indigenous nations, like the Seminole and Miccosukee (Veracini, 2010). Instead, rendering them not only in Bruyneel’s work politically and legislatively in the third space, but also culturally separate, but attached to the U.S. settler state. </w:t>
      </w:r>
    </w:p>
    <w:p w14:paraId="2AEA2519" w14:textId="77777777" w:rsidR="009F0C56" w:rsidRDefault="00653842">
      <w:pPr>
        <w:spacing w:before="240" w:after="240" w:line="276" w:lineRule="auto"/>
        <w:rPr>
          <w:rFonts w:ascii="Arial" w:eastAsia="Arial" w:hAnsi="Arial" w:cs="Arial"/>
          <w:color w:val="262626"/>
        </w:rPr>
      </w:pPr>
      <w:r>
        <w:rPr>
          <w:rFonts w:ascii="Arial" w:eastAsia="Arial" w:hAnsi="Arial" w:cs="Arial"/>
          <w:color w:val="262626"/>
        </w:rPr>
        <w:t xml:space="preserve">In this way, the books encourage the reader to view Indigeneity as a subject of history, not as a living, dynamic presence with political and cultural agency today. Thus, the erasure of the books also privileges the written word over oral histories. This supports the pattern of western epistemology elevating textual authority above other forms of knowing (Grosfoguel 2011). Here, this bias delegitimises the oral </w:t>
      </w:r>
      <w:r>
        <w:rPr>
          <w:rFonts w:ascii="Arial" w:eastAsia="Arial" w:hAnsi="Arial" w:cs="Arial"/>
          <w:color w:val="262626"/>
        </w:rPr>
        <w:lastRenderedPageBreak/>
        <w:t xml:space="preserve">traditions central to Seminole and Miccosukee communities. With figures like Betty Mae Jumper, an oral historian and community leader, who is rendered epistemically peripheral within discourse on Indigeneity. Including that around Seminole and Miccosukee, compared to the settler-authored books, which are positioned as vessels of “authentic” Indigenous knowledge. This draws on the broader Cartesian logic that Castro-Gómez (2007) critiques in his theory of point zero, wherein the Euro-Western subject becomes </w:t>
      </w:r>
      <w:r>
        <w:rPr>
          <w:rFonts w:ascii="Arial" w:eastAsia="Arial" w:hAnsi="Arial" w:cs="Arial"/>
          <w:color w:val="262626"/>
        </w:rPr>
        <w:t>the default epistemic authority overall. In this, the use of the sepia filter is a direct way of locking Indigenous epistemes into the past and centring in the consciousness of society that settler society is in control over the temporality and truth of Indigeneity.</w:t>
      </w:r>
    </w:p>
    <w:p w14:paraId="739DE85A" w14:textId="43AEDC08" w:rsidR="009F0C56" w:rsidRDefault="00653842">
      <w:pPr>
        <w:spacing w:before="240" w:after="240" w:line="276" w:lineRule="auto"/>
        <w:rPr>
          <w:rFonts w:ascii="Arial" w:eastAsia="Arial" w:hAnsi="Arial" w:cs="Arial"/>
          <w:color w:val="262626"/>
        </w:rPr>
      </w:pPr>
      <w:r>
        <w:rPr>
          <w:rFonts w:ascii="Arial" w:eastAsia="Arial" w:hAnsi="Arial" w:cs="Arial"/>
          <w:color w:val="262626"/>
        </w:rPr>
        <w:t xml:space="preserve">Therefore, </w:t>
      </w:r>
      <w:r w:rsidR="00E40CD6">
        <w:rPr>
          <w:rFonts w:ascii="Arial" w:eastAsia="Arial" w:hAnsi="Arial" w:cs="Arial"/>
          <w:color w:val="262626"/>
        </w:rPr>
        <w:t>Figure</w:t>
      </w:r>
      <w:r>
        <w:rPr>
          <w:rFonts w:ascii="Arial" w:eastAsia="Arial" w:hAnsi="Arial" w:cs="Arial"/>
          <w:color w:val="262626"/>
        </w:rPr>
        <w:t xml:space="preserve"> 8 is an ontological move</w:t>
      </w:r>
      <w:r w:rsidR="00E40CD6">
        <w:rPr>
          <w:rFonts w:ascii="Arial" w:eastAsia="Arial" w:hAnsi="Arial" w:cs="Arial"/>
          <w:color w:val="262626"/>
        </w:rPr>
        <w:t>,</w:t>
      </w:r>
      <w:r>
        <w:rPr>
          <w:rFonts w:ascii="Arial" w:eastAsia="Arial" w:hAnsi="Arial" w:cs="Arial"/>
          <w:color w:val="262626"/>
        </w:rPr>
        <w:t xml:space="preserve"> as by appropriating the aesthetic signifiers of Indigeneity, such as sepia tones, feathers, and language, settler society is rearticulating the selective preservation and commodification of Indigenous culture for settler benefit (Daigle 2024). In this, the visual construction of the books in Figure 1 performs this accumulation by </w:t>
      </w:r>
      <w:r w:rsidR="00E40CD6">
        <w:rPr>
          <w:rFonts w:ascii="Arial" w:eastAsia="Arial" w:hAnsi="Arial" w:cs="Arial"/>
          <w:color w:val="262626"/>
        </w:rPr>
        <w:t>decontextualising</w:t>
      </w:r>
      <w:r>
        <w:rPr>
          <w:rFonts w:ascii="Arial" w:eastAsia="Arial" w:hAnsi="Arial" w:cs="Arial"/>
          <w:color w:val="262626"/>
        </w:rPr>
        <w:t xml:space="preserve"> and erasing Indigenous culture, rendering it into a consumable figure that functions as a settler aesthetic device of forgetting, facilitating temporal blindness (Wright-Maley 2021). </w:t>
      </w:r>
      <w:r w:rsidR="00E40CD6">
        <w:rPr>
          <w:rFonts w:ascii="Arial" w:eastAsia="Arial" w:hAnsi="Arial" w:cs="Arial"/>
          <w:color w:val="262626"/>
        </w:rPr>
        <w:t>The</w:t>
      </w:r>
      <w:r>
        <w:rPr>
          <w:rFonts w:ascii="Arial" w:eastAsia="Arial" w:hAnsi="Arial" w:cs="Arial"/>
          <w:color w:val="262626"/>
        </w:rPr>
        <w:t xml:space="preserve"> application of sepia operates subconsciously as a human-human relation, capitalising on Barker's (2021) noted elements of Indigenous culture being extracted and preserved for settler colonial needs. </w:t>
      </w:r>
    </w:p>
    <w:p w14:paraId="0BE7AE59" w14:textId="77777777" w:rsidR="009F0C56" w:rsidRDefault="00653842">
      <w:pPr>
        <w:spacing w:before="240" w:after="240" w:line="276" w:lineRule="auto"/>
        <w:rPr>
          <w:rFonts w:ascii="Arial" w:eastAsia="Arial" w:hAnsi="Arial" w:cs="Arial"/>
        </w:rPr>
      </w:pPr>
      <w:r>
        <w:rPr>
          <w:rFonts w:ascii="Arial" w:eastAsia="Arial" w:hAnsi="Arial" w:cs="Arial"/>
        </w:rPr>
        <w:t>Therefore, this aesthetic and epistemic positioning is not merely symbolic; it has material consequences. As such, visually and conceptually locating Indigeneity in the past, these representations obscure the presence, agency, and sovereignty of contemporary Indigenous peoples, creating a romantic bricolage of representations. As Estes (2019) and Waters (2004) argue, this style of temporal displacement is a deliberate colonial strategy that undermines Indigenous futures and precludes the possibility of self</w:t>
      </w:r>
      <w:r>
        <w:rPr>
          <w:rFonts w:ascii="Arial" w:eastAsia="Arial" w:hAnsi="Arial" w:cs="Arial"/>
        </w:rPr>
        <w:t>-determined narratives. Thus, sepia is not merely an aesthetic choice</w:t>
      </w:r>
      <w:r>
        <w:rPr>
          <w:rFonts w:ascii="Arial" w:eastAsia="Arial" w:hAnsi="Arial" w:cs="Arial"/>
          <w:color w:val="262626"/>
        </w:rPr>
        <w:t xml:space="preserve">; it is a settler colonial instrument that operates within a broader system of visual and discursive control that transforms Indigenous knowledge into a consumable relic while still upholding settler society as both the curator and guardian of that past. In doing so, it erases not only the complexity of Indigenous histories but also the realities of Indigenous presence and </w:t>
      </w:r>
      <w:r>
        <w:rPr>
          <w:rFonts w:ascii="Arial" w:eastAsia="Arial" w:hAnsi="Arial" w:cs="Arial"/>
        </w:rPr>
        <w:t>futures. This builds on arguments made through the homogenisation and commodification chapter and shows the interlocking structures of power that function in solidifying, in all aspects of representation, the core position of settler society in controlling Indigenous representations.</w:t>
      </w:r>
    </w:p>
    <w:p w14:paraId="5218444D" w14:textId="3A8D20B2" w:rsidR="009F0C56" w:rsidRDefault="00653842">
      <w:pPr>
        <w:spacing w:before="240" w:after="240" w:line="276" w:lineRule="auto"/>
        <w:rPr>
          <w:rFonts w:ascii="Arial" w:eastAsia="Arial" w:hAnsi="Arial" w:cs="Arial"/>
          <w:color w:val="262626"/>
        </w:rPr>
      </w:pPr>
      <w:r>
        <w:rPr>
          <w:rFonts w:ascii="Arial" w:eastAsia="Arial" w:hAnsi="Arial" w:cs="Arial"/>
          <w:color w:val="262626"/>
        </w:rPr>
        <w:t>In this, the colonial application of temporally locating Indigeneity in a fluid process</w:t>
      </w:r>
      <w:r>
        <w:rPr>
          <w:rFonts w:ascii="Arial" w:eastAsia="Arial" w:hAnsi="Arial" w:cs="Arial"/>
          <w:color w:val="262626"/>
        </w:rPr>
        <w:t xml:space="preserve"> emphasises how Indigenous communities are placed in situ with the past, working to erase their historical past, present, and future. This placement, therefore, consciously works to dismantle the ability of the Seminole and Miccosukee to narrate their own story, as not historically located in the past or monolithic, but individual and </w:t>
      </w:r>
      <w:r>
        <w:rPr>
          <w:rFonts w:ascii="Arial" w:eastAsia="Arial" w:hAnsi="Arial" w:cs="Arial"/>
          <w:color w:val="262626"/>
        </w:rPr>
        <w:lastRenderedPageBreak/>
        <w:t>complex (Waters 2004, Deloria 2021). This notion will be further explored in the following analysis of imagery and time</w:t>
      </w:r>
    </w:p>
    <w:p w14:paraId="0801321E" w14:textId="77777777" w:rsidR="009F0C56" w:rsidRDefault="009F0C56">
      <w:pPr>
        <w:spacing w:before="240" w:after="240" w:line="276" w:lineRule="auto"/>
        <w:rPr>
          <w:rFonts w:ascii="Arial" w:eastAsia="Arial" w:hAnsi="Arial" w:cs="Arial"/>
          <w:color w:val="262626"/>
        </w:rPr>
      </w:pPr>
    </w:p>
    <w:p w14:paraId="30EC4AD8" w14:textId="77777777" w:rsidR="009F0C56" w:rsidRDefault="00653842">
      <w:pPr>
        <w:pStyle w:val="Heading2"/>
        <w:rPr>
          <w:rFonts w:ascii="Arial" w:eastAsia="Arial" w:hAnsi="Arial" w:cs="Arial"/>
          <w:b/>
          <w:bCs/>
          <w:sz w:val="48"/>
          <w:szCs w:val="48"/>
        </w:rPr>
      </w:pPr>
      <w:bookmarkStart w:id="137" w:name="_Toc240966048"/>
      <w:r>
        <w:rPr>
          <w:rFonts w:ascii="Arial" w:eastAsia="Arial" w:hAnsi="Arial" w:cs="Arial"/>
        </w:rPr>
        <w:t>8.9 Imageries of the Indigenous</w:t>
      </w:r>
      <w:bookmarkEnd w:id="137"/>
      <w:r>
        <w:rPr>
          <w:rFonts w:ascii="Arial" w:eastAsia="Arial" w:hAnsi="Arial" w:cs="Arial"/>
        </w:rPr>
        <w:t>  </w:t>
      </w:r>
    </w:p>
    <w:p w14:paraId="73FFFECE" w14:textId="4EBF147D" w:rsidR="009F0C56" w:rsidRDefault="00653842">
      <w:pPr>
        <w:spacing w:before="240" w:after="240" w:line="276" w:lineRule="auto"/>
        <w:rPr>
          <w:rFonts w:ascii="Arial" w:eastAsia="Arial" w:hAnsi="Arial" w:cs="Arial"/>
          <w:color w:val="262626"/>
          <w:highlight w:val="white"/>
        </w:rPr>
      </w:pPr>
      <w:r>
        <w:rPr>
          <w:rFonts w:ascii="Arial" w:eastAsia="Arial" w:hAnsi="Arial" w:cs="Arial"/>
          <w:color w:val="262626"/>
        </w:rPr>
        <w:t xml:space="preserve">So far through the analysis </w:t>
      </w:r>
      <w:r w:rsidR="00E40CD6">
        <w:rPr>
          <w:rFonts w:ascii="Arial" w:eastAsia="Arial" w:hAnsi="Arial" w:cs="Arial"/>
          <w:color w:val="262626"/>
        </w:rPr>
        <w:t xml:space="preserve">of </w:t>
      </w:r>
      <w:r>
        <w:rPr>
          <w:rFonts w:ascii="Arial" w:eastAsia="Arial" w:hAnsi="Arial" w:cs="Arial"/>
          <w:color w:val="262626"/>
        </w:rPr>
        <w:t xml:space="preserve">time, imagery and the signifiers that surround it have been explored for how settler colonial society has manipulated histories to negotiate an alternate reality in the consciousness of the settler population. Here, the chapter has focused on the abstraction of Indigenous epistemologies and ontologies and the manipulation </w:t>
      </w:r>
      <w:r w:rsidR="00E40CD6">
        <w:rPr>
          <w:rFonts w:ascii="Arial" w:eastAsia="Arial" w:hAnsi="Arial" w:cs="Arial"/>
          <w:color w:val="262626"/>
        </w:rPr>
        <w:t>by</w:t>
      </w:r>
      <w:r>
        <w:rPr>
          <w:rFonts w:ascii="Arial" w:eastAsia="Arial" w:hAnsi="Arial" w:cs="Arial"/>
          <w:color w:val="262626"/>
        </w:rPr>
        <w:t xml:space="preserve"> settler society in dictating a bricolage of realities that does not challenge the hegemonic settler state (Barker 2021). Through this, the chapter has preliminarily noted how settler society, whilst abstracting and </w:t>
      </w:r>
      <w:r w:rsidR="00E40CD6">
        <w:rPr>
          <w:rFonts w:ascii="Arial" w:eastAsia="Arial" w:hAnsi="Arial" w:cs="Arial"/>
          <w:color w:val="262626"/>
        </w:rPr>
        <w:t>preserving</w:t>
      </w:r>
      <w:r>
        <w:rPr>
          <w:rFonts w:ascii="Arial" w:eastAsia="Arial" w:hAnsi="Arial" w:cs="Arial"/>
          <w:color w:val="262626"/>
        </w:rPr>
        <w:t xml:space="preserve"> elements of Indigenous culture, has been assimilating it into the settler identity, which has also othered the Seminole and Miccosukee from conversations around Indigeneity. Through this, the section will now draw from the previous work, exploring how contemporary society explores and interacts with Indigenous signifiers and signs beyond language in the replication of settler colonial tools</w:t>
      </w:r>
      <w:r>
        <w:rPr>
          <w:rFonts w:ascii="Arial" w:eastAsia="Arial" w:hAnsi="Arial" w:cs="Arial"/>
          <w:color w:val="262626"/>
          <w:highlight w:val="white"/>
        </w:rPr>
        <w:t xml:space="preserve">. </w:t>
      </w:r>
    </w:p>
    <w:p w14:paraId="3EDF29D6" w14:textId="77777777" w:rsidR="009F0C56" w:rsidRDefault="009F0C56">
      <w:pPr>
        <w:spacing w:line="240" w:lineRule="auto"/>
        <w:rPr>
          <w:rFonts w:ascii="Arial" w:eastAsia="Arial" w:hAnsi="Arial" w:cs="Arial"/>
        </w:rPr>
      </w:pPr>
    </w:p>
    <w:p w14:paraId="1254BA1B" w14:textId="77777777" w:rsidR="009F0C56" w:rsidRDefault="00653842">
      <w:pPr>
        <w:spacing w:before="160" w:after="80" w:line="240" w:lineRule="auto"/>
        <w:rPr>
          <w:rFonts w:ascii="Arial" w:eastAsia="Arial" w:hAnsi="Arial" w:cs="Arial"/>
          <w:b/>
          <w:bCs/>
          <w:sz w:val="36"/>
          <w:szCs w:val="36"/>
        </w:rPr>
      </w:pPr>
      <w:r>
        <w:rPr>
          <w:rFonts w:ascii="Arial" w:eastAsia="Arial" w:hAnsi="Arial" w:cs="Arial"/>
          <w:color w:val="0F4761"/>
          <w:sz w:val="32"/>
          <w:szCs w:val="32"/>
        </w:rPr>
        <w:t>8.10 Creating the Indigenous Image</w:t>
      </w:r>
    </w:p>
    <w:p w14:paraId="57745C99" w14:textId="1B6CFC5B" w:rsidR="009F0C56" w:rsidRDefault="00653842">
      <w:pPr>
        <w:spacing w:before="240" w:after="240" w:line="276" w:lineRule="auto"/>
        <w:rPr>
          <w:rFonts w:ascii="Arial" w:eastAsia="Arial" w:hAnsi="Arial" w:cs="Arial"/>
          <w:color w:val="262626"/>
        </w:rPr>
      </w:pPr>
      <w:r>
        <w:rPr>
          <w:rFonts w:ascii="Arial" w:eastAsia="Arial" w:hAnsi="Arial" w:cs="Arial"/>
          <w:color w:val="262626"/>
        </w:rPr>
        <w:t xml:space="preserve">The sepia tone is not the only way in which Figure 8 constructs an image of Indigeneity and time. Two of the three books display black-and-white images of Indigenous individuals dressed in traditional regalia, visual signifiers that further entrench the perception of Indigenous cultures as relics of the past (Downs, 1995). Here, these images operate not as decoration but as semiotic tools that situate Indigenous communities outside of the present temporality of settler modernity, rather </w:t>
      </w:r>
      <w:r w:rsidR="00E40CD6">
        <w:rPr>
          <w:rFonts w:ascii="Arial" w:eastAsia="Arial" w:hAnsi="Arial" w:cs="Arial"/>
          <w:color w:val="262626"/>
        </w:rPr>
        <w:t xml:space="preserve">than </w:t>
      </w:r>
      <w:r>
        <w:rPr>
          <w:rFonts w:ascii="Arial" w:eastAsia="Arial" w:hAnsi="Arial" w:cs="Arial"/>
          <w:color w:val="262626"/>
        </w:rPr>
        <w:t xml:space="preserve">working </w:t>
      </w:r>
      <w:r w:rsidR="00E40CD6">
        <w:rPr>
          <w:rFonts w:ascii="Arial" w:eastAsia="Arial" w:hAnsi="Arial" w:cs="Arial"/>
          <w:color w:val="262626"/>
        </w:rPr>
        <w:t>to reinforce</w:t>
      </w:r>
      <w:r>
        <w:rPr>
          <w:rFonts w:ascii="Arial" w:eastAsia="Arial" w:hAnsi="Arial" w:cs="Arial"/>
          <w:color w:val="262626"/>
        </w:rPr>
        <w:t xml:space="preserve"> the notion that they exist only in the annals of settler history, cementing the settler image of the Indian. This is not an anomaly; Figures 18 and 19 also attest to this settler colonial project of image creation</w:t>
      </w:r>
      <w:r w:rsidR="00E40CD6">
        <w:rPr>
          <w:rFonts w:ascii="Arial" w:eastAsia="Arial" w:hAnsi="Arial" w:cs="Arial"/>
          <w:color w:val="262626"/>
        </w:rPr>
        <w:t>. Here</w:t>
      </w:r>
      <w:r>
        <w:rPr>
          <w:rFonts w:ascii="Arial" w:eastAsia="Arial" w:hAnsi="Arial" w:cs="Arial"/>
          <w:color w:val="262626"/>
        </w:rPr>
        <w:t xml:space="preserve">, through the commodification and aesthetic strategies, settler society has embedded their signifiers of Indigeneity into consumable elements that are purchasable for settlers. In this, Indigenous objects that were once culturally specific and held no capitalist or settler meaning have been distorted and re-signified through capitalist frameworks to gain value. </w:t>
      </w:r>
    </w:p>
    <w:p w14:paraId="26113BAA" w14:textId="454036C2" w:rsidR="009F0C56" w:rsidRDefault="00653842">
      <w:pPr>
        <w:spacing w:before="240" w:after="240" w:line="276" w:lineRule="auto"/>
        <w:rPr>
          <w:rFonts w:ascii="Arial" w:eastAsia="Arial" w:hAnsi="Arial" w:cs="Arial"/>
          <w:color w:val="262626"/>
        </w:rPr>
      </w:pPr>
      <w:r>
        <w:rPr>
          <w:rFonts w:ascii="Arial" w:eastAsia="Arial" w:hAnsi="Arial" w:cs="Arial"/>
          <w:color w:val="262626"/>
        </w:rPr>
        <w:t xml:space="preserve">In this, Figure 19, </w:t>
      </w:r>
      <w:r>
        <w:rPr>
          <w:rFonts w:ascii="Arial" w:eastAsia="Arial" w:hAnsi="Arial" w:cs="Arial"/>
          <w:color w:val="262626"/>
        </w:rPr>
        <w:t xml:space="preserve">the word “Tribe” is erased from its specific Indigenous contexts and </w:t>
      </w:r>
      <w:r w:rsidR="00E40CD6">
        <w:rPr>
          <w:rFonts w:ascii="Arial" w:eastAsia="Arial" w:hAnsi="Arial" w:cs="Arial"/>
          <w:color w:val="262626"/>
        </w:rPr>
        <w:t>rebranded</w:t>
      </w:r>
      <w:r>
        <w:rPr>
          <w:rFonts w:ascii="Arial" w:eastAsia="Arial" w:hAnsi="Arial" w:cs="Arial"/>
          <w:color w:val="262626"/>
        </w:rPr>
        <w:t xml:space="preserve"> as an aesthetic identity accessible to white liberal consumers (Aldred 2000). Here, this commodified term, as highlighted in the images, operates as a screen memory in creating a settler Indian identity. As the </w:t>
      </w:r>
      <w:r w:rsidR="00E40CD6">
        <w:rPr>
          <w:rFonts w:ascii="Arial" w:eastAsia="Arial" w:hAnsi="Arial" w:cs="Arial"/>
          <w:color w:val="262626"/>
        </w:rPr>
        <w:t>settler-curated</w:t>
      </w:r>
      <w:r>
        <w:rPr>
          <w:rFonts w:ascii="Arial" w:eastAsia="Arial" w:hAnsi="Arial" w:cs="Arial"/>
          <w:color w:val="262626"/>
        </w:rPr>
        <w:t xml:space="preserve"> illusion substitutes genuine Indigenous presence with a settler bricolage of signifiers, </w:t>
      </w:r>
      <w:r w:rsidR="00E40CD6">
        <w:rPr>
          <w:rFonts w:ascii="Arial" w:eastAsia="Arial" w:hAnsi="Arial" w:cs="Arial"/>
          <w:color w:val="262626"/>
        </w:rPr>
        <w:t>it</w:t>
      </w:r>
      <w:r>
        <w:rPr>
          <w:rFonts w:ascii="Arial" w:eastAsia="Arial" w:hAnsi="Arial" w:cs="Arial"/>
          <w:color w:val="262626"/>
        </w:rPr>
        <w:t xml:space="preserve"> makes the Seminole and Miccosukee less politically challenging, as settlers feel they </w:t>
      </w:r>
      <w:r>
        <w:rPr>
          <w:rFonts w:ascii="Arial" w:eastAsia="Arial" w:hAnsi="Arial" w:cs="Arial"/>
          <w:color w:val="262626"/>
        </w:rPr>
        <w:lastRenderedPageBreak/>
        <w:t>can purchase their way into a history of Indigeneity. Thus, the term Tribe</w:t>
      </w:r>
      <w:r>
        <w:rPr>
          <w:rFonts w:ascii="Arial" w:eastAsia="Arial" w:hAnsi="Arial" w:cs="Arial"/>
          <w:color w:val="262626"/>
        </w:rPr>
        <w:t xml:space="preserve"> strips the Seminole and Miccosukee of real-world referents, replacing their cultures and histories with floating signifiers that settlers use to resolve their anxieties about alienation and belonging (Aldred 2000, Lightfoot 2012). Here, settlers are not invited to engage with actual Seminole or Miccosukee epistemologies or struggles; rather, they are offered a constructed Indian screen image onto which they can project a sense of meaningful identity through their ability to purchase (Aldred 2000). This dis</w:t>
      </w:r>
      <w:r>
        <w:rPr>
          <w:rFonts w:ascii="Arial" w:eastAsia="Arial" w:hAnsi="Arial" w:cs="Arial"/>
          <w:color w:val="262626"/>
        </w:rPr>
        <w:t>tortion further reflects the idea of temporal blindness, the condition by which settler society fails to perceive Indigenous peoples as contemporary political actors. As Figure 19 shows</w:t>
      </w:r>
      <w:r w:rsidR="00E40CD6">
        <w:rPr>
          <w:rFonts w:ascii="Arial" w:eastAsia="Arial" w:hAnsi="Arial" w:cs="Arial"/>
          <w:color w:val="262626"/>
        </w:rPr>
        <w:t>,</w:t>
      </w:r>
      <w:r>
        <w:rPr>
          <w:rFonts w:ascii="Arial" w:eastAsia="Arial" w:hAnsi="Arial" w:cs="Arial"/>
          <w:color w:val="262626"/>
        </w:rPr>
        <w:t xml:space="preserve"> the word</w:t>
      </w:r>
      <w:r>
        <w:rPr>
          <w:rFonts w:ascii="Arial" w:eastAsia="Arial" w:hAnsi="Arial" w:cs="Arial"/>
          <w:color w:val="262626"/>
        </w:rPr>
        <w:t xml:space="preserve"> Tribe</w:t>
      </w:r>
      <w:r>
        <w:rPr>
          <w:rFonts w:ascii="Arial" w:eastAsia="Arial" w:hAnsi="Arial" w:cs="Arial"/>
          <w:color w:val="262626"/>
        </w:rPr>
        <w:t xml:space="preserve"> works not only as a depoliticised sign of community but also as a temporal placeholder (Wright-Mayley 2021). Here, the word implies that Indigenous identity is a static cultural motif rather than a lived and evolving reality; this counters the complex creation stories of Indigenous communities like the Seminole and Miccosukee that will be discussed in the </w:t>
      </w:r>
      <w:r>
        <w:rPr>
          <w:rFonts w:ascii="Arial" w:eastAsia="Arial" w:hAnsi="Arial" w:cs="Arial"/>
          <w:color w:val="0A0A0A"/>
          <w:highlight w:val="white"/>
        </w:rPr>
        <w:t>territorialization </w:t>
      </w:r>
      <w:r>
        <w:rPr>
          <w:rFonts w:ascii="Arial" w:eastAsia="Arial" w:hAnsi="Arial" w:cs="Arial"/>
          <w:color w:val="262626"/>
        </w:rPr>
        <w:t xml:space="preserve">chapter. </w:t>
      </w:r>
    </w:p>
    <w:p w14:paraId="7E2AB9AD" w14:textId="77777777" w:rsidR="009F0C56" w:rsidRDefault="00653842">
      <w:pPr>
        <w:spacing w:before="240" w:after="240" w:line="276" w:lineRule="auto"/>
        <w:rPr>
          <w:rFonts w:ascii="Arial" w:eastAsia="Arial" w:hAnsi="Arial" w:cs="Arial"/>
          <w:color w:val="262626"/>
        </w:rPr>
      </w:pPr>
      <w:r>
        <w:rPr>
          <w:rFonts w:ascii="Arial" w:eastAsia="Arial" w:hAnsi="Arial" w:cs="Arial"/>
          <w:color w:val="262626"/>
        </w:rPr>
        <w:t>In this, temporal blindness and timelessness allow settler consumers to subconsciously appropriate Indigeneity without acknowledging the contemporary presence of Indigenous resistance or survival (Nani 2011). Thus, the term becomes part of a larger apparatus of epistemic control, in which settlers claim to “preserve” Indigeneity while actively erasing the people who embody it, making the Seminole and Miccosukee less politically challenging to the settler status quo (Barker 2021, Bruyneel 2021).</w:t>
      </w:r>
    </w:p>
    <w:p w14:paraId="482228A5" w14:textId="77777777" w:rsidR="009F0C56" w:rsidRDefault="00653842">
      <w:pPr>
        <w:spacing w:before="240" w:after="240" w:line="276" w:lineRule="auto"/>
        <w:rPr>
          <w:rFonts w:ascii="Arial" w:eastAsia="Arial" w:hAnsi="Arial" w:cs="Arial"/>
          <w:color w:val="262626"/>
        </w:rPr>
      </w:pPr>
      <w:r>
        <w:rPr>
          <w:rFonts w:ascii="Arial" w:eastAsia="Arial" w:hAnsi="Arial" w:cs="Arial"/>
          <w:color w:val="262626"/>
        </w:rPr>
        <w:t>Figure 18 also follows a similar pattern, which draws on Indigenous aesthetics to create a settler consumer reality that visually affirms settler supremacy. This aligns with Simpson’s notion of the “vanishing Indigenous”, wherein Indigeneity is made hyper-visible in curated settler-agreed visualisations, yet erased in cultural, social, and historical discourses. Here, Indigeneity becomes more decorative or performative to decorate settlers' lives (Aldred 2000). In this, the Seminole and Miccosukee remain st</w:t>
      </w:r>
      <w:r>
        <w:rPr>
          <w:rFonts w:ascii="Arial" w:eastAsia="Arial" w:hAnsi="Arial" w:cs="Arial"/>
          <w:color w:val="262626"/>
        </w:rPr>
        <w:t>ructurally invisible and politically irrelevant as they do not correlate with the stylised creation of the settler Indian. Therefore, they are peripheral to the homogenised understanding of the settler Indian, making them invisible. This is further noted in Figures 8, 18, and 19, where the selective endorsement of aesthetics on natural materials, earth tones, or spiritual language works to reinforce this erasure of presenting Indigeneity as a lost or mystical tradition rather than a present-day reality with</w:t>
      </w:r>
      <w:r>
        <w:rPr>
          <w:rFonts w:ascii="Arial" w:eastAsia="Arial" w:hAnsi="Arial" w:cs="Arial"/>
          <w:color w:val="262626"/>
        </w:rPr>
        <w:t xml:space="preserve"> political implications (Lightfoot 2012). </w:t>
      </w:r>
    </w:p>
    <w:p w14:paraId="617E1316" w14:textId="39BF9BFC" w:rsidR="009F0C56" w:rsidRDefault="00653842">
      <w:pPr>
        <w:spacing w:before="240" w:after="240" w:line="276" w:lineRule="auto"/>
        <w:rPr>
          <w:rFonts w:ascii="Arial" w:eastAsia="Arial" w:hAnsi="Arial" w:cs="Arial"/>
          <w:color w:val="262626"/>
        </w:rPr>
      </w:pPr>
      <w:r>
        <w:rPr>
          <w:rFonts w:ascii="Arial" w:eastAsia="Arial" w:hAnsi="Arial" w:cs="Arial"/>
          <w:color w:val="262626"/>
        </w:rPr>
        <w:t xml:space="preserve">Through this, settler society not only imagines itself as the inheritor of Indigenous culture but also as the guardian and curator. This builds on Aldred’s analysis of the commodification of Indigenous culture being communally co-opted by settler society. Hence, this ability to construct temporal images of Indigeneity is pivotal to settler colonial objectives of partial erasure and assimilation, which </w:t>
      </w:r>
      <w:r w:rsidR="00E40CD6">
        <w:rPr>
          <w:rFonts w:ascii="Arial" w:eastAsia="Arial" w:hAnsi="Arial" w:cs="Arial"/>
          <w:color w:val="262626"/>
        </w:rPr>
        <w:t>position</w:t>
      </w:r>
      <w:r>
        <w:rPr>
          <w:rFonts w:ascii="Arial" w:eastAsia="Arial" w:hAnsi="Arial" w:cs="Arial"/>
          <w:color w:val="262626"/>
        </w:rPr>
        <w:t xml:space="preserve"> Indigenous cultures as relics in need of preservation, rather than as evolving systems of thought </w:t>
      </w:r>
      <w:r>
        <w:rPr>
          <w:rFonts w:ascii="Arial" w:eastAsia="Arial" w:hAnsi="Arial" w:cs="Arial"/>
          <w:color w:val="262626"/>
        </w:rPr>
        <w:lastRenderedPageBreak/>
        <w:t>and practice (Cordova 2007). All this results in a colonial romantic bricolage of signs pulled from real Indigenous cultures, but reassembled in ways that comfort settler consumers and remove Indigenous agency from their histories, present, and futures (Barthes 1957, Wolfe 2018).</w:t>
      </w:r>
    </w:p>
    <w:p w14:paraId="3CAF2855" w14:textId="739F9218" w:rsidR="009F0C56" w:rsidRDefault="00653842">
      <w:pPr>
        <w:spacing w:before="240" w:after="240" w:line="276" w:lineRule="auto"/>
        <w:rPr>
          <w:rFonts w:ascii="Arial" w:eastAsia="Arial" w:hAnsi="Arial" w:cs="Arial"/>
          <w:color w:val="262626"/>
        </w:rPr>
      </w:pPr>
      <w:r>
        <w:rPr>
          <w:rFonts w:ascii="Arial" w:eastAsia="Arial" w:hAnsi="Arial" w:cs="Arial"/>
          <w:color w:val="262626"/>
        </w:rPr>
        <w:t xml:space="preserve">Through this, the romanticised role settlers create for themselves, Indigenous survival echoes Barker’s (2021) claim that settler colonialism doesn’t seek to fully destroy Indigeneity, but to preserve elements of it. That can be used in extracting spiritual, aesthetic, and epistemological fragments from communities like the Seminole and Miccosukee to repurpose them in settler-colonial cultural productions, which </w:t>
      </w:r>
      <w:r w:rsidR="00E40CD6">
        <w:rPr>
          <w:rFonts w:ascii="Arial" w:eastAsia="Arial" w:hAnsi="Arial" w:cs="Arial"/>
          <w:color w:val="262626"/>
        </w:rPr>
        <w:t>reimagine</w:t>
      </w:r>
      <w:r>
        <w:rPr>
          <w:rFonts w:ascii="Arial" w:eastAsia="Arial" w:hAnsi="Arial" w:cs="Arial"/>
          <w:color w:val="262626"/>
        </w:rPr>
        <w:t xml:space="preserve"> a bricolage of cultural realities and representations. Figure 19 investigates this as it maintains the look of Indigeneity while draining it of Indigenous specificity, agency, and resistance. In this, Figure 19 builds on and expands the processes established in Figure 8, where historical imagery was used to fix Indigenous peoples in a static past. Here, Figure 19 evolves the concept that time is manipulated to historicise Indigeneity, but also works to represent it as an </w:t>
      </w:r>
      <w:r w:rsidR="00E40CD6">
        <w:rPr>
          <w:rFonts w:ascii="Arial" w:eastAsia="Arial" w:hAnsi="Arial" w:cs="Arial"/>
          <w:color w:val="262626"/>
        </w:rPr>
        <w:t>aestheticised,</w:t>
      </w:r>
      <w:r>
        <w:rPr>
          <w:rFonts w:ascii="Arial" w:eastAsia="Arial" w:hAnsi="Arial" w:cs="Arial"/>
          <w:color w:val="262626"/>
        </w:rPr>
        <w:t xml:space="preserve"> commodified object, which shows a </w:t>
      </w:r>
      <w:r w:rsidR="00E40CD6">
        <w:rPr>
          <w:rFonts w:ascii="Arial" w:eastAsia="Arial" w:hAnsi="Arial" w:cs="Arial"/>
          <w:color w:val="262626"/>
        </w:rPr>
        <w:t>settler-homogenous</w:t>
      </w:r>
      <w:r>
        <w:rPr>
          <w:rFonts w:ascii="Arial" w:eastAsia="Arial" w:hAnsi="Arial" w:cs="Arial"/>
          <w:color w:val="262626"/>
        </w:rPr>
        <w:t xml:space="preserve"> Indian. In this, the settler colonial semiotics of these images deploy Indigeneity as a temporally dislocated</w:t>
      </w:r>
      <w:r w:rsidR="00E40CD6">
        <w:rPr>
          <w:rFonts w:ascii="Arial" w:eastAsia="Arial" w:hAnsi="Arial" w:cs="Arial"/>
          <w:color w:val="262626"/>
        </w:rPr>
        <w:t xml:space="preserve"> object</w:t>
      </w:r>
      <w:r>
        <w:rPr>
          <w:rFonts w:ascii="Arial" w:eastAsia="Arial" w:hAnsi="Arial" w:cs="Arial"/>
          <w:color w:val="262626"/>
        </w:rPr>
        <w:t xml:space="preserve">, to market it to settler consumers who are seeking spiritual depth or cultural authenticity (Lightfoot 2012). </w:t>
      </w:r>
    </w:p>
    <w:p w14:paraId="26AB0997" w14:textId="15E57CD8" w:rsidR="009F0C56" w:rsidRDefault="00653842">
      <w:pPr>
        <w:spacing w:before="240" w:after="240" w:line="276" w:lineRule="auto"/>
        <w:rPr>
          <w:rFonts w:ascii="Arial" w:eastAsia="Arial" w:hAnsi="Arial" w:cs="Arial"/>
          <w:color w:val="262626"/>
        </w:rPr>
      </w:pPr>
      <w:r>
        <w:rPr>
          <w:rFonts w:ascii="Arial" w:eastAsia="Arial" w:hAnsi="Arial" w:cs="Arial"/>
          <w:color w:val="262626"/>
        </w:rPr>
        <w:t xml:space="preserve">Consequently, settler society </w:t>
      </w:r>
      <w:r>
        <w:rPr>
          <w:rFonts w:ascii="Arial" w:eastAsia="Arial" w:hAnsi="Arial" w:cs="Arial"/>
          <w:color w:val="262626"/>
        </w:rPr>
        <w:t xml:space="preserve">uses signs like “Tribe” or sepia-filtered aesthetics, not just to symbolise Indigeneity, but to control the bounds within which Indigeneity can be understood, engaged with, and remembered. All this </w:t>
      </w:r>
      <w:r w:rsidR="00E40CD6">
        <w:rPr>
          <w:rFonts w:ascii="Arial" w:eastAsia="Arial" w:hAnsi="Arial" w:cs="Arial"/>
          <w:color w:val="262626"/>
        </w:rPr>
        <w:t>works</w:t>
      </w:r>
      <w:r>
        <w:rPr>
          <w:rFonts w:ascii="Arial" w:eastAsia="Arial" w:hAnsi="Arial" w:cs="Arial"/>
          <w:color w:val="262626"/>
        </w:rPr>
        <w:t xml:space="preserve"> to create a screen memory that shows this temporal distortion is not passive but a form of ideological settler colonialism against Indigenous individuality and political presence. This can be seen with the lack of self-represented Seminole and Miccosukee signifiers in these areas, despite this being Seminole and Miccosukee ancestral lands (Veracini 2010). All this is supported by settler temporal blindness, which ensures these distortions go unchallenged by presenting them as neutral and unchallengeable (W</w:t>
      </w:r>
      <w:r>
        <w:rPr>
          <w:rFonts w:ascii="Arial" w:eastAsia="Arial" w:hAnsi="Arial" w:cs="Arial"/>
          <w:color w:val="262626"/>
        </w:rPr>
        <w:t>right-Maley 2021).</w:t>
      </w:r>
    </w:p>
    <w:p w14:paraId="0A9BAEFD" w14:textId="77777777" w:rsidR="009F0C56" w:rsidRDefault="00653842">
      <w:pPr>
        <w:spacing w:before="240" w:after="240" w:line="276" w:lineRule="auto"/>
        <w:rPr>
          <w:rFonts w:ascii="Arial" w:eastAsia="Arial" w:hAnsi="Arial" w:cs="Arial"/>
        </w:rPr>
      </w:pPr>
      <w:r>
        <w:rPr>
          <w:rFonts w:ascii="Arial" w:eastAsia="Arial" w:hAnsi="Arial" w:cs="Arial"/>
        </w:rPr>
        <w:t>Thus, Figures 8, 18, and 19 operate as settler-colonial mechanisms of settler memory in constructing a visual and linguistic order in which the Seminole and Miccosukee are historicised, commodified, romanticised, and stripped of their living individual representations. In order to reinforce the coloniality of representation, which ensures Indigeneity is bound to settler temporal imaginaries rather than to Indigenous realities in creating the image of the temporal Indian (Simpson 2016).</w:t>
      </w:r>
    </w:p>
    <w:p w14:paraId="1194DE2E" w14:textId="77777777" w:rsidR="009F0C56" w:rsidRDefault="00653842">
      <w:pPr>
        <w:pStyle w:val="Heading2"/>
        <w:rPr>
          <w:rFonts w:ascii="Arial" w:eastAsia="Arial" w:hAnsi="Arial" w:cs="Arial"/>
          <w:b/>
          <w:bCs/>
          <w:sz w:val="48"/>
          <w:szCs w:val="48"/>
        </w:rPr>
      </w:pPr>
      <w:bookmarkStart w:id="138" w:name="_Toc240966049"/>
      <w:r>
        <w:rPr>
          <w:rFonts w:ascii="Arial" w:eastAsia="Arial" w:hAnsi="Arial" w:cs="Arial"/>
        </w:rPr>
        <w:t>8.11 Movement forward, next stages</w:t>
      </w:r>
      <w:bookmarkEnd w:id="138"/>
      <w:r>
        <w:rPr>
          <w:rFonts w:ascii="Arial" w:eastAsia="Arial" w:hAnsi="Arial" w:cs="Arial"/>
        </w:rPr>
        <w:t> </w:t>
      </w:r>
    </w:p>
    <w:p w14:paraId="171C3C04" w14:textId="3AEA7655" w:rsidR="009F0C56" w:rsidRDefault="00653842">
      <w:pPr>
        <w:spacing w:before="240" w:after="240" w:line="276" w:lineRule="auto"/>
        <w:rPr>
          <w:rFonts w:ascii="Arial" w:eastAsia="Arial" w:hAnsi="Arial" w:cs="Arial"/>
          <w:color w:val="262626"/>
        </w:rPr>
      </w:pPr>
      <w:r>
        <w:rPr>
          <w:rFonts w:ascii="Arial" w:eastAsia="Arial" w:hAnsi="Arial" w:cs="Arial"/>
          <w:color w:val="262626"/>
        </w:rPr>
        <w:t xml:space="preserve">Through the analysis of historization through time and Indigenous representations, this chapter has shown how settler colonialism strategically constructs and manipulates temporal frameworks to distort and control Indigenous presence and </w:t>
      </w:r>
      <w:r>
        <w:rPr>
          <w:rFonts w:ascii="Arial" w:eastAsia="Arial" w:hAnsi="Arial" w:cs="Arial"/>
          <w:color w:val="262626"/>
        </w:rPr>
        <w:lastRenderedPageBreak/>
        <w:t xml:space="preserve">representations. This has been done </w:t>
      </w:r>
      <w:r w:rsidR="00E40CD6">
        <w:rPr>
          <w:rFonts w:ascii="Arial" w:eastAsia="Arial" w:hAnsi="Arial" w:cs="Arial"/>
          <w:color w:val="262626"/>
        </w:rPr>
        <w:t>by</w:t>
      </w:r>
      <w:r>
        <w:rPr>
          <w:rFonts w:ascii="Arial" w:eastAsia="Arial" w:hAnsi="Arial" w:cs="Arial"/>
          <w:color w:val="262626"/>
        </w:rPr>
        <w:t xml:space="preserve"> drawing on theorists such as Aldred, Barker, Bruyneel, Simpson, Veracini, and others, to highlight that time emerges as a foundational tool in the settler colonial arsenal to diminish Seminole and Miccosukee visibility in the South Florida area. Which, through the images analysed, </w:t>
      </w:r>
      <w:r w:rsidR="00E40CD6">
        <w:rPr>
          <w:rFonts w:ascii="Arial" w:eastAsia="Arial" w:hAnsi="Arial" w:cs="Arial"/>
          <w:color w:val="262626"/>
        </w:rPr>
        <w:t xml:space="preserve">this </w:t>
      </w:r>
      <w:r>
        <w:rPr>
          <w:rFonts w:ascii="Arial" w:eastAsia="Arial" w:hAnsi="Arial" w:cs="Arial"/>
          <w:color w:val="262626"/>
        </w:rPr>
        <w:t>attacks their claims to land, autonomy, and knowledge production.</w:t>
      </w:r>
    </w:p>
    <w:p w14:paraId="31372CDC" w14:textId="248D1793" w:rsidR="009F0C56" w:rsidRDefault="00653842">
      <w:pPr>
        <w:spacing w:before="240" w:after="240" w:line="276" w:lineRule="auto"/>
        <w:rPr>
          <w:rFonts w:ascii="Arial" w:eastAsia="Arial" w:hAnsi="Arial" w:cs="Arial"/>
          <w:color w:val="262626"/>
        </w:rPr>
      </w:pPr>
      <w:r>
        <w:rPr>
          <w:rFonts w:ascii="Arial" w:eastAsia="Arial" w:hAnsi="Arial" w:cs="Arial"/>
          <w:color w:val="262626"/>
        </w:rPr>
        <w:t xml:space="preserve">In this, Bruyneel's (2021) work on settler societies helps situate within this research location </w:t>
      </w:r>
      <w:r>
        <w:rPr>
          <w:rFonts w:ascii="Arial" w:eastAsia="Arial" w:hAnsi="Arial" w:cs="Arial"/>
          <w:color w:val="262626"/>
        </w:rPr>
        <w:t xml:space="preserve">how the settler area of Miami and South Florida denies the Seminole and Miccosukee </w:t>
      </w:r>
      <w:r>
        <w:rPr>
          <w:rFonts w:ascii="Arial" w:eastAsia="Arial" w:hAnsi="Arial" w:cs="Arial"/>
          <w:color w:val="262626"/>
        </w:rPr>
        <w:t>a present or future, by persistently portraying the homogenised Indian as relics of the past. Here, this temporal framing is not accidental; it operates as a form of corporate colonialism to situate the Seminole and Miccosukee as fixed in a bygone era, rendering their political and epistemological authority as non-present (Veracini 2008). Through this analysis, it becomes apparent that time is a weaponised construct in creating a settler bricolage of realities, wherein representations of Indigeneity are man</w:t>
      </w:r>
      <w:r>
        <w:rPr>
          <w:rFonts w:ascii="Arial" w:eastAsia="Arial" w:hAnsi="Arial" w:cs="Arial"/>
          <w:color w:val="262626"/>
        </w:rPr>
        <w:t xml:space="preserve">ipulated to affirm settler dominance (Barker 2021, Bruyneel 2021). </w:t>
      </w:r>
    </w:p>
    <w:p w14:paraId="2CC0D1BC" w14:textId="77777777" w:rsidR="009F0C56" w:rsidRDefault="00653842">
      <w:pPr>
        <w:spacing w:before="240" w:after="240" w:line="276" w:lineRule="auto"/>
        <w:rPr>
          <w:rFonts w:ascii="Arial" w:eastAsia="Arial" w:hAnsi="Arial" w:cs="Arial"/>
          <w:color w:val="262626"/>
        </w:rPr>
      </w:pPr>
      <w:r>
        <w:rPr>
          <w:rFonts w:ascii="Arial" w:eastAsia="Arial" w:hAnsi="Arial" w:cs="Arial"/>
          <w:color w:val="262626"/>
        </w:rPr>
        <w:t>As is evident in Figure 15, where the statue dressed in homogenised “traditional” regalia offers cigarettes in a gesture that symbolises welcome, a welcome that, in settler discourse, implies consent to settler encroachment onto the land. Here, Olusoga (2021) analyses how colonial historical myths function to obscure violent colonial histories and reframe invasion as hospitality. Through this, the analysis of the manipulation of time explored during the chapter shows the hidden settler colonial power of tim</w:t>
      </w:r>
      <w:r>
        <w:rPr>
          <w:rFonts w:ascii="Arial" w:eastAsia="Arial" w:hAnsi="Arial" w:cs="Arial"/>
          <w:color w:val="262626"/>
        </w:rPr>
        <w:t>e in reinforcing the epistemic supremacy of settler thought in relegating all other knowledge systems to the past (Mignolo &amp; Walsh, 2018). This operates to dismiss Indigenous temporalities, cosmologies, and ontologies in favour of a linear, progress-driven understanding of history that privileges settler storytelling of the past, present, future, and representation (Bruyneel 2021).</w:t>
      </w:r>
    </w:p>
    <w:p w14:paraId="7C3ADCA7" w14:textId="239DAAD3" w:rsidR="009F0C56" w:rsidRDefault="00653842">
      <w:pPr>
        <w:spacing w:before="240" w:after="240" w:line="276" w:lineRule="auto"/>
        <w:rPr>
          <w:rFonts w:ascii="Arial" w:eastAsia="Arial" w:hAnsi="Arial" w:cs="Arial"/>
          <w:color w:val="262626"/>
        </w:rPr>
      </w:pPr>
      <w:r>
        <w:rPr>
          <w:rFonts w:ascii="Arial" w:eastAsia="Arial" w:hAnsi="Arial" w:cs="Arial"/>
          <w:color w:val="262626"/>
        </w:rPr>
        <w:t xml:space="preserve">In doing so, settler society uses this manipulation of time to assert epistemological dominance, while enabling the partial assimilation and erasure of the Seminole and Miccosukee. Reducing these sovereign nations to abstract, homogenised figures whose representations are controlled by settler institutions (Lightfoot, 2012). This embeds a visual and temporal regime that enforces coloniality through the myth of the vanished Indigenous subject, supported by what Veracini (2010) calls screen memory and </w:t>
      </w:r>
      <w:r w:rsidR="00E40CD6">
        <w:rPr>
          <w:rFonts w:ascii="Arial" w:eastAsia="Arial" w:hAnsi="Arial" w:cs="Arial"/>
          <w:color w:val="262626"/>
        </w:rPr>
        <w:t xml:space="preserve">what </w:t>
      </w:r>
      <w:r>
        <w:rPr>
          <w:rFonts w:ascii="Arial" w:eastAsia="Arial" w:hAnsi="Arial" w:cs="Arial"/>
          <w:color w:val="262626"/>
        </w:rPr>
        <w:t>Wright-Maley (2021) terms temporal blindness, as can be noted through the analysis of the figures during this chapter.</w:t>
      </w:r>
    </w:p>
    <w:p w14:paraId="792FFE2E" w14:textId="77777777" w:rsidR="009F0C56" w:rsidRDefault="00653842">
      <w:pPr>
        <w:spacing w:before="240" w:after="240" w:line="276" w:lineRule="auto"/>
        <w:rPr>
          <w:rFonts w:ascii="Arial" w:eastAsia="Arial" w:hAnsi="Arial" w:cs="Arial"/>
          <w:color w:val="262626"/>
        </w:rPr>
      </w:pPr>
      <w:r>
        <w:rPr>
          <w:rFonts w:ascii="Arial" w:eastAsia="Arial" w:hAnsi="Arial" w:cs="Arial"/>
          <w:color w:val="262626"/>
        </w:rPr>
        <w:t>Through the analysis and findings over time, the work will now analyse how homogenisation operates as a colonial strategy to render Indigenous difference manageable, consumable, and ultimately invisible within the settler visual landscape.</w:t>
      </w:r>
    </w:p>
    <w:p w14:paraId="4137334E" w14:textId="77777777" w:rsidR="009F0C56" w:rsidRDefault="00653842">
      <w:pPr>
        <w:pStyle w:val="Heading2"/>
        <w:rPr>
          <w:rFonts w:ascii="Arial" w:eastAsia="Arial" w:hAnsi="Arial" w:cs="Arial"/>
        </w:rPr>
      </w:pPr>
      <w:bookmarkStart w:id="139" w:name="_Toc240966050"/>
      <w:r>
        <w:rPr>
          <w:rFonts w:ascii="Arial" w:eastAsia="Arial" w:hAnsi="Arial" w:cs="Arial"/>
        </w:rPr>
        <w:lastRenderedPageBreak/>
        <w:t>8.12 Conclusion</w:t>
      </w:r>
      <w:bookmarkEnd w:id="139"/>
    </w:p>
    <w:p w14:paraId="7DB81644" w14:textId="794F6DD6"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000000"/>
        </w:rPr>
        <w:t xml:space="preserve">This chapter has shown </w:t>
      </w:r>
      <w:r>
        <w:rPr>
          <w:rFonts w:ascii="Arial" w:eastAsia="Arial" w:hAnsi="Arial" w:cs="Arial"/>
          <w:color w:val="262626"/>
        </w:rPr>
        <w:t>how time operates as a critical structure of power of settler colonial representation, which operates in disciplining Indigenous presence and fixing Seminole and Miccosukee peoples in a past that serves settler memory rather than Indigenous sovereignty. Through statues, texts, and souvenirs, settler society mobilises the denial of Indigenous future, and what Veracini (2010) terms screen memory, which functions in re-narrating colonial violence as nostalgia or hospitality. In this, the temporal framings anal</w:t>
      </w:r>
      <w:r>
        <w:rPr>
          <w:rFonts w:ascii="Arial" w:eastAsia="Arial" w:hAnsi="Arial" w:cs="Arial"/>
          <w:color w:val="262626"/>
        </w:rPr>
        <w:t xml:space="preserve">ysed </w:t>
      </w:r>
      <w:r>
        <w:rPr>
          <w:rFonts w:ascii="Arial" w:eastAsia="Arial" w:hAnsi="Arial" w:cs="Arial"/>
          <w:color w:val="262626"/>
        </w:rPr>
        <w:t>erase Indigenous agency in the present and foreclose their role in shaping futures, embedding a regime of linear, progress-driven history that privileges settler authority.</w:t>
      </w:r>
    </w:p>
    <w:p w14:paraId="1A3B343A" w14:textId="79DFDCA5"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 xml:space="preserve">Thus, by </w:t>
      </w:r>
      <w:r w:rsidR="00E40CD6">
        <w:rPr>
          <w:rFonts w:ascii="Arial" w:eastAsia="Arial" w:hAnsi="Arial" w:cs="Arial"/>
          <w:color w:val="262626"/>
        </w:rPr>
        <w:t>weaponising</w:t>
      </w:r>
      <w:r>
        <w:rPr>
          <w:rFonts w:ascii="Arial" w:eastAsia="Arial" w:hAnsi="Arial" w:cs="Arial"/>
          <w:color w:val="262626"/>
        </w:rPr>
        <w:t xml:space="preserve"> time, settler society transforms Seminole and Miccosukee life into homogenised symbols of disappearance, denying political and epistemological authority while reaffirming settler dominance. This temporal erasure builds directly upon the mechanisms of homogenisation and commodification discussed in earlier chapters, extending them into a broader settler bricolage of realities where history itself is manipulated to contain Indigenous presence (Barker 2021).</w:t>
      </w:r>
    </w:p>
    <w:p w14:paraId="6C4F62EB" w14:textId="77777777"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Through this, the next chapter turns from the manipulation of time to the manipulation of land, examining how settler colonial actions materialise these representational logics in the built environment and tourist landscape of South Florida. Just as time is deployed to erase Indigenous futurities, land becomes the physical terrain where these erasures are enacted, claimed, and naturalised, drawing all previous elements of the analysis chapters to create a stronger grounded argument.</w:t>
      </w:r>
    </w:p>
    <w:p w14:paraId="3C92C702" w14:textId="77777777" w:rsidR="009F0C56" w:rsidRDefault="009F0C56"/>
    <w:p w14:paraId="65E97875" w14:textId="77777777" w:rsidR="009F0C56" w:rsidRDefault="009F0C56"/>
    <w:p w14:paraId="48BF0D73" w14:textId="77777777" w:rsidR="009F0C56" w:rsidRDefault="009F0C56"/>
    <w:p w14:paraId="6473D2A9" w14:textId="77777777" w:rsidR="009F0C56" w:rsidRDefault="009F0C56"/>
    <w:p w14:paraId="4A658E16" w14:textId="77777777" w:rsidR="009F0C56" w:rsidRDefault="009F0C56"/>
    <w:p w14:paraId="3508C306" w14:textId="77777777" w:rsidR="009F0C56" w:rsidRDefault="009F0C56"/>
    <w:p w14:paraId="2C2E9FA3" w14:textId="77777777" w:rsidR="009F0C56" w:rsidRDefault="009F0C56"/>
    <w:p w14:paraId="13AEFD9E" w14:textId="77777777" w:rsidR="009F0C56" w:rsidRDefault="00653842">
      <w:r>
        <w:br w:type="page"/>
      </w:r>
    </w:p>
    <w:p w14:paraId="3B44623A" w14:textId="77777777" w:rsidR="009F0C56" w:rsidRDefault="00653842">
      <w:pPr>
        <w:pStyle w:val="Heading1"/>
        <w:rPr>
          <w:rFonts w:ascii="Arial" w:eastAsia="Arial" w:hAnsi="Arial" w:cs="Arial"/>
          <w:color w:val="156082"/>
          <w:u w:val="single"/>
        </w:rPr>
      </w:pPr>
      <w:bookmarkStart w:id="140" w:name="_Toc240966051"/>
      <w:r>
        <w:rPr>
          <w:rFonts w:ascii="Arial" w:eastAsia="Arial" w:hAnsi="Arial" w:cs="Arial"/>
          <w:color w:val="156082"/>
          <w:u w:val="single"/>
        </w:rPr>
        <w:lastRenderedPageBreak/>
        <w:t xml:space="preserve">9.0 </w:t>
      </w:r>
      <w:r>
        <w:rPr>
          <w:rFonts w:ascii="Arial" w:eastAsia="Arial" w:hAnsi="Arial" w:cs="Arial"/>
          <w:color w:val="156082"/>
          <w:highlight w:val="white"/>
          <w:u w:val="single"/>
        </w:rPr>
        <w:t>Territorialization</w:t>
      </w:r>
      <w:r>
        <w:rPr>
          <w:rFonts w:ascii="Arial" w:eastAsia="Arial" w:hAnsi="Arial" w:cs="Arial"/>
          <w:color w:val="156082"/>
          <w:u w:val="single"/>
        </w:rPr>
        <w:t>: A Settler Colonial site of violence</w:t>
      </w:r>
      <w:bookmarkEnd w:id="140"/>
      <w:r>
        <w:rPr>
          <w:rFonts w:ascii="Arial" w:eastAsia="Arial" w:hAnsi="Arial" w:cs="Arial"/>
          <w:color w:val="156082"/>
          <w:u w:val="single"/>
        </w:rPr>
        <w:t xml:space="preserve"> </w:t>
      </w:r>
    </w:p>
    <w:p w14:paraId="49791E04" w14:textId="77777777" w:rsidR="009F0C56" w:rsidRDefault="00653842">
      <w:pPr>
        <w:pStyle w:val="Heading2"/>
        <w:rPr>
          <w:rFonts w:ascii="Arial" w:eastAsia="Arial" w:hAnsi="Arial" w:cs="Arial"/>
        </w:rPr>
      </w:pPr>
      <w:bookmarkStart w:id="141" w:name="_Toc240966052"/>
      <w:r>
        <w:rPr>
          <w:rFonts w:ascii="Arial" w:eastAsia="Arial" w:hAnsi="Arial" w:cs="Arial"/>
        </w:rPr>
        <w:t>Introduction</w:t>
      </w:r>
      <w:bookmarkEnd w:id="141"/>
    </w:p>
    <w:p w14:paraId="46815C37" w14:textId="77777777"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Building on the previous chapters that explored homogenisation, commodification, and historization, this chapter focuses on land as a key site of representation and control in settler colonialism. While homogenisation showed how Indigenous cultures are reduced to a single “Indian” caricature, commodification highlighted how cultural fragments are turned into consumer goods, and time revealed how Indigenous presence is relegated to a vanished past, this chapter argues that these representational logics are u</w:t>
      </w:r>
      <w:r>
        <w:rPr>
          <w:rFonts w:ascii="Arial" w:eastAsia="Arial" w:hAnsi="Arial" w:cs="Arial"/>
          <w:color w:val="262626"/>
        </w:rPr>
        <w:t xml:space="preserve">ltimately rooted in the manipulation of land. </w:t>
      </w:r>
    </w:p>
    <w:p w14:paraId="6BBB7EDF" w14:textId="77777777"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 xml:space="preserve">In settler frameworks, land is often viewed as a static and extractable resource, a backdrop for capitalist expansion and urban growth. This perspective dominates in South Florida’s highly commodified landscape, where urban development, tourist economies, and ecological exploitation intersect. In contrast, Indigenous perspectives, such as those held by the Seminole and Miccosukee, see land as a living, relational entity, connected to water systems, animals, plants, weather, and memory (Seminole 2025). This </w:t>
      </w:r>
      <w:r>
        <w:rPr>
          <w:rFonts w:ascii="Arial" w:eastAsia="Arial" w:hAnsi="Arial" w:cs="Arial"/>
          <w:color w:val="262626"/>
        </w:rPr>
        <w:t xml:space="preserve">difference highlights how settler society’s reconfiguration of land as property simultaneously erases Indigenous sovereignty and obscures the deeper relationality that binds humans and non-humans within Indigenous worlds. </w:t>
      </w:r>
    </w:p>
    <w:p w14:paraId="12FF2980" w14:textId="378D0116"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The analysis in this chapter will examine how territory</w:t>
      </w:r>
      <w:r w:rsidR="00E40CD6">
        <w:rPr>
          <w:rFonts w:ascii="Arial" w:eastAsia="Arial" w:hAnsi="Arial" w:cs="Arial"/>
          <w:color w:val="262626"/>
        </w:rPr>
        <w:t>,</w:t>
      </w:r>
      <w:r>
        <w:rPr>
          <w:rFonts w:ascii="Arial" w:eastAsia="Arial" w:hAnsi="Arial" w:cs="Arial"/>
          <w:color w:val="262626"/>
        </w:rPr>
        <w:t xml:space="preserve"> and therefore land</w:t>
      </w:r>
      <w:r w:rsidR="00E40CD6">
        <w:rPr>
          <w:rFonts w:ascii="Arial" w:eastAsia="Arial" w:hAnsi="Arial" w:cs="Arial"/>
          <w:color w:val="262626"/>
        </w:rPr>
        <w:t>,</w:t>
      </w:r>
      <w:r>
        <w:rPr>
          <w:rFonts w:ascii="Arial" w:eastAsia="Arial" w:hAnsi="Arial" w:cs="Arial"/>
          <w:color w:val="262626"/>
        </w:rPr>
        <w:t xml:space="preserve"> is represented and contested across South Florida’s capitalist spaces, from urban streetscapes to commercial tourism infrastructures. Statues, monuments, books, and souvenirs materialise settler narratives of ownership and permanence, while simultaneously marginalising Indigenous claims. </w:t>
      </w:r>
    </w:p>
    <w:p w14:paraId="61E7C9F9" w14:textId="3050EF23"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 xml:space="preserve">Yet Indigenous stories, creation narratives, and practices of land stewardship persist as acts of resistance, asserting that land is not an object to be owned but a sentient presence that sustains life, community, and future generations. In doing so, this chapter continues the thesis’s broader argument: settler colonialism works through layered strategies of erasure, flattening difference, commodifying culture, and </w:t>
      </w:r>
      <w:r w:rsidR="00E40CD6">
        <w:rPr>
          <w:rFonts w:ascii="Arial" w:eastAsia="Arial" w:hAnsi="Arial" w:cs="Arial"/>
          <w:color w:val="262626"/>
        </w:rPr>
        <w:t>weaponising</w:t>
      </w:r>
      <w:r>
        <w:rPr>
          <w:rFonts w:ascii="Arial" w:eastAsia="Arial" w:hAnsi="Arial" w:cs="Arial"/>
          <w:color w:val="262626"/>
        </w:rPr>
        <w:t xml:space="preserve"> temporality</w:t>
      </w:r>
      <w:r>
        <w:rPr>
          <w:rFonts w:ascii="Arial" w:eastAsia="Arial" w:hAnsi="Arial" w:cs="Arial"/>
          <w:color w:val="262626"/>
        </w:rPr>
        <w:t xml:space="preserve"> to naturalise its claims to space and history (Cordova 2007). The focus on land brings these strands together, showing how representational erasures are grounded in material geographies</w:t>
      </w:r>
      <w:r w:rsidR="00E40CD6">
        <w:rPr>
          <w:rFonts w:ascii="Arial" w:eastAsia="Arial" w:hAnsi="Arial" w:cs="Arial"/>
          <w:color w:val="262626"/>
        </w:rPr>
        <w:t>,</w:t>
      </w:r>
      <w:r>
        <w:rPr>
          <w:rFonts w:ascii="Arial" w:eastAsia="Arial" w:hAnsi="Arial" w:cs="Arial"/>
          <w:color w:val="262626"/>
        </w:rPr>
        <w:t xml:space="preserve"> while also highlighting the ways Seminole and Miccosukee cosmologies resist and unsettle settler control.</w:t>
      </w:r>
    </w:p>
    <w:p w14:paraId="143C3152" w14:textId="77777777" w:rsidR="009F0C56" w:rsidRDefault="009F0C56"/>
    <w:p w14:paraId="643CE4CA" w14:textId="77777777" w:rsidR="009F0C56" w:rsidRDefault="00653842">
      <w:pPr>
        <w:pStyle w:val="Heading2"/>
        <w:rPr>
          <w:rFonts w:ascii="Arial" w:eastAsia="Arial" w:hAnsi="Arial" w:cs="Arial"/>
        </w:rPr>
      </w:pPr>
      <w:bookmarkStart w:id="142" w:name="_Toc240966053"/>
      <w:r>
        <w:rPr>
          <w:rFonts w:ascii="Arial" w:eastAsia="Arial" w:hAnsi="Arial" w:cs="Arial"/>
        </w:rPr>
        <w:t>9.1 Seminole creation and the introduction of land as a political entity</w:t>
      </w:r>
      <w:bookmarkEnd w:id="142"/>
      <w:r>
        <w:rPr>
          <w:rFonts w:ascii="Arial" w:eastAsia="Arial" w:hAnsi="Arial" w:cs="Arial"/>
        </w:rPr>
        <w:t xml:space="preserve"> </w:t>
      </w:r>
    </w:p>
    <w:p w14:paraId="0F21F699" w14:textId="1285B457" w:rsidR="009F0C56" w:rsidRDefault="00653842">
      <w:pPr>
        <w:spacing w:after="0" w:line="240" w:lineRule="auto"/>
        <w:rPr>
          <w:rFonts w:ascii="Arial" w:eastAsia="Arial" w:hAnsi="Arial" w:cs="Arial"/>
          <w:i/>
          <w:iCs/>
          <w:sz w:val="32"/>
          <w:szCs w:val="32"/>
        </w:rPr>
      </w:pPr>
      <w:r>
        <w:rPr>
          <w:rFonts w:ascii="Arial" w:eastAsia="Arial" w:hAnsi="Arial" w:cs="Arial"/>
          <w:i/>
          <w:iCs/>
          <w:color w:val="333333"/>
          <w:highlight w:val="white"/>
        </w:rPr>
        <w:t xml:space="preserve">When the Creator, the Grandfather of all things, created the earth, there were many things he wanted to put there. Birds, animals, reptiles, insects, and many different living things. The Creator did have certain </w:t>
      </w:r>
      <w:r w:rsidR="00E40CD6">
        <w:rPr>
          <w:rFonts w:ascii="Arial" w:eastAsia="Arial" w:hAnsi="Arial" w:cs="Arial"/>
          <w:i/>
          <w:iCs/>
          <w:color w:val="333333"/>
          <w:highlight w:val="white"/>
        </w:rPr>
        <w:t>favourite</w:t>
      </w:r>
      <w:r>
        <w:rPr>
          <w:rFonts w:ascii="Arial" w:eastAsia="Arial" w:hAnsi="Arial" w:cs="Arial"/>
          <w:i/>
          <w:iCs/>
          <w:color w:val="333333"/>
          <w:highlight w:val="white"/>
        </w:rPr>
        <w:t xml:space="preserve"> animals. He liked the Panther, Coo-wah-chobee - crawls on four legs, close to the ground. The Panther would sit </w:t>
      </w:r>
      <w:r>
        <w:rPr>
          <w:rFonts w:ascii="Arial" w:eastAsia="Arial" w:hAnsi="Arial" w:cs="Arial"/>
          <w:i/>
          <w:iCs/>
          <w:color w:val="333333"/>
          <w:highlight w:val="white"/>
        </w:rPr>
        <w:lastRenderedPageBreak/>
        <w:t>beside the Creator</w:t>
      </w:r>
      <w:r w:rsidR="00E40CD6">
        <w:rPr>
          <w:rFonts w:ascii="Arial" w:eastAsia="Arial" w:hAnsi="Arial" w:cs="Arial"/>
          <w:i/>
          <w:iCs/>
          <w:color w:val="333333"/>
          <w:highlight w:val="white"/>
        </w:rPr>
        <w:t>,</w:t>
      </w:r>
      <w:r>
        <w:rPr>
          <w:rFonts w:ascii="Arial" w:eastAsia="Arial" w:hAnsi="Arial" w:cs="Arial"/>
          <w:i/>
          <w:iCs/>
          <w:color w:val="333333"/>
          <w:highlight w:val="white"/>
        </w:rPr>
        <w:t xml:space="preserve"> and He would pet the Panther, over and over, across its long, soft, furry back.</w:t>
      </w:r>
    </w:p>
    <w:p w14:paraId="24FDFD90" w14:textId="77777777" w:rsidR="009F0C56" w:rsidRDefault="00653842">
      <w:pPr>
        <w:shd w:val="clear" w:color="auto" w:fill="FFFFFF"/>
        <w:spacing w:after="150" w:line="240" w:lineRule="auto"/>
        <w:rPr>
          <w:rFonts w:ascii="Arial" w:eastAsia="Arial" w:hAnsi="Arial" w:cs="Arial"/>
          <w:i/>
          <w:iCs/>
          <w:color w:val="333333"/>
        </w:rPr>
      </w:pPr>
      <w:r>
        <w:rPr>
          <w:rFonts w:ascii="Arial" w:eastAsia="Arial" w:hAnsi="Arial" w:cs="Arial"/>
          <w:i/>
          <w:iCs/>
          <w:color w:val="333333"/>
        </w:rPr>
        <w:t>The Creator made sure that certain animals and plants possessed unique healing powers. When the Creator touches certain things longer than normal, His powers automatically go into what He touches. He told Panther, "When it's complete, I would like for you to be the first to walk on the earth. You are majestic and beautiful. You have patience and strength. There is something special about you. You are the perfect one to walk the earth first."</w:t>
      </w:r>
    </w:p>
    <w:p w14:paraId="3EF536B5" w14:textId="77777777" w:rsidR="009F0C56" w:rsidRDefault="00653842">
      <w:pPr>
        <w:shd w:val="clear" w:color="auto" w:fill="FFFFFF"/>
        <w:spacing w:after="150" w:line="240" w:lineRule="auto"/>
        <w:rPr>
          <w:rFonts w:ascii="Arial" w:eastAsia="Arial" w:hAnsi="Arial" w:cs="Arial"/>
          <w:i/>
          <w:iCs/>
          <w:color w:val="333333"/>
        </w:rPr>
      </w:pPr>
      <w:r>
        <w:rPr>
          <w:rFonts w:ascii="Arial" w:eastAsia="Arial" w:hAnsi="Arial" w:cs="Arial"/>
          <w:i/>
          <w:iCs/>
          <w:color w:val="333333"/>
        </w:rPr>
        <w:t>Creator went to work making all sorts of animals and birds. Animals on all fours, animals with hooves, animals with paws, birds with claws, insects, reptiles - why, there was nothing the Creator left out. When the earth was ready, Creator put all the animals in a large shell. He set it along the backbone of the earth - the real high mountains. "When the timing is right," He told the animals, "the shell will open and you will all crawl out. Someone or something will crack the shell and you must all take your</w:t>
      </w:r>
      <w:r>
        <w:rPr>
          <w:rFonts w:ascii="Arial" w:eastAsia="Arial" w:hAnsi="Arial" w:cs="Arial"/>
          <w:i/>
          <w:iCs/>
          <w:color w:val="333333"/>
        </w:rPr>
        <w:t xml:space="preserve"> respective places on the face the earth." The Creator then sealed up the shell and left, hoping the Panther would be first to come out.</w:t>
      </w:r>
    </w:p>
    <w:p w14:paraId="60409CD6" w14:textId="77777777" w:rsidR="009F0C56" w:rsidRDefault="00653842">
      <w:pPr>
        <w:shd w:val="clear" w:color="auto" w:fill="FFFFFF"/>
        <w:spacing w:after="150" w:line="240" w:lineRule="auto"/>
        <w:rPr>
          <w:rFonts w:ascii="Arial" w:eastAsia="Arial" w:hAnsi="Arial" w:cs="Arial"/>
          <w:i/>
          <w:iCs/>
          <w:color w:val="262626"/>
        </w:rPr>
      </w:pPr>
      <w:r>
        <w:rPr>
          <w:rFonts w:ascii="Arial" w:eastAsia="Arial" w:hAnsi="Arial" w:cs="Arial"/>
          <w:i/>
          <w:iCs/>
          <w:color w:val="262626"/>
        </w:rPr>
        <w:t>Time went along, and nothing happened. Alongside the shell stood a great tree. As time passed, the tree grew so large that its roots started encircling the shell. Eventually a root cracked the shell. The Panther was patient, which the Creator liked. But, at this particular time, Panther was too patient. The Wind started circling around the crack in the shell, round and round the inside, so vigorously that the crack was made larger.</w:t>
      </w:r>
    </w:p>
    <w:p w14:paraId="29CDAAD7" w14:textId="77777777" w:rsidR="009F0C56" w:rsidRDefault="00653842">
      <w:pPr>
        <w:shd w:val="clear" w:color="auto" w:fill="FFFFFF"/>
        <w:spacing w:after="150" w:line="240" w:lineRule="auto"/>
        <w:rPr>
          <w:rFonts w:ascii="Arial" w:eastAsia="Arial" w:hAnsi="Arial" w:cs="Arial"/>
          <w:i/>
          <w:iCs/>
          <w:color w:val="333333"/>
        </w:rPr>
      </w:pPr>
      <w:r>
        <w:rPr>
          <w:rFonts w:ascii="Arial" w:eastAsia="Arial" w:hAnsi="Arial" w:cs="Arial"/>
          <w:i/>
          <w:iCs/>
          <w:color w:val="333333"/>
        </w:rPr>
        <w:t>The Wind, however, remembered that the Creator wished for the Panther to be on earth first. "We will fulfill the Creator's wishes," said the Wind, reaching down to help the Panther take its place on earth.</w:t>
      </w:r>
    </w:p>
    <w:p w14:paraId="521FBF90" w14:textId="77777777" w:rsidR="009F0C56" w:rsidRDefault="00653842">
      <w:pPr>
        <w:shd w:val="clear" w:color="auto" w:fill="FFFFFF"/>
        <w:spacing w:after="150" w:line="240" w:lineRule="auto"/>
        <w:rPr>
          <w:rFonts w:ascii="Arial" w:eastAsia="Arial" w:hAnsi="Arial" w:cs="Arial"/>
          <w:i/>
          <w:iCs/>
          <w:color w:val="262626"/>
        </w:rPr>
      </w:pPr>
      <w:r>
        <w:rPr>
          <w:rFonts w:ascii="Arial" w:eastAsia="Arial" w:hAnsi="Arial" w:cs="Arial"/>
          <w:i/>
          <w:iCs/>
          <w:color w:val="333333"/>
        </w:rPr>
        <w:t xml:space="preserve">The Wind was everywhere. The Wind was the air we </w:t>
      </w:r>
      <w:r>
        <w:rPr>
          <w:rFonts w:ascii="Arial" w:eastAsia="Arial" w:hAnsi="Arial" w:cs="Arial"/>
          <w:i/>
          <w:iCs/>
          <w:color w:val="262626"/>
        </w:rPr>
        <w:t>breathe. After Wind helped the Panther out first, the Panther thanked Wind for the honor. Next to crawl out was the Bird. The Bird had picked and picked around the hole, and, when the time was right, stepped outside the shell. Bird took flight immediately. After that, other animals emerged in different sequences. Bear, Deer, Snake, Frog, Otter. There were thousands of others, so many that no one besides the Creator could even begin to count them all. All went out to seek their proper places on earth.</w:t>
      </w:r>
    </w:p>
    <w:p w14:paraId="2704DFC4" w14:textId="77777777" w:rsidR="009F0C56" w:rsidRDefault="00653842">
      <w:pPr>
        <w:shd w:val="clear" w:color="auto" w:fill="FFFFFF"/>
        <w:spacing w:after="150" w:line="240" w:lineRule="auto"/>
        <w:rPr>
          <w:rFonts w:ascii="Arial" w:eastAsia="Arial" w:hAnsi="Arial" w:cs="Arial"/>
          <w:i/>
          <w:iCs/>
          <w:color w:val="262626"/>
        </w:rPr>
      </w:pPr>
      <w:r>
        <w:rPr>
          <w:rFonts w:ascii="Arial" w:eastAsia="Arial" w:hAnsi="Arial" w:cs="Arial"/>
          <w:i/>
          <w:iCs/>
          <w:color w:val="262626"/>
        </w:rPr>
        <w:t>Meanwhile, as Bird was flying around looking for a place to live on earth, the Creator was watching. He watched each animal and did not intervene, but left the animals on their own. The Creator often allows things to happen along their own sequences. Sometimes a thing must happen on its own merits.</w:t>
      </w:r>
    </w:p>
    <w:p w14:paraId="01091DA0" w14:textId="77777777" w:rsidR="009F0C56" w:rsidRDefault="00653842">
      <w:pPr>
        <w:shd w:val="clear" w:color="auto" w:fill="FFFFFF"/>
        <w:spacing w:after="150" w:line="240" w:lineRule="auto"/>
        <w:rPr>
          <w:rFonts w:ascii="Arial" w:eastAsia="Arial" w:hAnsi="Arial" w:cs="Arial"/>
          <w:i/>
          <w:iCs/>
          <w:color w:val="333333"/>
        </w:rPr>
      </w:pPr>
      <w:r>
        <w:rPr>
          <w:rFonts w:ascii="Arial" w:eastAsia="Arial" w:hAnsi="Arial" w:cs="Arial"/>
          <w:i/>
          <w:iCs/>
          <w:color w:val="333333"/>
        </w:rPr>
        <w:t>When the Creator saw that all was done, He decided to name the animals and put them into Clans. For being such a good companion, the Creator rewarded the Panther with special qualities: "Your Clan will have the knowledge for making laws and for making the medicine which heals," Creator told Panther. "You, the Panther, will be in possession of all knowledge of different things. The Panther will have the power to heal different ailments and to enhance mental powers."</w:t>
      </w:r>
    </w:p>
    <w:p w14:paraId="55C2382C" w14:textId="77777777" w:rsidR="009F0C56" w:rsidRDefault="00653842">
      <w:pPr>
        <w:shd w:val="clear" w:color="auto" w:fill="FFFFFF"/>
        <w:spacing w:after="150" w:line="240" w:lineRule="auto"/>
        <w:rPr>
          <w:rFonts w:ascii="Arial" w:eastAsia="Arial" w:hAnsi="Arial" w:cs="Arial"/>
          <w:i/>
          <w:iCs/>
          <w:color w:val="333333"/>
        </w:rPr>
      </w:pPr>
      <w:r>
        <w:rPr>
          <w:rFonts w:ascii="Arial" w:eastAsia="Arial" w:hAnsi="Arial" w:cs="Arial"/>
          <w:i/>
          <w:iCs/>
          <w:color w:val="333333"/>
        </w:rPr>
        <w:t>Creator believed the actions of the Wind were very honorable and noble, so He told the Wind: "You will serve all living things so they may breathe. Without the wind - or air - all will die."</w:t>
      </w:r>
    </w:p>
    <w:p w14:paraId="16F1E0E8" w14:textId="77777777" w:rsidR="009F0C56" w:rsidRDefault="00653842">
      <w:pPr>
        <w:shd w:val="clear" w:color="auto" w:fill="FFFFFF"/>
        <w:spacing w:after="150" w:line="240" w:lineRule="auto"/>
        <w:rPr>
          <w:rFonts w:ascii="Arial" w:eastAsia="Arial" w:hAnsi="Arial" w:cs="Arial"/>
          <w:i/>
          <w:iCs/>
          <w:color w:val="333333"/>
        </w:rPr>
      </w:pPr>
      <w:r>
        <w:rPr>
          <w:rFonts w:ascii="Arial" w:eastAsia="Arial" w:hAnsi="Arial" w:cs="Arial"/>
          <w:i/>
          <w:iCs/>
          <w:color w:val="333333"/>
        </w:rPr>
        <w:lastRenderedPageBreak/>
        <w:t>The Bird, for being able to take flight, will be ruler of the earth, said the Creator: "The Bird will make sure that all things are put in their proper places on earth."</w:t>
      </w:r>
    </w:p>
    <w:p w14:paraId="584DD8F4" w14:textId="77777777" w:rsidR="009F0C56" w:rsidRDefault="00653842">
      <w:pPr>
        <w:shd w:val="clear" w:color="auto" w:fill="FFFFFF"/>
        <w:spacing w:after="150" w:line="240" w:lineRule="auto"/>
        <w:rPr>
          <w:rFonts w:ascii="Arial" w:eastAsia="Arial" w:hAnsi="Arial" w:cs="Arial"/>
          <w:i/>
          <w:iCs/>
          <w:color w:val="333333"/>
        </w:rPr>
      </w:pPr>
      <w:r>
        <w:rPr>
          <w:rFonts w:ascii="Arial" w:eastAsia="Arial" w:hAnsi="Arial" w:cs="Arial"/>
          <w:i/>
          <w:iCs/>
          <w:color w:val="333333"/>
        </w:rPr>
        <w:t>So this is how the beginning was made. Some call it the Creation. Though there were many, many animals put on this earth by the Creator, all came to know their proper places on earth.</w:t>
      </w:r>
    </w:p>
    <w:p w14:paraId="3D88FD14" w14:textId="77777777" w:rsidR="009F0C56" w:rsidRDefault="00653842">
      <w:pPr>
        <w:rPr>
          <w:rFonts w:ascii="Arial" w:eastAsia="Arial" w:hAnsi="Arial" w:cs="Arial"/>
        </w:rPr>
      </w:pPr>
      <w:r>
        <w:rPr>
          <w:rFonts w:ascii="Arial" w:eastAsia="Arial" w:hAnsi="Arial" w:cs="Arial"/>
        </w:rPr>
        <w:t>(Seminole 2024)</w:t>
      </w:r>
    </w:p>
    <w:p w14:paraId="4B61CC72" w14:textId="77777777" w:rsidR="009F0C56" w:rsidRDefault="009F0C56"/>
    <w:p w14:paraId="01ED05A3" w14:textId="7172DC24" w:rsidR="009F0C56" w:rsidRDefault="00653842">
      <w:pPr>
        <w:rPr>
          <w:rFonts w:ascii="Arial" w:eastAsia="Arial" w:hAnsi="Arial" w:cs="Arial"/>
          <w:color w:val="262626"/>
        </w:rPr>
      </w:pPr>
      <w:r>
        <w:rPr>
          <w:rFonts w:ascii="Arial" w:eastAsia="Arial" w:hAnsi="Arial" w:cs="Arial"/>
        </w:rPr>
        <w:t xml:space="preserve">The creation story above comes from </w:t>
      </w:r>
      <w:r w:rsidR="00E40CD6">
        <w:rPr>
          <w:rFonts w:ascii="Arial" w:eastAsia="Arial" w:hAnsi="Arial" w:cs="Arial"/>
        </w:rPr>
        <w:t>the</w:t>
      </w:r>
      <w:r>
        <w:rPr>
          <w:rFonts w:ascii="Arial" w:eastAsia="Arial" w:hAnsi="Arial" w:cs="Arial"/>
        </w:rPr>
        <w:t xml:space="preserve"> </w:t>
      </w:r>
      <w:r>
        <w:rPr>
          <w:rFonts w:ascii="Arial" w:eastAsia="Arial" w:hAnsi="Arial" w:cs="Arial"/>
          <w:color w:val="262626"/>
        </w:rPr>
        <w:t xml:space="preserve">Seminole (2025) website </w:t>
      </w:r>
      <w:r w:rsidR="00E40CD6">
        <w:rPr>
          <w:rFonts w:ascii="Arial" w:eastAsia="Arial" w:hAnsi="Arial" w:cs="Arial"/>
          <w:color w:val="262626"/>
        </w:rPr>
        <w:t xml:space="preserve">and </w:t>
      </w:r>
      <w:r>
        <w:rPr>
          <w:rFonts w:ascii="Arial" w:eastAsia="Arial" w:hAnsi="Arial" w:cs="Arial"/>
          <w:color w:val="262626"/>
        </w:rPr>
        <w:t xml:space="preserve">details how they came into being within their ontological perspectives. The story is built through the idea of a creator and their relationships to land and nature. Here, “mankind”, compared to the Christian story of Adam and Eve, plays a peripheral role compared to an omnipresent role. This placement of </w:t>
      </w:r>
      <w:r>
        <w:rPr>
          <w:rFonts w:ascii="Arial" w:eastAsia="Arial" w:hAnsi="Arial" w:cs="Arial"/>
          <w:color w:val="262626"/>
        </w:rPr>
        <w:t>agency in their creationism highlights how, at the core of ontology, land is understood and engaged with differently. This difference in agency placement and understanding of land and nature will be a major theme in analysing how Indigenous representations are altered, distorted, and manipulated through settler colonial interactions with land and Indigeneity (Steinmen 2022).</w:t>
      </w:r>
    </w:p>
    <w:p w14:paraId="7CFDF7FB" w14:textId="26962791" w:rsidR="009F0C56" w:rsidRDefault="00653842">
      <w:pPr>
        <w:rPr>
          <w:rFonts w:ascii="Arial" w:eastAsia="Arial" w:hAnsi="Arial" w:cs="Arial"/>
          <w:color w:val="262626"/>
        </w:rPr>
      </w:pPr>
      <w:r>
        <w:rPr>
          <w:rFonts w:ascii="Arial" w:eastAsia="Arial" w:hAnsi="Arial" w:cs="Arial"/>
          <w:color w:val="262626"/>
        </w:rPr>
        <w:t xml:space="preserve">In this, the final chapter will analyse the concept of land through three intersecting perspectives: land as understood, first, within a settler colonial framework, second, within an Indigenous framework, and third, and more specifically, within a Seminole and Miccosukee framework. Through engaging with these perspectives, this chapter will explore how </w:t>
      </w:r>
      <w:r>
        <w:rPr>
          <w:rFonts w:ascii="Arial" w:eastAsia="Arial" w:hAnsi="Arial" w:cs="Arial"/>
          <w:color w:val="0A0A0A"/>
          <w:highlight w:val="white"/>
        </w:rPr>
        <w:t>territorialization </w:t>
      </w:r>
      <w:r>
        <w:rPr>
          <w:rFonts w:ascii="Arial" w:eastAsia="Arial" w:hAnsi="Arial" w:cs="Arial"/>
          <w:color w:val="262626"/>
        </w:rPr>
        <w:t xml:space="preserve">operates as a physical and metaphysical entity in shaping power relations between settlers and Indigenous communities. This analysis will focus on how settler society utilises land for erasure, </w:t>
      </w:r>
      <w:r>
        <w:rPr>
          <w:rFonts w:ascii="Arial" w:eastAsia="Arial" w:hAnsi="Arial" w:cs="Arial"/>
          <w:color w:val="262626"/>
        </w:rPr>
        <w:t>manipulating Indigenous representations to distort and redefine Indigenous identity within the colonial framework. To explore this, land will be discussed conceptually through Indigenous creation stories, materially through tourism, and as property through the critiques of Locke and Hobbes’ analysis of land from authors like Harris (2004).</w:t>
      </w:r>
    </w:p>
    <w:p w14:paraId="361F5A1D" w14:textId="77777777" w:rsidR="009F0C56" w:rsidRDefault="00653842">
      <w:pPr>
        <w:rPr>
          <w:color w:val="262626"/>
        </w:rPr>
      </w:pPr>
      <w:r>
        <w:rPr>
          <w:rFonts w:ascii="Arial" w:eastAsia="Arial" w:hAnsi="Arial" w:cs="Arial"/>
          <w:color w:val="262626"/>
        </w:rPr>
        <w:t xml:space="preserve">To begin this analysis of settler interactions with the land, themes around land relations between the Seminole, Miccosukee, and settler communities, and how they are situated and relate to themes of Indigenous representation, will be analysed. </w:t>
      </w:r>
      <w:r>
        <w:rPr>
          <w:color w:val="262626"/>
        </w:rPr>
        <w:t xml:space="preserve">     </w:t>
      </w:r>
      <w:r>
        <w:rPr>
          <w:rFonts w:ascii="Arial" w:eastAsia="Arial" w:hAnsi="Arial" w:cs="Arial"/>
          <w:color w:val="262626"/>
        </w:rPr>
        <w:t>This will reveal how different relationships to land reflect broader struggles over sovereignty, memory, and identity, whilst all being investigated by settler colonial theory and Indigenous geographies (Atelo, Boron 2022).</w:t>
      </w:r>
    </w:p>
    <w:p w14:paraId="6BD0D3BD" w14:textId="77777777"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To ground this analysis, visual imagery collected during fieldwork will serve as key empirical evidence alongside Indigenous literature, offering insights into how Indigenous representations move across metaphysical and material landscapes to resist settler colonial power. To engage with land in this discussion, it must first be acknowledged that land is not simply a stationary material, a common misconception in settler colonial frameworks. But rather, drawing from Watts' analysis, this work will engage wi</w:t>
      </w:r>
      <w:r>
        <w:rPr>
          <w:rFonts w:ascii="Arial" w:eastAsia="Arial" w:hAnsi="Arial" w:cs="Arial"/>
          <w:color w:val="262626"/>
        </w:rPr>
        <w:t xml:space="preserve">th land as a living entity that holds histories, emotions, beliefs, and futures, </w:t>
      </w:r>
      <w:r>
        <w:rPr>
          <w:rFonts w:ascii="Arial" w:eastAsia="Arial" w:hAnsi="Arial" w:cs="Arial"/>
          <w:color w:val="262626"/>
        </w:rPr>
        <w:lastRenderedPageBreak/>
        <w:t xml:space="preserve">but is also a site of struggle, contestation, and anger (Watts 2013).  In this chapter, the concept of land in this chapter draws from Watts’ (2013) article </w:t>
      </w:r>
      <w:r>
        <w:rPr>
          <w:rFonts w:ascii="Arial" w:eastAsia="Arial" w:hAnsi="Arial" w:cs="Arial"/>
          <w:i/>
          <w:iCs/>
          <w:color w:val="262626"/>
        </w:rPr>
        <w:t>“Indigenous Place-Thought and Agency Amongst Humans and Non-Humans,”</w:t>
      </w:r>
      <w:r>
        <w:rPr>
          <w:rFonts w:ascii="Arial" w:eastAsia="Arial" w:hAnsi="Arial" w:cs="Arial"/>
          <w:color w:val="262626"/>
        </w:rPr>
        <w:t xml:space="preserve"> which theorises land not as property but as a sentient, relational entity. Watts’ work is rooted in Mohawk-Anishinaabe epistemological and ontological positions and writes on "Place-Thought" to explain how land is intertwined with being and knowing in the Mohawk-Anishinaabe worldview. </w:t>
      </w:r>
    </w:p>
    <w:p w14:paraId="4557E542" w14:textId="770936D1"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 xml:space="preserve">While Watts' work is place-specific, it offers a valuable lens for analysing the settler colonial erasure of Indigenous relationships to land. Here, Watts’ framework resonates with the Seminole and Miccosukee, who assert land as foundational to their identity and sovereignty. This relationality is exemplified in the </w:t>
      </w:r>
      <w:r>
        <w:rPr>
          <w:rFonts w:ascii="Arial" w:eastAsia="Arial" w:hAnsi="Arial" w:cs="Arial"/>
          <w:i/>
          <w:iCs/>
          <w:color w:val="262626"/>
        </w:rPr>
        <w:t>Buckskin Declaration</w:t>
      </w:r>
      <w:r>
        <w:rPr>
          <w:rFonts w:ascii="Arial" w:eastAsia="Arial" w:hAnsi="Arial" w:cs="Arial"/>
          <w:color w:val="262626"/>
        </w:rPr>
        <w:t xml:space="preserve"> (1954), where the tribes affirm their distinct governance, customs, and worldview. Rejecting settler colonial efforts to assimilate or diminish them</w:t>
      </w:r>
      <w:r w:rsidR="00E40CD6">
        <w:rPr>
          <w:rFonts w:ascii="Arial" w:eastAsia="Arial" w:hAnsi="Arial" w:cs="Arial"/>
          <w:color w:val="262626"/>
        </w:rPr>
        <w:t>,</w:t>
      </w:r>
      <w:r>
        <w:rPr>
          <w:rFonts w:ascii="Arial" w:eastAsia="Arial" w:hAnsi="Arial" w:cs="Arial"/>
          <w:color w:val="262626"/>
        </w:rPr>
        <w:t xml:space="preserve"> as noted</w:t>
      </w:r>
      <w:r>
        <w:rPr>
          <w:rFonts w:ascii="Arial" w:eastAsia="Arial" w:hAnsi="Arial" w:cs="Arial"/>
          <w:color w:val="262626"/>
        </w:rPr>
        <w:t xml:space="preserve">: “We have, and have had for centuries, our own customs, our own government, our own language, and our own way of life…” (Miccosukee 2025). Thus, </w:t>
      </w:r>
      <w:r>
        <w:rPr>
          <w:rFonts w:ascii="Arial" w:eastAsia="Arial" w:hAnsi="Arial" w:cs="Arial"/>
          <w:color w:val="262626"/>
        </w:rPr>
        <w:t xml:space="preserve">placing Watts in conversation alongside the Declaration, it highlights not a careless application of Watts </w:t>
      </w:r>
      <w:r w:rsidR="00E40CD6">
        <w:rPr>
          <w:rFonts w:ascii="Arial" w:eastAsia="Arial" w:hAnsi="Arial" w:cs="Arial"/>
          <w:color w:val="262626"/>
        </w:rPr>
        <w:t>to</w:t>
      </w:r>
      <w:r>
        <w:rPr>
          <w:rFonts w:ascii="Arial" w:eastAsia="Arial" w:hAnsi="Arial" w:cs="Arial"/>
          <w:color w:val="262626"/>
        </w:rPr>
        <w:t xml:space="preserve"> the conversation around Seminole and Miccosukee engagements with land. Rather, a deeper analysis of how settler society manipulates land to erase Indigenous presence can be undertaken (Watts 2013).</w:t>
      </w:r>
    </w:p>
    <w:p w14:paraId="5802E885" w14:textId="62766805" w:rsidR="009F0C56" w:rsidRDefault="00653842">
      <w:pPr>
        <w:spacing w:before="280" w:after="280" w:line="240" w:lineRule="auto"/>
        <w:rPr>
          <w:rFonts w:ascii="Arial" w:eastAsia="Arial" w:hAnsi="Arial" w:cs="Arial"/>
          <w:color w:val="262626"/>
        </w:rPr>
      </w:pPr>
      <w:r>
        <w:rPr>
          <w:rFonts w:ascii="Arial" w:eastAsia="Arial" w:hAnsi="Arial" w:cs="Arial"/>
          <w:color w:val="262626"/>
        </w:rPr>
        <w:t xml:space="preserve">Through this, the research location of South Florida is a highly </w:t>
      </w:r>
      <w:r w:rsidR="00E40CD6">
        <w:rPr>
          <w:rFonts w:ascii="Arial" w:eastAsia="Arial" w:hAnsi="Arial" w:cs="Arial"/>
          <w:color w:val="262626"/>
        </w:rPr>
        <w:t>urbanised</w:t>
      </w:r>
      <w:r>
        <w:rPr>
          <w:rFonts w:ascii="Arial" w:eastAsia="Arial" w:hAnsi="Arial" w:cs="Arial"/>
          <w:color w:val="262626"/>
        </w:rPr>
        <w:t xml:space="preserve"> area</w:t>
      </w:r>
      <w:r>
        <w:rPr>
          <w:rFonts w:ascii="Arial" w:eastAsia="Arial" w:hAnsi="Arial" w:cs="Arial"/>
          <w:color w:val="262626"/>
        </w:rPr>
        <w:t xml:space="preserve"> that is marked by deep economic, cultural, and political tensions surrounding land use (Dorries 2022). Watts’ analysis will be drawn on and explored through the case study of South Florida, </w:t>
      </w:r>
      <w:r w:rsidR="00E40CD6">
        <w:rPr>
          <w:rFonts w:ascii="Arial" w:eastAsia="Arial" w:hAnsi="Arial" w:cs="Arial"/>
          <w:color w:val="262626"/>
        </w:rPr>
        <w:t>examining</w:t>
      </w:r>
      <w:r>
        <w:rPr>
          <w:rFonts w:ascii="Arial" w:eastAsia="Arial" w:hAnsi="Arial" w:cs="Arial"/>
          <w:color w:val="262626"/>
        </w:rPr>
        <w:t xml:space="preserve"> how settler rhetorics concerning Indigenous land use have been </w:t>
      </w:r>
      <w:r w:rsidR="00E40CD6">
        <w:rPr>
          <w:rFonts w:ascii="Arial" w:eastAsia="Arial" w:hAnsi="Arial" w:cs="Arial"/>
          <w:color w:val="262626"/>
        </w:rPr>
        <w:t>central</w:t>
      </w:r>
      <w:r>
        <w:rPr>
          <w:rFonts w:ascii="Arial" w:eastAsia="Arial" w:hAnsi="Arial" w:cs="Arial"/>
          <w:color w:val="262626"/>
        </w:rPr>
        <w:t xml:space="preserve"> to discourses, compared to the Seminole and Miccosukee, who have historically and contemporarily been sidelined in discussions on land (Watts 2013). To fully comprehend and analyse the differences between the land perspectives of the Seminole, Miccosukee, and settlers, it is essential to view land in an Indigenous context as an ontologically pluriversal space (Daigle 2024). Where no single agency determines the meaning of land, instead, it serves as a site of interaction among various relational systems. I</w:t>
      </w:r>
      <w:r>
        <w:rPr>
          <w:rFonts w:ascii="Arial" w:eastAsia="Arial" w:hAnsi="Arial" w:cs="Arial"/>
          <w:color w:val="262626"/>
        </w:rPr>
        <w:t xml:space="preserve">n this, a clear distinction emerges between Seminole and Miccosukee and settler perspectives: </w:t>
      </w:r>
      <w:r>
        <w:rPr>
          <w:rFonts w:ascii="Arial" w:eastAsia="Arial" w:hAnsi="Arial" w:cs="Arial"/>
          <w:color w:val="262626"/>
        </w:rPr>
        <w:t xml:space="preserve">the Seminole and Miccosukee view land as a dynamic living entity, intertwined with water systems, animals, plants, minerals, weather, and dreams. Compared to the settlers' understanding of land </w:t>
      </w:r>
      <w:r w:rsidR="00E40CD6">
        <w:rPr>
          <w:rFonts w:ascii="Arial" w:eastAsia="Arial" w:hAnsi="Arial" w:cs="Arial"/>
          <w:color w:val="262626"/>
        </w:rPr>
        <w:t xml:space="preserve">as </w:t>
      </w:r>
      <w:r>
        <w:rPr>
          <w:rFonts w:ascii="Arial" w:eastAsia="Arial" w:hAnsi="Arial" w:cs="Arial"/>
          <w:color w:val="262626"/>
        </w:rPr>
        <w:t>having a fixed meaning (Barthes 2009). In this context, Indigenous literature</w:t>
      </w:r>
      <w:r w:rsidR="00E40CD6">
        <w:rPr>
          <w:rFonts w:ascii="Arial" w:eastAsia="Arial" w:hAnsi="Arial" w:cs="Arial"/>
          <w:color w:val="262626"/>
        </w:rPr>
        <w:t>,</w:t>
      </w:r>
      <w:r>
        <w:rPr>
          <w:rFonts w:ascii="Arial" w:eastAsia="Arial" w:hAnsi="Arial" w:cs="Arial"/>
          <w:color w:val="262626"/>
        </w:rPr>
        <w:t xml:space="preserve"> from academic work to creation stories</w:t>
      </w:r>
      <w:r w:rsidR="00E40CD6">
        <w:rPr>
          <w:rFonts w:ascii="Arial" w:eastAsia="Arial" w:hAnsi="Arial" w:cs="Arial"/>
          <w:color w:val="262626"/>
        </w:rPr>
        <w:t>,</w:t>
      </w:r>
      <w:r>
        <w:rPr>
          <w:rFonts w:ascii="Arial" w:eastAsia="Arial" w:hAnsi="Arial" w:cs="Arial"/>
          <w:color w:val="262626"/>
        </w:rPr>
        <w:t xml:space="preserve"> frames land as animated and relational, contrasting with settlers' static and resource-focused interactions, as illustrated in the visual imagery of the upcoming analysis (Neegeanwedgin 2020).</w:t>
      </w:r>
    </w:p>
    <w:p w14:paraId="029F2477" w14:textId="0229AFF2" w:rsidR="009F0C56" w:rsidRDefault="00653842">
      <w:pPr>
        <w:spacing w:after="0" w:line="240" w:lineRule="auto"/>
        <w:rPr>
          <w:rFonts w:ascii="Arial" w:eastAsia="Arial" w:hAnsi="Arial" w:cs="Arial"/>
          <w:color w:val="262626"/>
        </w:rPr>
      </w:pPr>
      <w:r>
        <w:rPr>
          <w:rFonts w:ascii="Arial" w:eastAsia="Arial" w:hAnsi="Arial" w:cs="Arial"/>
          <w:color w:val="262626"/>
        </w:rPr>
        <w:t xml:space="preserve">Following settler societies' interactions with the land, this work will summarise a more general Indigenous creation story that depicts land as integral to the formation of life, communities, and spiritual responsibilities. The reasoning for adopting a coupled Indigenous creation story alongside a Seminole and Miccosukee creation story here is that it will allow for a deeper analysis of settler relations to land. </w:t>
      </w:r>
      <w:r w:rsidR="00E40CD6">
        <w:rPr>
          <w:rFonts w:ascii="Arial" w:eastAsia="Arial" w:hAnsi="Arial" w:cs="Arial"/>
          <w:color w:val="262626"/>
        </w:rPr>
        <w:t>By</w:t>
      </w:r>
      <w:r>
        <w:rPr>
          <w:rFonts w:ascii="Arial" w:eastAsia="Arial" w:hAnsi="Arial" w:cs="Arial"/>
          <w:color w:val="262626"/>
        </w:rPr>
        <w:t xml:space="preserve"> highlighting a ‘generic’ composed Indigenous creation story through authors like Cordova, a deeper analysis of settler relations to land will lead to a more grounded context of Seminole, Miccosukee, and Settler interactions later in the chapter. Thus, the reasoning for using such stories from a ‘generic’ perspective is that authors such as </w:t>
      </w:r>
      <w:r>
        <w:rPr>
          <w:rFonts w:ascii="Arial" w:eastAsia="Arial" w:hAnsi="Arial" w:cs="Arial"/>
          <w:color w:val="262626"/>
        </w:rPr>
        <w:lastRenderedPageBreak/>
        <w:t>Cordova explore relations between their creation stories and the settlers' way of life. This helps in centring a deeper analysis, as a background of relations has alread</w:t>
      </w:r>
      <w:r>
        <w:rPr>
          <w:rFonts w:ascii="Arial" w:eastAsia="Arial" w:hAnsi="Arial" w:cs="Arial"/>
          <w:color w:val="262626"/>
        </w:rPr>
        <w:t>y been undertaken. Following this generic background, the Seminole and Miccosukee Creation Stories, which have typically been passed through oral traditions, will be discussed. Here, Betty Mae Jumper’s ‘</w:t>
      </w:r>
      <w:r>
        <w:rPr>
          <w:rFonts w:ascii="Arial" w:eastAsia="Arial" w:hAnsi="Arial" w:cs="Arial"/>
          <w:i/>
          <w:iCs/>
          <w:color w:val="262626"/>
        </w:rPr>
        <w:t>Legends of the Seminole’</w:t>
      </w:r>
      <w:r>
        <w:rPr>
          <w:rFonts w:ascii="Arial" w:eastAsia="Arial" w:hAnsi="Arial" w:cs="Arial"/>
          <w:color w:val="262626"/>
        </w:rPr>
        <w:t xml:space="preserve"> provided the first written history of these traditions, preserving a perspective that challenges settler-colonial reductions of land to property. These histories position land not as an external resource, but as an interconnected entity that holds memory, presence, and future possibilities for Indigenous communities, where it becomes an epistemological anti-colonial tool of resistance (Jumper 2020). </w:t>
      </w:r>
    </w:p>
    <w:p w14:paraId="2E469D28" w14:textId="77777777" w:rsidR="009F0C56" w:rsidRDefault="009F0C56">
      <w:pPr>
        <w:spacing w:after="0" w:line="240" w:lineRule="auto"/>
        <w:rPr>
          <w:rFonts w:ascii="Arial" w:eastAsia="Arial" w:hAnsi="Arial" w:cs="Arial"/>
        </w:rPr>
      </w:pPr>
    </w:p>
    <w:p w14:paraId="6607DCA6" w14:textId="2EDC07CE" w:rsidR="009F0C56" w:rsidRDefault="00653842">
      <w:pPr>
        <w:spacing w:after="0" w:line="240" w:lineRule="auto"/>
        <w:rPr>
          <w:color w:val="262626"/>
        </w:rPr>
      </w:pPr>
      <w:r>
        <w:rPr>
          <w:rFonts w:ascii="Arial" w:eastAsia="Arial" w:hAnsi="Arial" w:cs="Arial"/>
          <w:color w:val="262626"/>
        </w:rPr>
        <w:t>In comparing Seminole and Miccosukee inhabited areas with settler spaces, this chapter will reveal the mutual and interconnected agency of relationships between land, settlers, and Indigenous communities. Through these relationships, the chapter will explore how settler societies construct land as a commodified and extractable entity, reinforcing capitalist notions of ownership and control, which will be analysed (Barker Pickerill 2012). This will unmask how Seminole and Miccosukee relationships to land emp</w:t>
      </w:r>
      <w:r>
        <w:rPr>
          <w:rFonts w:ascii="Arial" w:eastAsia="Arial" w:hAnsi="Arial" w:cs="Arial"/>
          <w:color w:val="262626"/>
        </w:rPr>
        <w:t xml:space="preserve">hasise relationality, reciprocity, and non-human agency, working to directly resist settler frameworks (Veracini 2021). Through this, an investigation of how Indigenous representations </w:t>
      </w:r>
      <w:r w:rsidR="00E40CD6">
        <w:rPr>
          <w:rFonts w:ascii="Arial" w:eastAsia="Arial" w:hAnsi="Arial" w:cs="Arial"/>
          <w:color w:val="262626"/>
        </w:rPr>
        <w:t>are</w:t>
      </w:r>
      <w:r>
        <w:rPr>
          <w:rFonts w:ascii="Arial" w:eastAsia="Arial" w:hAnsi="Arial" w:cs="Arial"/>
          <w:color w:val="262626"/>
        </w:rPr>
        <w:t xml:space="preserve"> co-opted and reconfigured within settler landscapes to reinforce settler memories while diminishing Indigenous sovereignty will be undertaken. Here, an engagement with visual imagery from the fieldwork and Indigenous literatures will illustrate how land is not simply a contested space but a site where settler colonial power is inscribed, resisted, and transformed through the manipulation of Indigenous representations (Blackhawk 2007).</w:t>
      </w:r>
    </w:p>
    <w:p w14:paraId="56A8CA55" w14:textId="34003A3C" w:rsidR="009F0C56" w:rsidRDefault="00653842">
      <w:pPr>
        <w:spacing w:before="280" w:after="280" w:line="240" w:lineRule="auto"/>
        <w:rPr>
          <w:rFonts w:ascii="Arial" w:eastAsia="Arial" w:hAnsi="Arial" w:cs="Arial"/>
          <w:color w:val="262626"/>
        </w:rPr>
      </w:pPr>
      <w:r>
        <w:rPr>
          <w:rFonts w:ascii="Arial" w:eastAsia="Arial" w:hAnsi="Arial" w:cs="Arial"/>
          <w:color w:val="262626"/>
        </w:rPr>
        <w:t xml:space="preserve">In concluding these analysis sections, the analysis of land in this final chapter will also synthesise the findings from commodification, historization, and homogenisation, in demonstrating how settler colonialism strategically distorts Indigenous representations to reinforce its own narratives. However, still </w:t>
      </w:r>
      <w:r w:rsidR="00E40CD6">
        <w:rPr>
          <w:rFonts w:ascii="Arial" w:eastAsia="Arial" w:hAnsi="Arial" w:cs="Arial"/>
          <w:color w:val="262626"/>
        </w:rPr>
        <w:t>acknowledged</w:t>
      </w:r>
      <w:r>
        <w:rPr>
          <w:rFonts w:ascii="Arial" w:eastAsia="Arial" w:hAnsi="Arial" w:cs="Arial"/>
          <w:color w:val="262626"/>
        </w:rPr>
        <w:t xml:space="preserve"> that</w:t>
      </w:r>
      <w:r w:rsidR="00E40CD6">
        <w:rPr>
          <w:rFonts w:ascii="Arial" w:eastAsia="Arial" w:hAnsi="Arial" w:cs="Arial"/>
          <w:color w:val="262626"/>
        </w:rPr>
        <w:t>,</w:t>
      </w:r>
      <w:r>
        <w:rPr>
          <w:rFonts w:ascii="Arial" w:eastAsia="Arial" w:hAnsi="Arial" w:cs="Arial"/>
          <w:color w:val="262626"/>
        </w:rPr>
        <w:t xml:space="preserve"> despite these distortions, Seminole and Miccosukee cosmologies continue to assert that land is more than a resource or territory; it is a living presence that shapes identity, history, and future generations. In essence, regardless of settler tactics, land will always be Indigenous (Cordova 2007). Through foregrounding Indigenous perspectives and using visual evidence to examine how representations of land function in settler and Indigenous spaces, this chapter will highlight both the erasure and persisten</w:t>
      </w:r>
      <w:r>
        <w:rPr>
          <w:rFonts w:ascii="Arial" w:eastAsia="Arial" w:hAnsi="Arial" w:cs="Arial"/>
          <w:color w:val="262626"/>
        </w:rPr>
        <w:t>ce of Indigenous presence within the settler-colonial landscape.</w:t>
      </w:r>
    </w:p>
    <w:p w14:paraId="24670CA7" w14:textId="77777777" w:rsidR="009F0C56" w:rsidRDefault="00653842">
      <w:pPr>
        <w:pStyle w:val="Heading2"/>
        <w:rPr>
          <w:rFonts w:ascii="Arial" w:eastAsia="Arial" w:hAnsi="Arial" w:cs="Arial"/>
        </w:rPr>
      </w:pPr>
      <w:bookmarkStart w:id="143" w:name="_Toc240966054"/>
      <w:r>
        <w:rPr>
          <w:rFonts w:ascii="Arial" w:eastAsia="Arial" w:hAnsi="Arial" w:cs="Arial"/>
        </w:rPr>
        <w:t>9.2 Settler relations with the land</w:t>
      </w:r>
      <w:bookmarkEnd w:id="143"/>
      <w:r>
        <w:rPr>
          <w:rFonts w:ascii="Arial" w:eastAsia="Arial" w:hAnsi="Arial" w:cs="Arial"/>
        </w:rPr>
        <w:t xml:space="preserve"> </w:t>
      </w:r>
    </w:p>
    <w:p w14:paraId="205D1A1E" w14:textId="3FF44342"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Land in settler society has historically been conceptualised through liberal Euro-Western philosophies, particularly those of John Locke and Thomas Hobbes (Atleo, Boron, 2022). Locke’s labour theory of property and Hobbes’s emphasis on the need for sovereign control over land as a means of civilising the so-called "state of nature" have been instrumental in shaping settler colonial engagements with territory. In this, these philosophies have legitimised the transformation of land into a commodified resource</w:t>
      </w:r>
      <w:r>
        <w:rPr>
          <w:rFonts w:ascii="Arial" w:eastAsia="Arial" w:hAnsi="Arial" w:cs="Arial"/>
          <w:color w:val="262626"/>
        </w:rPr>
        <w:t xml:space="preserve">, framing it as empty, unproductive, or chaotic, unless brought under settler control through ‘settler’ labour and governance (Hobbes 1985). This settler colonial underpinning is no less true in the context of South Florida, where such ideologies </w:t>
      </w:r>
      <w:r>
        <w:rPr>
          <w:rFonts w:ascii="Arial" w:eastAsia="Arial" w:hAnsi="Arial" w:cs="Arial"/>
          <w:color w:val="262626"/>
        </w:rPr>
        <w:lastRenderedPageBreak/>
        <w:t>have underpinned settler colonial actions (Bowra et al</w:t>
      </w:r>
      <w:r w:rsidR="00E40CD6">
        <w:rPr>
          <w:rFonts w:ascii="Arial" w:eastAsia="Arial" w:hAnsi="Arial" w:cs="Arial"/>
          <w:color w:val="262626"/>
        </w:rPr>
        <w:t>.</w:t>
      </w:r>
      <w:r>
        <w:rPr>
          <w:rFonts w:ascii="Arial" w:eastAsia="Arial" w:hAnsi="Arial" w:cs="Arial"/>
          <w:color w:val="262626"/>
        </w:rPr>
        <w:t xml:space="preserve"> 2021). These aim to displace Seminole and Miccosukee communities </w:t>
      </w:r>
      <w:r w:rsidR="00E40CD6">
        <w:rPr>
          <w:rFonts w:ascii="Arial" w:eastAsia="Arial" w:hAnsi="Arial" w:cs="Arial"/>
          <w:color w:val="262626"/>
        </w:rPr>
        <w:t>by</w:t>
      </w:r>
      <w:r>
        <w:rPr>
          <w:rFonts w:ascii="Arial" w:eastAsia="Arial" w:hAnsi="Arial" w:cs="Arial"/>
          <w:color w:val="262626"/>
        </w:rPr>
        <w:t xml:space="preserve"> erasing their presence from the landscapes, and replacing Indigenous ontologies with settler-centric narratives of land use and ownership. However, as noted, this is not how land is universally engaged with, as many Indigenous geographies critique this sentiment and explore how these settler-imposed understandings of land harbour settler colonial ambitions to remove </w:t>
      </w:r>
      <w:r>
        <w:rPr>
          <w:rFonts w:ascii="Arial" w:eastAsia="Arial" w:hAnsi="Arial" w:cs="Arial"/>
          <w:color w:val="262626"/>
        </w:rPr>
        <w:t xml:space="preserve">Indigenous </w:t>
      </w:r>
      <w:r w:rsidR="00E40CD6">
        <w:rPr>
          <w:rFonts w:ascii="Arial" w:eastAsia="Arial" w:hAnsi="Arial" w:cs="Arial"/>
          <w:color w:val="262626"/>
        </w:rPr>
        <w:t xml:space="preserve">peoples </w:t>
      </w:r>
      <w:r>
        <w:rPr>
          <w:rFonts w:ascii="Arial" w:eastAsia="Arial" w:hAnsi="Arial" w:cs="Arial"/>
          <w:color w:val="262626"/>
        </w:rPr>
        <w:t>from the land, as will be shown in the following section (Harris 2004)</w:t>
      </w:r>
    </w:p>
    <w:p w14:paraId="2EBFB443" w14:textId="77777777" w:rsidR="009F0C56" w:rsidRDefault="00653842">
      <w:pPr>
        <w:pStyle w:val="Heading2"/>
        <w:rPr>
          <w:rFonts w:ascii="Arial" w:eastAsia="Arial" w:hAnsi="Arial" w:cs="Arial"/>
        </w:rPr>
      </w:pPr>
      <w:bookmarkStart w:id="144" w:name="_Toc240966055"/>
      <w:r>
        <w:rPr>
          <w:rFonts w:ascii="Arial" w:eastAsia="Arial" w:hAnsi="Arial" w:cs="Arial"/>
        </w:rPr>
        <w:t>9.3 Decentring Locke and Hobbes</w:t>
      </w:r>
      <w:bookmarkEnd w:id="144"/>
    </w:p>
    <w:p w14:paraId="0B732D22" w14:textId="77777777" w:rsidR="009F0C56" w:rsidRDefault="00653842">
      <w:pPr>
        <w:pBdr>
          <w:top w:val="nil"/>
          <w:left w:val="nil"/>
          <w:bottom w:val="nil"/>
          <w:right w:val="nil"/>
          <w:between w:val="nil"/>
        </w:pBdr>
        <w:spacing w:line="240" w:lineRule="auto"/>
        <w:rPr>
          <w:rFonts w:ascii="Arial" w:eastAsia="Arial" w:hAnsi="Arial" w:cs="Arial"/>
          <w:color w:val="262626"/>
        </w:rPr>
      </w:pPr>
      <w:bookmarkStart w:id="145" w:name="_heading=h.rvnngg4z9cin" w:colFirst="0" w:colLast="0"/>
      <w:bookmarkEnd w:id="145"/>
      <w:r>
        <w:rPr>
          <w:rFonts w:ascii="Arial" w:eastAsia="Arial" w:hAnsi="Arial" w:cs="Arial"/>
          <w:color w:val="000000"/>
        </w:rPr>
        <w:t>In Florida, land remains a site of intense political contention in how ontologically it</w:t>
      </w:r>
      <w:r>
        <w:rPr>
          <w:rFonts w:ascii="Arial" w:eastAsia="Arial" w:hAnsi="Arial" w:cs="Arial"/>
          <w:color w:val="008000"/>
        </w:rPr>
        <w:t xml:space="preserve"> </w:t>
      </w:r>
      <w:r>
        <w:rPr>
          <w:rFonts w:ascii="Arial" w:eastAsia="Arial" w:hAnsi="Arial" w:cs="Arial"/>
          <w:color w:val="262626"/>
        </w:rPr>
        <w:t>is constructed within settler and Western philosophical traditions. Historically, Western foundational thinkers like Thomas Hobbes and John Locke have significantly shaped settler understandings of land as a resource tied to labour, capital, and production. While their ideas emerged in specific historical contexts, their ideological legacies persist in contemporary settler societies, where land continues to be commodified and Indigenous peoples displaced, but through more coercive methods than during the ov</w:t>
      </w:r>
      <w:r>
        <w:rPr>
          <w:rFonts w:ascii="Arial" w:eastAsia="Arial" w:hAnsi="Arial" w:cs="Arial"/>
          <w:color w:val="262626"/>
        </w:rPr>
        <w:t xml:space="preserve">ert dispossession of the colonial frontier (Wolfe 2016). </w:t>
      </w:r>
    </w:p>
    <w:p w14:paraId="5C972D11" w14:textId="77777777"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 xml:space="preserve">This is highlighted in recent work in Indigenous geographies, which has revitalised debates around land. Creating a decolonial critique that exposes the coloniality embedded in Hobbes and Locke’s philosophies. Atleo and Boron (2022), two such authors, argue that Hobbes laid the intellectual architecture for Indigenous land dispossession by imagining a “state of nature” defined by unending conflict, “a warre of every man against every man” (Hobbes 1985, p. 183). This view erased relational understandings of </w:t>
      </w:r>
      <w:r>
        <w:rPr>
          <w:rFonts w:ascii="Arial" w:eastAsia="Arial" w:hAnsi="Arial" w:cs="Arial"/>
          <w:color w:val="262626"/>
        </w:rPr>
        <w:t xml:space="preserve">land, instead positioning it in a logic of domination and conquest. As Goeman notes, around women and property, “Native people were forcibly shifted away from living as tribal communities with a communal land base; and a series of court cases disinvested Native women of their property and citizenship rights if they married white men” (Goeman 2012, Pg 94). </w:t>
      </w:r>
    </w:p>
    <w:p w14:paraId="2EA8DC77" w14:textId="3A24B046"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 xml:space="preserve">Here, Goeman’s analysis draws attention to when Indigenous peoples were stripped of communal livelihoods on the land and forced to engage with settler colonial institutions of property. As Goeman noted, Indigenous women, when marrying into a settler family, lose their Indigenous holdings. Goeman’s analysis here, while not explicitly talking about land rights for the Seminole and Miccosukee, starts the conversation around Indigenous communal land being transformed into property and extracted from Indigenous </w:t>
      </w:r>
      <w:r>
        <w:rPr>
          <w:rFonts w:ascii="Arial" w:eastAsia="Arial" w:hAnsi="Arial" w:cs="Arial"/>
          <w:color w:val="262626"/>
        </w:rPr>
        <w:t xml:space="preserve">communities (Goeman 2012). As can be seen more evidently </w:t>
      </w:r>
      <w:r w:rsidR="00E40CD6">
        <w:rPr>
          <w:rFonts w:ascii="Arial" w:eastAsia="Arial" w:hAnsi="Arial" w:cs="Arial"/>
          <w:color w:val="262626"/>
        </w:rPr>
        <w:t>in</w:t>
      </w:r>
      <w:r>
        <w:rPr>
          <w:rFonts w:ascii="Arial" w:eastAsia="Arial" w:hAnsi="Arial" w:cs="Arial"/>
          <w:color w:val="262626"/>
        </w:rPr>
        <w:t xml:space="preserve"> Locke’s labour theory of property, which</w:t>
      </w:r>
      <w:r w:rsidR="00E40CD6">
        <w:rPr>
          <w:rFonts w:ascii="Arial" w:eastAsia="Arial" w:hAnsi="Arial" w:cs="Arial"/>
          <w:color w:val="262626"/>
        </w:rPr>
        <w:t>,</w:t>
      </w:r>
      <w:r>
        <w:rPr>
          <w:rFonts w:ascii="Arial" w:eastAsia="Arial" w:hAnsi="Arial" w:cs="Arial"/>
          <w:color w:val="262626"/>
        </w:rPr>
        <w:t xml:space="preserve"> in settler views</w:t>
      </w:r>
      <w:r w:rsidR="00E40CD6">
        <w:rPr>
          <w:rFonts w:ascii="Arial" w:eastAsia="Arial" w:hAnsi="Arial" w:cs="Arial"/>
          <w:color w:val="262626"/>
        </w:rPr>
        <w:t>,</w:t>
      </w:r>
      <w:r>
        <w:rPr>
          <w:rFonts w:ascii="Arial" w:eastAsia="Arial" w:hAnsi="Arial" w:cs="Arial"/>
          <w:color w:val="262626"/>
        </w:rPr>
        <w:t xml:space="preserve"> justified the appropriation of land</w:t>
      </w:r>
      <w:r>
        <w:rPr>
          <w:rFonts w:ascii="Arial" w:eastAsia="Arial" w:hAnsi="Arial" w:cs="Arial"/>
          <w:color w:val="262626"/>
        </w:rPr>
        <w:t xml:space="preserve"> when land is not ‘improved’ through capitalist production. Here, Locke saw land as entitled when settlers' understandings of progression do not occur (Cattelino 2018, Curley Smith 2020). </w:t>
      </w:r>
    </w:p>
    <w:p w14:paraId="1F1E7B4D" w14:textId="6AB83CF8"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 xml:space="preserve">This idea of Locke (1988) and property is expanded </w:t>
      </w:r>
      <w:r w:rsidR="00E40CD6">
        <w:rPr>
          <w:rFonts w:ascii="Arial" w:eastAsia="Arial" w:hAnsi="Arial" w:cs="Arial"/>
          <w:color w:val="262626"/>
        </w:rPr>
        <w:t>by</w:t>
      </w:r>
      <w:r>
        <w:rPr>
          <w:rFonts w:ascii="Arial" w:eastAsia="Arial" w:hAnsi="Arial" w:cs="Arial"/>
          <w:color w:val="262626"/>
        </w:rPr>
        <w:t xml:space="preserve"> Nichols (2013) through his concept of the </w:t>
      </w:r>
      <w:r>
        <w:rPr>
          <w:rFonts w:ascii="Arial" w:eastAsia="Arial" w:hAnsi="Arial" w:cs="Arial"/>
          <w:i/>
          <w:iCs/>
          <w:color w:val="262626"/>
        </w:rPr>
        <w:t>Settler Contract</w:t>
      </w:r>
      <w:r>
        <w:rPr>
          <w:rFonts w:ascii="Arial" w:eastAsia="Arial" w:hAnsi="Arial" w:cs="Arial"/>
          <w:color w:val="262626"/>
        </w:rPr>
        <w:t xml:space="preserve">, which analyses how settler society legitimises settler sovereignty by positing the non-existence of prior Indigenous societies on the land and justifying the violence needed to enact that fiction. Locke's work, highlighted by Nichols, becomes a philosophical tool that not only normalises land stealing but also defines Indigenous absence as a precondition for settler presence (Nichols 2013). Cattelino (2018) furthers this critique </w:t>
      </w:r>
      <w:r w:rsidR="00E40CD6">
        <w:rPr>
          <w:rFonts w:ascii="Arial" w:eastAsia="Arial" w:hAnsi="Arial" w:cs="Arial"/>
          <w:color w:val="262626"/>
        </w:rPr>
        <w:t>by showing</w:t>
      </w:r>
      <w:r>
        <w:rPr>
          <w:rFonts w:ascii="Arial" w:eastAsia="Arial" w:hAnsi="Arial" w:cs="Arial"/>
          <w:color w:val="262626"/>
        </w:rPr>
        <w:t xml:space="preserve"> how Locke’s view excluded Indigenous peoples from political modernity due to their supposed lack of money-</w:t>
      </w:r>
      <w:r>
        <w:rPr>
          <w:rFonts w:ascii="Arial" w:eastAsia="Arial" w:hAnsi="Arial" w:cs="Arial"/>
          <w:color w:val="262626"/>
        </w:rPr>
        <w:lastRenderedPageBreak/>
        <w:t xml:space="preserve">based economies (Sreedhar 2023). As she notes, Locke claimed that because “no such </w:t>
      </w:r>
      <w:r w:rsidR="00E40CD6">
        <w:rPr>
          <w:rFonts w:ascii="Arial" w:eastAsia="Arial" w:hAnsi="Arial" w:cs="Arial"/>
          <w:color w:val="262626"/>
        </w:rPr>
        <w:t>'</w:t>
      </w:r>
      <w:r>
        <w:rPr>
          <w:rFonts w:ascii="Arial" w:eastAsia="Arial" w:hAnsi="Arial" w:cs="Arial"/>
          <w:color w:val="262626"/>
        </w:rPr>
        <w:t>thing as money was anywhere known</w:t>
      </w:r>
      <w:r w:rsidR="00E40CD6">
        <w:rPr>
          <w:rFonts w:ascii="Arial" w:eastAsia="Arial" w:hAnsi="Arial" w:cs="Arial"/>
          <w:color w:val="262626"/>
        </w:rPr>
        <w:t>'</w:t>
      </w:r>
      <w:r>
        <w:rPr>
          <w:rFonts w:ascii="Arial" w:eastAsia="Arial" w:hAnsi="Arial" w:cs="Arial"/>
          <w:color w:val="262626"/>
        </w:rPr>
        <w:t xml:space="preserve"> in Indigenous societies, the land held no real value (Cattelino 2018, p. 278). This ideological framing allowed settlers to define land as ‘empty’ and open to appropriation. Here, Cattelino uses this logic to analyse how Seminole high-stakes gaming challenges notions of authenticity and Indigenous economic agency within a settler colonial context (Cattelino 2018). </w:t>
      </w:r>
    </w:p>
    <w:p w14:paraId="6F6D0A0B" w14:textId="77777777"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000000"/>
        </w:rPr>
        <w:t>In this</w:t>
      </w:r>
      <w:r>
        <w:rPr>
          <w:rFonts w:ascii="Arial" w:eastAsia="Arial" w:hAnsi="Arial" w:cs="Arial"/>
          <w:color w:val="008000"/>
        </w:rPr>
        <w:t xml:space="preserve">, </w:t>
      </w:r>
      <w:r>
        <w:rPr>
          <w:rFonts w:ascii="Arial" w:eastAsia="Arial" w:hAnsi="Arial" w:cs="Arial"/>
          <w:color w:val="262626"/>
        </w:rPr>
        <w:t xml:space="preserve">the philosophical grounding of land as not neutral is a settler narrative device that authorises the erasure of Indigenous ontological and epistemological </w:t>
      </w:r>
      <w:r>
        <w:rPr>
          <w:rFonts w:ascii="Arial" w:eastAsia="Arial" w:hAnsi="Arial" w:cs="Arial"/>
          <w:color w:val="000000"/>
        </w:rPr>
        <w:t>knowledges. Therefore, by denying Indigenous political systems and epistemologies, Locke’s work rationalises settler claims to disguise them as the natural evolution of civil society, as Mignolo's work alludes to on the Darker Side of Modernity (2011). Mignolo explored this by analysing how seemingly progressive acts mask a darker coloniality that resides in these processes, which works in strengthening colonial power structures over oppressed peoples. This will be further explored with Estes's</w:t>
      </w:r>
      <w:r>
        <w:rPr>
          <w:rFonts w:ascii="Arial" w:eastAsia="Arial" w:hAnsi="Arial" w:cs="Arial"/>
          <w:color w:val="008000"/>
        </w:rPr>
        <w:t xml:space="preserve"> </w:t>
      </w:r>
      <w:r>
        <w:rPr>
          <w:rFonts w:ascii="Arial" w:eastAsia="Arial" w:hAnsi="Arial" w:cs="Arial"/>
          <w:color w:val="262626"/>
        </w:rPr>
        <w:t>work on ecological stewardship of the land, where Locke’s ideas are still pertinent in the contemporary context of land and Indigeneity (Estes 2019, Mignolo 2011).</w:t>
      </w:r>
    </w:p>
    <w:p w14:paraId="4527365E"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262626"/>
        </w:rPr>
        <w:t>As mentioned, this settler ideological mechanism continues into the present through modern settler governance under conservationism, a theme that will be analysed later on. Estes (2019) critiques this continuity in his analysis of Indigenous water rights in the United States. Arguing that settler states continue to regulate Indigenous land and resources according to their priorities, noting that “Indigenous water rights are calculated first and foremost according to settler needs” (Estes 2019, p. 147). This</w:t>
      </w:r>
      <w:r>
        <w:rPr>
          <w:rFonts w:ascii="Arial" w:eastAsia="Arial" w:hAnsi="Arial" w:cs="Arial"/>
          <w:color w:val="262626"/>
        </w:rPr>
        <w:t xml:space="preserve"> reinforces the argument that land and its resources only become politically meaningful when they serve settler interests; in essence, land only gains importance when imbued with a capitalist value (Bin 2018). Estes notes that while overt violent dispossession has become less common in contemporary times, as was seen during Hobbes and Locke’s time.</w:t>
      </w:r>
      <w:r>
        <w:rPr>
          <w:rFonts w:ascii="Arial" w:eastAsia="Arial" w:hAnsi="Arial" w:cs="Arial"/>
          <w:color w:val="008000"/>
        </w:rPr>
        <w:t xml:space="preserve"> </w:t>
      </w:r>
      <w:r>
        <w:rPr>
          <w:rFonts w:ascii="Arial" w:eastAsia="Arial" w:hAnsi="Arial" w:cs="Arial"/>
          <w:color w:val="000000"/>
        </w:rPr>
        <w:t xml:space="preserve">Dispossession is still heavily present and continues through policy and legislative instruments disguised in the settler liberal context through progressive language, such as “public good,” “resource management,” or “environmental stewardship.” Here, this linguistic shift is critical, as Estes illustrates, with the settler state no longer explicitly invoking </w:t>
      </w:r>
      <w:r>
        <w:rPr>
          <w:rFonts w:ascii="Arial" w:eastAsia="Arial" w:hAnsi="Arial" w:cs="Arial"/>
          <w:i/>
          <w:iCs/>
          <w:color w:val="000000"/>
        </w:rPr>
        <w:t>terra nullius</w:t>
      </w:r>
      <w:r>
        <w:rPr>
          <w:rFonts w:ascii="Arial" w:eastAsia="Arial" w:hAnsi="Arial" w:cs="Arial"/>
          <w:color w:val="000000"/>
        </w:rPr>
        <w:t xml:space="preserve">; rather, applying the logic of </w:t>
      </w:r>
      <w:r>
        <w:rPr>
          <w:rFonts w:ascii="Arial" w:eastAsia="Arial" w:hAnsi="Arial" w:cs="Arial"/>
          <w:i/>
          <w:iCs/>
          <w:color w:val="000000"/>
        </w:rPr>
        <w:t>terra nullius</w:t>
      </w:r>
      <w:r>
        <w:rPr>
          <w:rFonts w:ascii="Arial" w:eastAsia="Arial" w:hAnsi="Arial" w:cs="Arial"/>
          <w:color w:val="000000"/>
        </w:rPr>
        <w:t xml:space="preserve"> through state discourse that positions settler governments as custodians of a neutral “public” interest (Estes 2019). </w:t>
      </w:r>
    </w:p>
    <w:p w14:paraId="0C5D7D0F" w14:textId="77777777"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 xml:space="preserve">In this formulation, land is still viewed as a passive object awaiting proper governance, which continues the erasure of Indigenous governance systems, relational ontologies, and territorial sovereignties over the land. This aligns with Tuck and Yang’s (2012) analysis of "settler moves to innocence," where settler society seeks to obscure its settler colonial foundations through narratives of stewardship or rightful inheritance. In this land, as Estes notes, it moves beyond land as a resource to give back, </w:t>
      </w:r>
      <w:r>
        <w:rPr>
          <w:rFonts w:ascii="Arial" w:eastAsia="Arial" w:hAnsi="Arial" w:cs="Arial"/>
          <w:color w:val="262626"/>
        </w:rPr>
        <w:t xml:space="preserve">but becomes embedded in the idea of settler conservationism. Where policy legislations dictate how Indigenous land should be interacted with, as it holds an environmental importance which settlers centre themselves as stewards of (Estes 2019). </w:t>
      </w:r>
    </w:p>
    <w:p w14:paraId="799351CE" w14:textId="77777777"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 xml:space="preserve">This connects with Watts’ (2013) critique of the colonial underpinnings of these logics from a Mohawk-Anishinaabe perspective that highlights land is not a passive object in Indigenous epistemologies but a living relational being, entangled in kinship networks and political obligations. Here, the tension between settler and Indigenous ontologies of land is also reflected in the historical and political struggles of the </w:t>
      </w:r>
      <w:r>
        <w:rPr>
          <w:rFonts w:ascii="Arial" w:eastAsia="Arial" w:hAnsi="Arial" w:cs="Arial"/>
          <w:color w:val="262626"/>
        </w:rPr>
        <w:lastRenderedPageBreak/>
        <w:t>Seminole and Miccosukee in South Florida. The Buckskin Declaration of 1954 demonstrates a direct refusal of settler definitions of identity, culture, and land. As mentioned previously, the declaration states:</w:t>
      </w:r>
    </w:p>
    <w:p w14:paraId="23B6563B"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w:t>
      </w:r>
      <w:r>
        <w:rPr>
          <w:rFonts w:ascii="Arial" w:eastAsia="Arial" w:hAnsi="Arial" w:cs="Arial"/>
          <w:i/>
          <w:iCs/>
          <w:color w:val="000000"/>
        </w:rPr>
        <w:t>We have, and have had for centuries, our own customs, our own government, our own language, and our own way of life, which is different from government, the culture, the customs, the language, and the way of life of the White man...”</w:t>
      </w:r>
      <w:r>
        <w:rPr>
          <w:rFonts w:ascii="Arial" w:eastAsia="Arial" w:hAnsi="Arial" w:cs="Arial"/>
          <w:color w:val="000000"/>
        </w:rPr>
        <w:t xml:space="preserve"> (Miccosukee 2025).</w:t>
      </w:r>
    </w:p>
    <w:p w14:paraId="2516DBCB" w14:textId="77777777" w:rsidR="009F0C56" w:rsidRDefault="00653842">
      <w:pPr>
        <w:rPr>
          <w:rFonts w:ascii="Arial" w:eastAsia="Arial" w:hAnsi="Arial" w:cs="Arial"/>
          <w:color w:val="262626"/>
        </w:rPr>
      </w:pPr>
      <w:r>
        <w:rPr>
          <w:rFonts w:ascii="Arial" w:eastAsia="Arial" w:hAnsi="Arial" w:cs="Arial"/>
        </w:rPr>
        <w:t xml:space="preserve">This assertion mirrors the critiques posed by Watts, Nichols, and Cattelino by insisting that Indigenous governance and cultural systems are not inferior but simply different. The declaration resists the </w:t>
      </w:r>
      <w:r>
        <w:rPr>
          <w:rFonts w:ascii="Arial" w:eastAsia="Arial" w:hAnsi="Arial" w:cs="Arial"/>
          <w:color w:val="262626"/>
        </w:rPr>
        <w:t>assimilation premise of settler-multiculturalism that renders Seminole and Miccosukee presence legible only through settler terms. Where, in contemporary settler urban centres such as Miami, these logics manifest materially, through the city’s hyper-urbanisation, tourism economy, and development projects that are frequently cited as examples of ‘progress’. In this, these relations build the settler ideological justification for erasure, where the transformation of South Florida’s into a settler-dominated ur</w:t>
      </w:r>
      <w:r>
        <w:rPr>
          <w:rFonts w:ascii="Arial" w:eastAsia="Arial" w:hAnsi="Arial" w:cs="Arial"/>
          <w:color w:val="262626"/>
        </w:rPr>
        <w:t xml:space="preserve">ban space aligns with the colonial justification as seen in Australia’s Aboriginal dispossession, as analysed by Wolfe (2006, p. 389). As in both cases, settlers rationalised land theft by claiming, “We can use the land better than they can ”(Wolfe 2006, p. 389), as well as Locke’s thought of land and labour, wherein settlers position their engagement with land as inherently productive, while Indigenous relationships with the land are dismissed as wasteful or unproductive (Atleo Boron 2022). </w:t>
      </w:r>
    </w:p>
    <w:p w14:paraId="78FAC3B9" w14:textId="77777777" w:rsidR="009F0C56" w:rsidRDefault="00653842">
      <w:pPr>
        <w:rPr>
          <w:rFonts w:ascii="Arial" w:eastAsia="Arial" w:hAnsi="Arial" w:cs="Arial"/>
          <w:color w:val="262626"/>
        </w:rPr>
      </w:pPr>
      <w:r>
        <w:rPr>
          <w:rFonts w:ascii="Arial" w:eastAsia="Arial" w:hAnsi="Arial" w:cs="Arial"/>
        </w:rPr>
        <w:t>This thought,</w:t>
      </w:r>
      <w:r>
        <w:rPr>
          <w:rFonts w:ascii="Arial" w:eastAsia="Arial" w:hAnsi="Arial" w:cs="Arial"/>
          <w:color w:val="008000"/>
        </w:rPr>
        <w:t xml:space="preserve"> </w:t>
      </w:r>
      <w:r>
        <w:rPr>
          <w:rFonts w:ascii="Arial" w:eastAsia="Arial" w:hAnsi="Arial" w:cs="Arial"/>
          <w:color w:val="262626"/>
        </w:rPr>
        <w:t xml:space="preserve">which will be analysed later on is grounded by South Florida’s contemporary landscape, where settler ideology of erasure manifests through the removal of Indigenous presence from economic and infrastructural centres, as well as the relegation of Indigeneity to symbolic markers rather than lived realities, and the transformation of land into an asset for capitalist and settler colonial expansion rather than as spiritual site. Through this material and ideological shift, settler society ensures that Seminole </w:t>
      </w:r>
      <w:r>
        <w:rPr>
          <w:rFonts w:ascii="Arial" w:eastAsia="Arial" w:hAnsi="Arial" w:cs="Arial"/>
          <w:color w:val="262626"/>
        </w:rPr>
        <w:t>and Miccosukee sovereignty is structurally and discursively erased in settler hotspots (Barker Pickerill 2024).</w:t>
      </w:r>
    </w:p>
    <w:p w14:paraId="47338D43" w14:textId="77777777" w:rsidR="009F0C56" w:rsidRDefault="00653842">
      <w:pPr>
        <w:rPr>
          <w:rFonts w:ascii="Arial" w:eastAsia="Arial" w:hAnsi="Arial" w:cs="Arial"/>
          <w:color w:val="262626"/>
        </w:rPr>
      </w:pPr>
      <w:r>
        <w:rPr>
          <w:rFonts w:ascii="Arial" w:eastAsia="Arial" w:hAnsi="Arial" w:cs="Arial"/>
        </w:rPr>
        <w:t xml:space="preserve">Here, this settler form of progress will be </w:t>
      </w:r>
      <w:r>
        <w:rPr>
          <w:rFonts w:ascii="Arial" w:eastAsia="Arial" w:hAnsi="Arial" w:cs="Arial"/>
          <w:color w:val="262626"/>
        </w:rPr>
        <w:t xml:space="preserve">analysed through the erasure and assimilation of Seminole and Miccosukee practices and land claims (Miccosukee 2025). Through building on Trask’s (1999) critique of settler land, land is understood as an operation of political exclusion, not just a place of people, but of histories, futures, and epistemologies. Further relating to the concept of the “point zero” with the idea that settler presence marks the beginning of meaningful history (Castro-Gomez 2007). In this, through the aforementioned critique of </w:t>
      </w:r>
      <w:r>
        <w:rPr>
          <w:rFonts w:ascii="Arial" w:eastAsia="Arial" w:hAnsi="Arial" w:cs="Arial"/>
          <w:color w:val="262626"/>
        </w:rPr>
        <w:t>Locke and Hobbes’, land is noted in the Indigenous context, as the philosophical construct that underpins the settler colonial project that structures how land is imagined, governed, and interacted with, in the method of erasing and assimilating the Seminole and Miccosukee to the core of settler society. As will be discussed in the following analysis.</w:t>
      </w:r>
    </w:p>
    <w:p w14:paraId="1FBF2353" w14:textId="77777777" w:rsidR="009F0C56" w:rsidRDefault="009F0C56">
      <w:pPr>
        <w:rPr>
          <w:rFonts w:ascii="Arial" w:eastAsia="Arial" w:hAnsi="Arial" w:cs="Arial"/>
          <w:color w:val="262626"/>
        </w:rPr>
      </w:pPr>
    </w:p>
    <w:p w14:paraId="02BAF4C8" w14:textId="77777777" w:rsidR="009F0C56" w:rsidRDefault="009F0C56">
      <w:pPr>
        <w:rPr>
          <w:rFonts w:ascii="Arial" w:eastAsia="Arial" w:hAnsi="Arial" w:cs="Arial"/>
          <w:color w:val="262626"/>
        </w:rPr>
      </w:pPr>
    </w:p>
    <w:p w14:paraId="594D5706" w14:textId="77777777" w:rsidR="009F0C56" w:rsidRDefault="00653842">
      <w:pPr>
        <w:pStyle w:val="Heading2"/>
        <w:rPr>
          <w:rFonts w:ascii="Arial" w:eastAsia="Arial" w:hAnsi="Arial" w:cs="Arial"/>
          <w:color w:val="262626"/>
        </w:rPr>
      </w:pPr>
      <w:bookmarkStart w:id="146" w:name="_Toc240966056"/>
      <w:r>
        <w:rPr>
          <w:rFonts w:ascii="Arial" w:eastAsia="Arial" w:hAnsi="Arial" w:cs="Arial"/>
          <w:color w:val="262626"/>
        </w:rPr>
        <w:t>9.4 Indigenous relations to land</w:t>
      </w:r>
      <w:bookmarkEnd w:id="146"/>
    </w:p>
    <w:p w14:paraId="07106E22" w14:textId="77777777" w:rsidR="009F0C56" w:rsidRDefault="00653842">
      <w:pPr>
        <w:rPr>
          <w:rFonts w:ascii="Arial" w:eastAsia="Arial" w:hAnsi="Arial" w:cs="Arial"/>
          <w:color w:val="262626"/>
        </w:rPr>
      </w:pPr>
      <w:r>
        <w:rPr>
          <w:rFonts w:ascii="Arial" w:eastAsia="Arial" w:hAnsi="Arial" w:cs="Arial"/>
          <w:color w:val="262626"/>
        </w:rPr>
        <w:t>Through asserting and critically analysing in the last section how settler society engages and relates to land and all it encompasses; this section will highlight the differences that this worldview has with Indigenous voices. To start, Indigenous ontologies and cosmologies to land will be discussed as a wider entity, through authors such as Cordova, Deloria, Watts, Atleo, and Boron, and will be framed in an Indigenous context through creation stories. Following this, the Seminole and Miccosukee creation st</w:t>
      </w:r>
      <w:r>
        <w:rPr>
          <w:rFonts w:ascii="Arial" w:eastAsia="Arial" w:hAnsi="Arial" w:cs="Arial"/>
          <w:color w:val="262626"/>
        </w:rPr>
        <w:t xml:space="preserve">ory will be presented to draw further attention to the differentiation of how settler society understands the concept of land, as opposed to the Seminole and Miccosukee. This will ground the work in the location it is researching, creating a stronger base of settler critique.  </w:t>
      </w:r>
    </w:p>
    <w:p w14:paraId="1C5DB684" w14:textId="77777777" w:rsidR="009F0C56" w:rsidRDefault="00653842">
      <w:pPr>
        <w:pStyle w:val="Heading2"/>
        <w:rPr>
          <w:rFonts w:ascii="Arial" w:eastAsia="Arial" w:hAnsi="Arial" w:cs="Arial"/>
          <w:color w:val="262626"/>
        </w:rPr>
      </w:pPr>
      <w:bookmarkStart w:id="147" w:name="_Toc240966057"/>
      <w:r>
        <w:rPr>
          <w:rFonts w:ascii="Arial" w:eastAsia="Arial" w:hAnsi="Arial" w:cs="Arial"/>
          <w:color w:val="262626"/>
        </w:rPr>
        <w:t>9.5 Creation stories as fluid and space-based</w:t>
      </w:r>
      <w:bookmarkEnd w:id="147"/>
    </w:p>
    <w:p w14:paraId="522FA737" w14:textId="77777777" w:rsidR="009F0C56" w:rsidRDefault="00653842">
      <w:pPr>
        <w:rPr>
          <w:rFonts w:ascii="Arial" w:eastAsia="Arial" w:hAnsi="Arial" w:cs="Arial"/>
          <w:color w:val="262626"/>
        </w:rPr>
      </w:pPr>
      <w:r>
        <w:rPr>
          <w:rFonts w:ascii="Arial" w:eastAsia="Arial" w:hAnsi="Arial" w:cs="Arial"/>
          <w:color w:val="262626"/>
        </w:rPr>
        <w:t xml:space="preserve">In Christian mythology, there is a strict hierarchy around creationism, which stems from Adam and Eve, where the world around them was made for them. Here, land is instigated from the basics of thought, where it was created with “mankind” at the epicentre. In these thoughts, Locke and Hobbes work on land being part of man’s natural right is not unfounded; rather, it is a central premise in the settler worldview (Dussel 2018). Cordova notes this foundation is found in many monotheisms, yet does not hold the </w:t>
      </w:r>
      <w:r>
        <w:rPr>
          <w:rFonts w:ascii="Arial" w:eastAsia="Arial" w:hAnsi="Arial" w:cs="Arial"/>
          <w:color w:val="262626"/>
        </w:rPr>
        <w:t xml:space="preserve">truth for Indigenous communities; rather, Cordova notes that within the US context, there is a pluriversality of creation stories that all hold truths and do not counter one another (Cordova 2007). Here, each of these groups' creation stories is assumed to refer to and define the bounded space they live in, and tell the story of the area they reside in. Cordova highlights that this bond to the land with Indigenous beliefs is how the story of “each group postulates a creation story not only in time or space </w:t>
      </w:r>
      <w:r>
        <w:rPr>
          <w:rFonts w:ascii="Arial" w:eastAsia="Arial" w:hAnsi="Arial" w:cs="Arial"/>
          <w:color w:val="262626"/>
        </w:rPr>
        <w:t xml:space="preserve">but in a specific place”, which reduces the monotheistic need for absolutism (Cordova 2007, Pg.104). </w:t>
      </w:r>
    </w:p>
    <w:p w14:paraId="092ECAD7" w14:textId="77777777" w:rsidR="009F0C56" w:rsidRDefault="00653842">
      <w:pPr>
        <w:rPr>
          <w:rFonts w:ascii="Arial" w:eastAsia="Arial" w:hAnsi="Arial" w:cs="Arial"/>
          <w:color w:val="262626"/>
        </w:rPr>
      </w:pPr>
      <w:r>
        <w:rPr>
          <w:rFonts w:ascii="Arial" w:eastAsia="Arial" w:hAnsi="Arial" w:cs="Arial"/>
          <w:color w:val="262626"/>
        </w:rPr>
        <w:t>In this, Cordova's poem will be used in a similar context to Goeman’s analysis of anti-cartesian cartography through Joy Harjo’s poetry, but in this context, concerning and engaging with the idea of anti-colonial land practices compared to settler understandings of land/property/capital (Goeman 2012). Here, as Goeman notes, “Native forms of justice are inherently spatialised accounts of geographies by histories of settler colonialism that continue to impact on Native communities and individuals. Understandi</w:t>
      </w:r>
      <w:r>
        <w:rPr>
          <w:rFonts w:ascii="Arial" w:eastAsia="Arial" w:hAnsi="Arial" w:cs="Arial"/>
          <w:color w:val="262626"/>
        </w:rPr>
        <w:t xml:space="preserve">ng geographies and justice as existing within a dynamic interrelationship also enables an understanding of the spatial ties between colonisation, imperialism, and what is now called globalisation” (Goeman 2012. Pg, pp. 90 – 91). In this, the use of poetry, therefore, functions as an anti-colonial analysis of settler colonial engagements around land. That explores beyond the </w:t>
      </w:r>
      <w:r>
        <w:rPr>
          <w:rFonts w:ascii="Arial" w:eastAsia="Arial" w:hAnsi="Arial" w:cs="Arial"/>
          <w:color w:val="262626"/>
        </w:rPr>
        <w:lastRenderedPageBreak/>
        <w:t>settler surface manipulation of land, how settler colonial actions ontologically and epistemologically distort the meaning of land (Goe</w:t>
      </w:r>
      <w:r>
        <w:rPr>
          <w:rFonts w:ascii="Arial" w:eastAsia="Arial" w:hAnsi="Arial" w:cs="Arial"/>
          <w:color w:val="262626"/>
        </w:rPr>
        <w:t xml:space="preserve">man 2012). </w:t>
      </w:r>
    </w:p>
    <w:p w14:paraId="6328561F" w14:textId="77777777" w:rsidR="009F0C56" w:rsidRDefault="00653842">
      <w:pPr>
        <w:rPr>
          <w:rFonts w:ascii="Arial" w:eastAsia="Arial" w:hAnsi="Arial" w:cs="Arial"/>
          <w:color w:val="262626"/>
        </w:rPr>
      </w:pPr>
      <w:r>
        <w:rPr>
          <w:rFonts w:ascii="Arial" w:eastAsia="Arial" w:hAnsi="Arial" w:cs="Arial"/>
          <w:color w:val="262626"/>
        </w:rPr>
        <w:t>In this, Cordova’s poem furthers this thought by countering the idea that the Earth is a resource pool for mankind to prosper, rather than viewing it as a living entity that has familial relations that are found within different Indigenous creation stories. In this, Cordova's work, “does not depict the ‘Truth’, as in Western attempts to stabilise power. In place of discrete territorial possessions, Harjo’s map presents an interactive conversation that occurs in remembering and listening” (Goeman 2012, Pg. 1</w:t>
      </w:r>
      <w:r>
        <w:rPr>
          <w:rFonts w:ascii="Arial" w:eastAsia="Arial" w:hAnsi="Arial" w:cs="Arial"/>
          <w:color w:val="262626"/>
        </w:rPr>
        <w:t xml:space="preserve">08). Rather, Cordova’s work draws attention to the pluriversality of Indigenous beliefs, creating an image that does not reduce individualistic Indigenous beliefs rather highlights the similarities of Indigenous contexts in relating to the Earth and land, as shown below (Cordova 2007). </w:t>
      </w:r>
    </w:p>
    <w:p w14:paraId="1D7CD00F" w14:textId="77777777" w:rsidR="009F0C56" w:rsidRDefault="00653842">
      <w:pPr>
        <w:rPr>
          <w:rFonts w:ascii="Arial" w:eastAsia="Arial" w:hAnsi="Arial" w:cs="Arial"/>
          <w:color w:val="262626"/>
        </w:rPr>
      </w:pPr>
      <w:r>
        <w:rPr>
          <w:rFonts w:ascii="Arial" w:eastAsia="Arial" w:hAnsi="Arial" w:cs="Arial"/>
          <w:color w:val="262626"/>
        </w:rPr>
        <w:t>Therefore, in the context of land, the poem offers a unique interlude into Indigenous creation stories that compare Indigenous beliefs of land and nature against settler beliefs. Here, Cordova’s poem, ontologically as well as epistemologically, separates and begins the critique of settler relations to the land in how it is used. In this, Cordova’s poem is increasingly important in aiding to unravel key themes of settler colonialism through representations that allow, in turn, for a deeper, more nuanced, sub</w:t>
      </w:r>
      <w:r>
        <w:rPr>
          <w:rFonts w:ascii="Arial" w:eastAsia="Arial" w:hAnsi="Arial" w:cs="Arial"/>
          <w:color w:val="262626"/>
        </w:rPr>
        <w:t xml:space="preserve">tle understanding of how settler colonial practices operate to erase, assimilate, and construct an alternate settler bricolage of realities around land (Barker 2021, Cordova 2007). </w:t>
      </w:r>
    </w:p>
    <w:p w14:paraId="58469F66" w14:textId="77777777" w:rsidR="009F0C56" w:rsidRDefault="00653842">
      <w:pPr>
        <w:rPr>
          <w:rFonts w:ascii="Arial" w:eastAsia="Arial" w:hAnsi="Arial" w:cs="Arial"/>
        </w:rPr>
      </w:pPr>
      <w:bookmarkStart w:id="148" w:name="_heading=h.vla5wbmyeuu4" w:colFirst="0" w:colLast="0"/>
      <w:bookmarkEnd w:id="148"/>
      <w:r>
        <w:rPr>
          <w:rFonts w:ascii="Arial" w:eastAsia="Arial" w:hAnsi="Arial" w:cs="Arial"/>
        </w:rPr>
        <w:t>How It Is</w:t>
      </w:r>
    </w:p>
    <w:p w14:paraId="285DDEA1"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Before there was anything</w:t>
      </w:r>
    </w:p>
    <w:p w14:paraId="3432806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There was something </w:t>
      </w:r>
    </w:p>
    <w:p w14:paraId="1074FF4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It was a mist.</w:t>
      </w:r>
    </w:p>
    <w:p w14:paraId="73723D6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And in the mist</w:t>
      </w:r>
    </w:p>
    <w:p w14:paraId="00AA86D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was absolute Motion.</w:t>
      </w:r>
    </w:p>
    <w:p w14:paraId="29049C3C"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Some call this circumstance,</w:t>
      </w:r>
    </w:p>
    <w:p w14:paraId="30EA7C5F"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Plasma;</w:t>
      </w:r>
    </w:p>
    <w:p w14:paraId="2EB20DEF"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Some call this Energy </w:t>
      </w:r>
    </w:p>
    <w:p w14:paraId="7FCD5B9B"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We call it,</w:t>
      </w:r>
    </w:p>
    <w:p w14:paraId="04404056"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Wind.</w:t>
      </w:r>
    </w:p>
    <w:p w14:paraId="2FF0D83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We call it,</w:t>
      </w:r>
    </w:p>
    <w:p w14:paraId="45A39FE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Sacred.</w:t>
      </w:r>
    </w:p>
    <w:p w14:paraId="313B412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Because it is Wind</w:t>
      </w:r>
    </w:p>
    <w:p w14:paraId="493F714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it is not static </w:t>
      </w:r>
    </w:p>
    <w:p w14:paraId="21E8764C"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and because it is </w:t>
      </w:r>
    </w:p>
    <w:p w14:paraId="6E0F177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Wind </w:t>
      </w:r>
    </w:p>
    <w:p w14:paraId="5404834D"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there are fluctuations.</w:t>
      </w:r>
    </w:p>
    <w:p w14:paraId="4C2E150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We call these fluctuations </w:t>
      </w:r>
    </w:p>
    <w:p w14:paraId="1EE9E1F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Things.</w:t>
      </w:r>
    </w:p>
    <w:p w14:paraId="0D8ECFEC"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We call these fluctuations </w:t>
      </w:r>
    </w:p>
    <w:p w14:paraId="3ACB48A2"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 Universe </w:t>
      </w:r>
    </w:p>
    <w:p w14:paraId="23AE35A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 Galaxy </w:t>
      </w:r>
    </w:p>
    <w:p w14:paraId="6D4D60D2"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 Solar System </w:t>
      </w:r>
    </w:p>
    <w:p w14:paraId="4C883C9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And in this field of  Motion,</w:t>
      </w:r>
    </w:p>
    <w:p w14:paraId="218A5BA2"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lastRenderedPageBreak/>
        <w:t xml:space="preserve">there are smaller </w:t>
      </w:r>
    </w:p>
    <w:p w14:paraId="53EA0E5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and smaller </w:t>
      </w:r>
    </w:p>
    <w:p w14:paraId="55354486"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Fields</w:t>
      </w:r>
    </w:p>
    <w:p w14:paraId="77929A8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and When the fields are dense enough-</w:t>
      </w:r>
    </w:p>
    <w:p w14:paraId="4E3E07D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they hold themselves together.</w:t>
      </w:r>
    </w:p>
    <w:p w14:paraId="3CBF161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We call them </w:t>
      </w:r>
    </w:p>
    <w:p w14:paraId="09BEAA6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Stars</w:t>
      </w:r>
    </w:p>
    <w:p w14:paraId="729AE5AF"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We call them </w:t>
      </w:r>
    </w:p>
    <w:p w14:paraId="3B6A6F5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Suns</w:t>
      </w:r>
    </w:p>
    <w:p w14:paraId="7D3E7E1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We call </w:t>
      </w:r>
    </w:p>
    <w:p w14:paraId="6177897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One star-</w:t>
      </w:r>
    </w:p>
    <w:p w14:paraId="41E0E601"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Ours</w:t>
      </w:r>
    </w:p>
    <w:p w14:paraId="6BE49D6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We call it-</w:t>
      </w:r>
    </w:p>
    <w:p w14:paraId="3C77B84F"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Holy Sun.</w:t>
      </w:r>
    </w:p>
    <w:p w14:paraId="57E68F95"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Oh,Holy Sun</w:t>
      </w:r>
    </w:p>
    <w:p w14:paraId="431F1BA6"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the Mother Earth </w:t>
      </w:r>
    </w:p>
    <w:p w14:paraId="1B7484F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is in your debt.</w:t>
      </w:r>
    </w:p>
    <w:p w14:paraId="601D295B"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From it she derives </w:t>
      </w:r>
    </w:p>
    <w:p w14:paraId="59C8620C"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Her creative energy.</w:t>
      </w:r>
    </w:p>
    <w:p w14:paraId="776645F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And from deep within </w:t>
      </w:r>
    </w:p>
    <w:p w14:paraId="29970C3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her own energy.</w:t>
      </w:r>
    </w:p>
    <w:p w14:paraId="22BD759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she derives us</w:t>
      </w:r>
    </w:p>
    <w:p w14:paraId="59545414"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All.</w:t>
      </w:r>
    </w:p>
    <w:p w14:paraId="132A6EA4"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From life</w:t>
      </w:r>
    </w:p>
    <w:p w14:paraId="5DE3483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from the living something,</w:t>
      </w:r>
    </w:p>
    <w:p w14:paraId="7356607C"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that always is</w:t>
      </w:r>
    </w:p>
    <w:p w14:paraId="53C0749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and always will be,</w:t>
      </w:r>
    </w:p>
    <w:p w14:paraId="19450B3D"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comes more life.</w:t>
      </w:r>
    </w:p>
    <w:p w14:paraId="08CCE2D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We call it Holy Wind.</w:t>
      </w:r>
    </w:p>
    <w:p w14:paraId="372787CF"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There is not anything </w:t>
      </w:r>
    </w:p>
    <w:p w14:paraId="0291D60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that is not suffused </w:t>
      </w:r>
    </w:p>
    <w:p w14:paraId="2FCCD5D6"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with the Wind.</w:t>
      </w:r>
    </w:p>
    <w:p w14:paraId="60343FEB"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We call the wind’s creations </w:t>
      </w:r>
    </w:p>
    <w:p w14:paraId="4F850EA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and sub-creations </w:t>
      </w:r>
    </w:p>
    <w:p w14:paraId="3E903FA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“objects” and things-</w:t>
      </w:r>
    </w:p>
    <w:p w14:paraId="3EE62CAD"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they are, more properly,</w:t>
      </w:r>
    </w:p>
    <w:p w14:paraId="1F4CC83C"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Fields.</w:t>
      </w:r>
    </w:p>
    <w:p w14:paraId="5FAA620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 field is a vortex of</w:t>
      </w:r>
    </w:p>
    <w:p w14:paraId="267FF4F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Wind </w:t>
      </w:r>
    </w:p>
    <w:p w14:paraId="15E5B80C"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 whirlpool,a whirlwind.</w:t>
      </w:r>
    </w:p>
    <w:p w14:paraId="28D251B1"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We know that this is so because </w:t>
      </w:r>
    </w:p>
    <w:p w14:paraId="2794C905"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at our fingertips,</w:t>
      </w:r>
    </w:p>
    <w:p w14:paraId="11F096D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at our toes,</w:t>
      </w:r>
    </w:p>
    <w:p w14:paraId="55D8722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at our hair,</w:t>
      </w:r>
    </w:p>
    <w:p w14:paraId="6BA02226"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are the vortices</w:t>
      </w:r>
    </w:p>
    <w:p w14:paraId="794AFFC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that connect us </w:t>
      </w:r>
    </w:p>
    <w:p w14:paraId="4D43EF7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to all the other things </w:t>
      </w:r>
    </w:p>
    <w:p w14:paraId="4247085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the air </w:t>
      </w:r>
    </w:p>
    <w:p w14:paraId="3A17D676"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the water </w:t>
      </w:r>
    </w:p>
    <w:p w14:paraId="3F8B331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the rock </w:t>
      </w:r>
    </w:p>
    <w:p w14:paraId="5A33414F"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the tree </w:t>
      </w:r>
    </w:p>
    <w:p w14:paraId="7B5D52A1"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the grass </w:t>
      </w:r>
    </w:p>
    <w:p w14:paraId="4637F00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the deer </w:t>
      </w:r>
    </w:p>
    <w:p w14:paraId="6AFF70F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the Earth </w:t>
      </w:r>
    </w:p>
    <w:p w14:paraId="649C9CD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the Sun</w:t>
      </w:r>
    </w:p>
    <w:p w14:paraId="67392B62"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lastRenderedPageBreak/>
        <w:t>the universe.</w:t>
      </w:r>
    </w:p>
    <w:p w14:paraId="17423B8D"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What we see and call</w:t>
      </w:r>
    </w:p>
    <w:p w14:paraId="62F347B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“Things”</w:t>
      </w:r>
    </w:p>
    <w:p w14:paraId="2A1434B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and, “Many Things,”</w:t>
      </w:r>
    </w:p>
    <w:p w14:paraId="6437318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are in actuality </w:t>
      </w:r>
    </w:p>
    <w:p w14:paraId="3473510C"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only one thing.</w:t>
      </w:r>
    </w:p>
    <w:p w14:paraId="46F906C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We call it </w:t>
      </w:r>
    </w:p>
    <w:p w14:paraId="5A8532A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WIND.</w:t>
      </w:r>
    </w:p>
    <w:p w14:paraId="42F59D11"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We call it </w:t>
      </w:r>
    </w:p>
    <w:p w14:paraId="639771EF"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Holy.</w:t>
      </w:r>
    </w:p>
    <w:p w14:paraId="43FAD915"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Some call the wind </w:t>
      </w:r>
    </w:p>
    <w:p w14:paraId="0966CCC1"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“energy,”</w:t>
      </w:r>
    </w:p>
    <w:p w14:paraId="47C9BE96"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and they call the </w:t>
      </w:r>
    </w:p>
    <w:p w14:paraId="21A15C5B"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many things </w:t>
      </w:r>
    </w:p>
    <w:p w14:paraId="4660DD0F"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“matter”</w:t>
      </w:r>
    </w:p>
    <w:p w14:paraId="0D0D65A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and so they see</w:t>
      </w:r>
    </w:p>
    <w:p w14:paraId="5601DCBC"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two things </w:t>
      </w:r>
    </w:p>
    <w:p w14:paraId="207DF80F"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where we see </w:t>
      </w:r>
    </w:p>
    <w:p w14:paraId="1BA2102C"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only one.</w:t>
      </w:r>
    </w:p>
    <w:p w14:paraId="33532EB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It is matterized </w:t>
      </w:r>
    </w:p>
    <w:p w14:paraId="19340E4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energy.</w:t>
      </w:r>
    </w:p>
    <w:p w14:paraId="7D15886B"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That we call </w:t>
      </w:r>
    </w:p>
    <w:p w14:paraId="3E1F7904"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WIND,</w:t>
      </w:r>
    </w:p>
    <w:p w14:paraId="587269F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when it becomes </w:t>
      </w:r>
    </w:p>
    <w:p w14:paraId="3857141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THINGS.</w:t>
      </w:r>
    </w:p>
    <w:p w14:paraId="7FA9E85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There is no absolute space-</w:t>
      </w:r>
    </w:p>
    <w:p w14:paraId="3443C18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If Wind is everywhere </w:t>
      </w:r>
    </w:p>
    <w:p w14:paraId="2664233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how could there be void </w:t>
      </w:r>
    </w:p>
    <w:p w14:paraId="6AA7161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and emptiness?</w:t>
      </w:r>
    </w:p>
    <w:p w14:paraId="27087EC0" w14:textId="77777777" w:rsidR="009F0C56" w:rsidRDefault="00653842">
      <w:pPr>
        <w:spacing w:after="0" w:line="240" w:lineRule="auto"/>
        <w:rPr>
          <w:rFonts w:ascii="Arial" w:eastAsia="Arial" w:hAnsi="Arial" w:cs="Arial"/>
          <w:i/>
          <w:iCs/>
          <w:color w:val="262626"/>
          <w:sz w:val="22"/>
          <w:szCs w:val="22"/>
        </w:rPr>
      </w:pPr>
      <w:r>
        <w:rPr>
          <w:rFonts w:ascii="Arial" w:eastAsia="Arial" w:hAnsi="Arial" w:cs="Arial"/>
          <w:i/>
          <w:iCs/>
          <w:color w:val="262626"/>
          <w:sz w:val="22"/>
          <w:szCs w:val="22"/>
        </w:rPr>
        <w:t>There is no absolute time-</w:t>
      </w:r>
    </w:p>
    <w:p w14:paraId="0BF35D4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If Wind fluctuates </w:t>
      </w:r>
    </w:p>
    <w:p w14:paraId="124E11E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how could there be </w:t>
      </w:r>
    </w:p>
    <w:p w14:paraId="5810E191"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anything but motion?</w:t>
      </w:r>
    </w:p>
    <w:p w14:paraId="1AAA690B" w14:textId="77777777" w:rsidR="009F0C56" w:rsidRDefault="00653842">
      <w:pPr>
        <w:spacing w:after="0" w:line="240" w:lineRule="auto"/>
        <w:rPr>
          <w:rFonts w:ascii="Arial" w:eastAsia="Arial" w:hAnsi="Arial" w:cs="Arial"/>
          <w:i/>
          <w:iCs/>
          <w:color w:val="262626"/>
          <w:sz w:val="22"/>
          <w:szCs w:val="22"/>
        </w:rPr>
      </w:pPr>
      <w:r>
        <w:rPr>
          <w:rFonts w:ascii="Arial" w:eastAsia="Arial" w:hAnsi="Arial" w:cs="Arial"/>
          <w:i/>
          <w:iCs/>
          <w:color w:val="262626"/>
          <w:sz w:val="22"/>
          <w:szCs w:val="22"/>
        </w:rPr>
        <w:t xml:space="preserve">Time is the counting </w:t>
      </w:r>
    </w:p>
    <w:p w14:paraId="168C9E05"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of motion.</w:t>
      </w:r>
    </w:p>
    <w:p w14:paraId="2B96E32F"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Space is the discounting </w:t>
      </w:r>
    </w:p>
    <w:p w14:paraId="569652D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Of the in- between.</w:t>
      </w:r>
    </w:p>
    <w:p w14:paraId="5FF52154"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And so it is.</w:t>
      </w:r>
    </w:p>
    <w:p w14:paraId="5A0C6CD4"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How what is was</w:t>
      </w:r>
    </w:p>
    <w:p w14:paraId="29B7EEA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and how what was not </w:t>
      </w:r>
    </w:p>
    <w:p w14:paraId="104AB31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came to be.</w:t>
      </w:r>
    </w:p>
    <w:p w14:paraId="1CC544F6"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And so</w:t>
      </w:r>
    </w:p>
    <w:p w14:paraId="56F34F6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there came to be </w:t>
      </w:r>
    </w:p>
    <w:p w14:paraId="4F3A31E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She,</w:t>
      </w:r>
    </w:p>
    <w:p w14:paraId="0699650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She we call Mother,</w:t>
      </w:r>
    </w:p>
    <w:p w14:paraId="45C6806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Woman,</w:t>
      </w:r>
    </w:p>
    <w:p w14:paraId="6B390A11"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Ground,</w:t>
      </w:r>
    </w:p>
    <w:p w14:paraId="06442AC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Area,</w:t>
      </w:r>
    </w:p>
    <w:p w14:paraId="002A1732"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Na’ho’dzaan.</w:t>
      </w:r>
    </w:p>
    <w:p w14:paraId="69C8992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She is not-</w:t>
      </w:r>
    </w:p>
    <w:p w14:paraId="4FA84BA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 dead rock</w:t>
      </w:r>
    </w:p>
    <w:p w14:paraId="066B2FC5"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 blue ball,</w:t>
      </w:r>
    </w:p>
    <w:p w14:paraId="591453D5"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suspended,</w:t>
      </w:r>
    </w:p>
    <w:p w14:paraId="7BE1063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in empty space.</w:t>
      </w:r>
    </w:p>
    <w:p w14:paraId="02B86525"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She is a fiery egg,</w:t>
      </w:r>
    </w:p>
    <w:p w14:paraId="770CE4F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lastRenderedPageBreak/>
        <w:t>the yolk-</w:t>
      </w:r>
    </w:p>
    <w:p w14:paraId="44B92EED"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 smouldering cauldron </w:t>
      </w:r>
    </w:p>
    <w:p w14:paraId="0F4A1E6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separated from the mist </w:t>
      </w:r>
    </w:p>
    <w:p w14:paraId="297E1DC1"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albumen of atmosphere </w:t>
      </w:r>
    </w:p>
    <w:p w14:paraId="66484D01"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by the thinnest of crust </w:t>
      </w:r>
    </w:p>
    <w:p w14:paraId="7EBEFBAC"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the shell-</w:t>
      </w:r>
    </w:p>
    <w:p w14:paraId="7FC9ED4B"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 permeable barrier </w:t>
      </w:r>
    </w:p>
    <w:p w14:paraId="00A1412C"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receptive, enveloping.</w:t>
      </w:r>
    </w:p>
    <w:p w14:paraId="454DF041"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She is a minor Sun,</w:t>
      </w:r>
    </w:p>
    <w:p w14:paraId="5A06BB1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following, like a child,</w:t>
      </w:r>
    </w:p>
    <w:p w14:paraId="4F443F9D"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the grandparent.</w:t>
      </w:r>
    </w:p>
    <w:p w14:paraId="08495736"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Like a child,</w:t>
      </w:r>
    </w:p>
    <w:p w14:paraId="00A358AF"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connected </w:t>
      </w:r>
    </w:p>
    <w:p w14:paraId="158DEF8B"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round and round </w:t>
      </w:r>
    </w:p>
    <w:p w14:paraId="012B634B"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and round.</w:t>
      </w:r>
    </w:p>
    <w:p w14:paraId="788CF146"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But, unlike a child </w:t>
      </w:r>
    </w:p>
    <w:p w14:paraId="5210F564"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and, like a woman </w:t>
      </w:r>
    </w:p>
    <w:p w14:paraId="6FA2DAC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She produces, from within </w:t>
      </w:r>
    </w:p>
    <w:p w14:paraId="55AF5816"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the living fire </w:t>
      </w:r>
    </w:p>
    <w:p w14:paraId="42D3178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all manner of things.</w:t>
      </w:r>
    </w:p>
    <w:p w14:paraId="373AD0E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WHITE SHELL WOMEN </w:t>
      </w:r>
    </w:p>
    <w:p w14:paraId="666D7B4B"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WHITE BUFFALO WOMEN </w:t>
      </w:r>
    </w:p>
    <w:p w14:paraId="111FE7BB"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CHANGING WOMEN </w:t>
      </w:r>
    </w:p>
    <w:p w14:paraId="1009B19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SHE WHO SPEWS FORTH </w:t>
      </w:r>
    </w:p>
    <w:p w14:paraId="5EEF0B0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POSSIBILITIES. POTENTIALITIES.</w:t>
      </w:r>
    </w:p>
    <w:p w14:paraId="1387F51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From deep within </w:t>
      </w:r>
    </w:p>
    <w:p w14:paraId="61D19D56"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through layers of being </w:t>
      </w:r>
    </w:p>
    <w:p w14:paraId="418DD85D"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out of the yolk </w:t>
      </w:r>
    </w:p>
    <w:p w14:paraId="79B245B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and into the albumen </w:t>
      </w:r>
    </w:p>
    <w:p w14:paraId="472A81AF"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Come to potentialities </w:t>
      </w:r>
    </w:p>
    <w:p w14:paraId="44BDF38F"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to be finished </w:t>
      </w:r>
    </w:p>
    <w:p w14:paraId="46359EBF"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in the shadows of the stones </w:t>
      </w:r>
    </w:p>
    <w:p w14:paraId="1217F18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in the rays of the sun </w:t>
      </w:r>
    </w:p>
    <w:p w14:paraId="3B98E63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in the warmth of the waters </w:t>
      </w:r>
    </w:p>
    <w:p w14:paraId="73C390BB"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in the cool of the mountain </w:t>
      </w:r>
    </w:p>
    <w:p w14:paraId="30945936"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In the heart of the desert </w:t>
      </w:r>
    </w:p>
    <w:p w14:paraId="462F2916"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come the myriads of things.</w:t>
      </w:r>
    </w:p>
    <w:p w14:paraId="1A47FAE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like a living being </w:t>
      </w:r>
    </w:p>
    <w:p w14:paraId="56701A9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she makes no two things </w:t>
      </w:r>
    </w:p>
    <w:p w14:paraId="25B9346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exactly alike.</w:t>
      </w:r>
    </w:p>
    <w:p w14:paraId="4D1C1E92"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 jaguar is not like a tiger </w:t>
      </w:r>
    </w:p>
    <w:p w14:paraId="4ACDA7FF"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 tiger is not a lion </w:t>
      </w:r>
    </w:p>
    <w:p w14:paraId="4EB2BD2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 lion is not a cheetah </w:t>
      </w:r>
    </w:p>
    <w:p w14:paraId="3A0E4626"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one cheetah is not another cheetah.</w:t>
      </w:r>
    </w:p>
    <w:p w14:paraId="50A5EB42"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She is who creates </w:t>
      </w:r>
    </w:p>
    <w:p w14:paraId="083F197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in the light of the sun </w:t>
      </w:r>
    </w:p>
    <w:p w14:paraId="77BFF56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in the path of the wind </w:t>
      </w:r>
    </w:p>
    <w:p w14:paraId="1A36DCE5"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in the belly of fire </w:t>
      </w:r>
    </w:p>
    <w:p w14:paraId="45C4FA8F"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she</w:t>
      </w:r>
    </w:p>
    <w:p w14:paraId="30CD10B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The Mother.</w:t>
      </w:r>
    </w:p>
    <w:p w14:paraId="46075BB4"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diversity is her signature.</w:t>
      </w:r>
    </w:p>
    <w:p w14:paraId="2355E1B5"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And there is motion.</w:t>
      </w:r>
    </w:p>
    <w:p w14:paraId="30C0A40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If something exists </w:t>
      </w:r>
    </w:p>
    <w:p w14:paraId="6960D6F6"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it is in motion </w:t>
      </w:r>
    </w:p>
    <w:p w14:paraId="43238D55"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and if there is motion </w:t>
      </w:r>
    </w:p>
    <w:p w14:paraId="45F1DA4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lastRenderedPageBreak/>
        <w:t>there is life.</w:t>
      </w:r>
    </w:p>
    <w:p w14:paraId="6A4FE54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Everything that exists </w:t>
      </w:r>
    </w:p>
    <w:p w14:paraId="161BCEE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is in motion </w:t>
      </w:r>
    </w:p>
    <w:p w14:paraId="43DE36C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Therefore, everything that exists,</w:t>
      </w:r>
    </w:p>
    <w:p w14:paraId="3EE88AF2"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is alive.</w:t>
      </w:r>
    </w:p>
    <w:p w14:paraId="7A273C27" w14:textId="77777777" w:rsidR="009F0C56" w:rsidRDefault="00653842">
      <w:pPr>
        <w:spacing w:after="0" w:line="240" w:lineRule="auto"/>
        <w:rPr>
          <w:rFonts w:ascii="Arial" w:eastAsia="Arial" w:hAnsi="Arial" w:cs="Arial"/>
          <w:i/>
          <w:iCs/>
          <w:color w:val="262626"/>
          <w:sz w:val="22"/>
          <w:szCs w:val="22"/>
        </w:rPr>
      </w:pPr>
      <w:r>
        <w:rPr>
          <w:rFonts w:ascii="Arial" w:eastAsia="Arial" w:hAnsi="Arial" w:cs="Arial"/>
          <w:i/>
          <w:iCs/>
          <w:color w:val="262626"/>
          <w:sz w:val="22"/>
          <w:szCs w:val="22"/>
        </w:rPr>
        <w:t xml:space="preserve">Picture a landscape of shifting sand </w:t>
      </w:r>
    </w:p>
    <w:p w14:paraId="4E3BA6F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Nothing stays still </w:t>
      </w:r>
    </w:p>
    <w:p w14:paraId="61823DC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yet it is the same.</w:t>
      </w:r>
    </w:p>
    <w:p w14:paraId="5C89F86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The sand ripples </w:t>
      </w:r>
    </w:p>
    <w:p w14:paraId="340A7456"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forms dunes </w:t>
      </w:r>
    </w:p>
    <w:p w14:paraId="101DCB94"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shifts.</w:t>
      </w:r>
    </w:p>
    <w:p w14:paraId="6217B96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This is the way of the Universe:</w:t>
      </w:r>
    </w:p>
    <w:p w14:paraId="433110B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Stable shifting </w:t>
      </w:r>
    </w:p>
    <w:p w14:paraId="4C5C1ED1"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Shifting stability.</w:t>
      </w:r>
    </w:p>
    <w:p w14:paraId="051710F2"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This is the way of a human:</w:t>
      </w:r>
    </w:p>
    <w:p w14:paraId="60F1BF4C"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Stable shifting </w:t>
      </w:r>
    </w:p>
    <w:p w14:paraId="3544A6F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Shifting stability.</w:t>
      </w:r>
    </w:p>
    <w:p w14:paraId="25C6423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In harmony,</w:t>
      </w:r>
    </w:p>
    <w:p w14:paraId="41E66AA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Balanced.</w:t>
      </w:r>
    </w:p>
    <w:p w14:paraId="3F96777D"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We are not rocks,</w:t>
      </w:r>
    </w:p>
    <w:p w14:paraId="0A72C2B1"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We do not know of what </w:t>
      </w:r>
    </w:p>
    <w:p w14:paraId="6FA3B054"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 rock has awareness.</w:t>
      </w:r>
    </w:p>
    <w:p w14:paraId="75B070E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We are not grass </w:t>
      </w:r>
    </w:p>
    <w:p w14:paraId="0CE8982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nor water </w:t>
      </w:r>
    </w:p>
    <w:p w14:paraId="5221CD3C"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nor bees.</w:t>
      </w:r>
    </w:p>
    <w:p w14:paraId="75CB520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We are not those things </w:t>
      </w:r>
    </w:p>
    <w:p w14:paraId="1417EC6F"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but it is by those things </w:t>
      </w:r>
    </w:p>
    <w:p w14:paraId="74D60FD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that we are.</w:t>
      </w:r>
    </w:p>
    <w:p w14:paraId="532AFA82"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We are no more than a blade of grass </w:t>
      </w:r>
    </w:p>
    <w:p w14:paraId="32D91EAD"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and we are no less.</w:t>
      </w:r>
    </w:p>
    <w:p w14:paraId="4E7A9755"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We all partake,</w:t>
      </w:r>
    </w:p>
    <w:p w14:paraId="500C727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by virtue of our being,</w:t>
      </w:r>
    </w:p>
    <w:p w14:paraId="0890303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In that which is sacred.</w:t>
      </w:r>
    </w:p>
    <w:p w14:paraId="1E96D14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We are all equals</w:t>
      </w:r>
    </w:p>
    <w:p w14:paraId="1AE6563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for how could inequality arise </w:t>
      </w:r>
    </w:p>
    <w:p w14:paraId="1186979C"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If we are essentially </w:t>
      </w:r>
    </w:p>
    <w:p w14:paraId="7372F96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the same?</w:t>
      </w:r>
    </w:p>
    <w:p w14:paraId="1CD724C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We are all siblings </w:t>
      </w:r>
    </w:p>
    <w:p w14:paraId="04AA0ACF"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of the same mother.</w:t>
      </w:r>
    </w:p>
    <w:p w14:paraId="0A6D62FF"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We are all children </w:t>
      </w:r>
    </w:p>
    <w:p w14:paraId="217B822B"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of the same father.</w:t>
      </w:r>
    </w:p>
    <w:p w14:paraId="1A3D6192"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connected </w:t>
      </w:r>
    </w:p>
    <w:p w14:paraId="3FD4EF7D"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related </w:t>
      </w:r>
    </w:p>
    <w:p w14:paraId="66F452E4"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through</w:t>
      </w:r>
    </w:p>
    <w:p w14:paraId="461CF5C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the one</w:t>
      </w:r>
    </w:p>
    <w:p w14:paraId="600DC44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wind.</w:t>
      </w:r>
    </w:p>
    <w:p w14:paraId="0B2FFB11"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The same, but different.</w:t>
      </w:r>
    </w:p>
    <w:p w14:paraId="4ABF66C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 am not a rock.</w:t>
      </w:r>
    </w:p>
    <w:p w14:paraId="2BD6FBEC"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 am not a bear.</w:t>
      </w:r>
    </w:p>
    <w:p w14:paraId="718B4A7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 am not water.</w:t>
      </w:r>
    </w:p>
    <w:p w14:paraId="07B4F79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If a rock falls </w:t>
      </w:r>
    </w:p>
    <w:p w14:paraId="448A805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it is what a rock does.</w:t>
      </w:r>
    </w:p>
    <w:p w14:paraId="106B784F"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If a bear is hungry,</w:t>
      </w:r>
    </w:p>
    <w:p w14:paraId="05F3203B"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it eats what it likes.</w:t>
      </w:r>
    </w:p>
    <w:p w14:paraId="5B282D61"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If the water floods </w:t>
      </w:r>
    </w:p>
    <w:p w14:paraId="2F61DA0D"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lastRenderedPageBreak/>
        <w:t>it does what water does.</w:t>
      </w:r>
    </w:p>
    <w:p w14:paraId="57F6E935"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 alone, can know </w:t>
      </w:r>
    </w:p>
    <w:p w14:paraId="365D70D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the consequences </w:t>
      </w:r>
    </w:p>
    <w:p w14:paraId="39BED91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of my actions.</w:t>
      </w:r>
    </w:p>
    <w:p w14:paraId="699B6A9F"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 alone, am responsible,</w:t>
      </w:r>
    </w:p>
    <w:p w14:paraId="0A564E1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and, I am not alone.</w:t>
      </w:r>
    </w:p>
    <w:p w14:paraId="2BFEE3FC"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Humans are animals of the herd</w:t>
      </w:r>
    </w:p>
    <w:p w14:paraId="6C7CF84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Language is the bonding mechanism </w:t>
      </w:r>
    </w:p>
    <w:p w14:paraId="114DFC2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Empathy is the cause.</w:t>
      </w:r>
    </w:p>
    <w:p w14:paraId="77CE88AD"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Because we are not alone </w:t>
      </w:r>
    </w:p>
    <w:p w14:paraId="495E5D5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there are no meaningless actions.</w:t>
      </w:r>
    </w:p>
    <w:p w14:paraId="4430B73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 affect the universe </w:t>
      </w:r>
    </w:p>
    <w:p w14:paraId="1BF096B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 bring into the universe:</w:t>
      </w:r>
    </w:p>
    <w:p w14:paraId="77D1A724"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poverty </w:t>
      </w:r>
    </w:p>
    <w:p w14:paraId="4105FBAD"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wealth        Kindness </w:t>
      </w:r>
    </w:p>
    <w:p w14:paraId="1D94EF65"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shame        Meanness</w:t>
      </w:r>
    </w:p>
    <w:p w14:paraId="75B0BD7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pride          Ugliness </w:t>
      </w:r>
    </w:p>
    <w:p w14:paraId="1861A54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beauty        envy </w:t>
      </w:r>
    </w:p>
    <w:p w14:paraId="750D3714"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pain            Sharing </w:t>
      </w:r>
    </w:p>
    <w:p w14:paraId="1706E84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pleasure      respect </w:t>
      </w:r>
    </w:p>
    <w:p w14:paraId="7F091EB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hatred         knowledge </w:t>
      </w:r>
    </w:p>
    <w:p w14:paraId="1BEB49A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horror          Ignorance </w:t>
      </w:r>
    </w:p>
    <w:p w14:paraId="2C75BED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calm            apathy </w:t>
      </w:r>
    </w:p>
    <w:p w14:paraId="3C2663B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caring         tolerance </w:t>
      </w:r>
    </w:p>
    <w:p w14:paraId="27CD479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loyalty         Intolerance </w:t>
      </w:r>
    </w:p>
    <w:p w14:paraId="094138D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jealousy      competition </w:t>
      </w:r>
    </w:p>
    <w:p w14:paraId="262E4BAD"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cooperation </w:t>
      </w:r>
    </w:p>
    <w:p w14:paraId="5919EED5"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 am a co-creator </w:t>
      </w:r>
    </w:p>
    <w:p w14:paraId="52EC4A0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w:t>
      </w:r>
    </w:p>
    <w:p w14:paraId="4DE1CB6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can</w:t>
      </w:r>
    </w:p>
    <w:p w14:paraId="6A454A31"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enhance </w:t>
      </w:r>
    </w:p>
    <w:p w14:paraId="7F3C2BD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 </w:t>
      </w:r>
    </w:p>
    <w:p w14:paraId="426AC27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can </w:t>
      </w:r>
    </w:p>
    <w:p w14:paraId="14B3A76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detract</w:t>
      </w:r>
    </w:p>
    <w:p w14:paraId="4B29CF2B"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w:t>
      </w:r>
    </w:p>
    <w:p w14:paraId="1DFD79AB"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alone </w:t>
      </w:r>
    </w:p>
    <w:p w14:paraId="20314ED1"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am</w:t>
      </w:r>
    </w:p>
    <w:p w14:paraId="1EA97C86"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responsible.</w:t>
      </w:r>
    </w:p>
    <w:p w14:paraId="671AD6ED"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BEAUTY </w:t>
      </w:r>
    </w:p>
    <w:p w14:paraId="0BB42F6C"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 can make it.</w:t>
      </w:r>
    </w:p>
    <w:p w14:paraId="1A8BF63D"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But what is it, the thing-</w:t>
      </w:r>
    </w:p>
    <w:p w14:paraId="067237E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we call Beauty?</w:t>
      </w:r>
    </w:p>
    <w:p w14:paraId="66D6BC01"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Price, but not arrogance. Strength, but not forcefulness. Courage, but not foolhardiness. Caution, but not cowardice. Softness, but not weakness.</w:t>
      </w:r>
    </w:p>
    <w:p w14:paraId="56F7699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That is beauty.</w:t>
      </w:r>
    </w:p>
    <w:p w14:paraId="6C9A05DD"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And</w:t>
      </w:r>
    </w:p>
    <w:p w14:paraId="6BDFEAD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HOW IT ISN’T.</w:t>
      </w:r>
    </w:p>
    <w:p w14:paraId="0841282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In the beginning </w:t>
      </w:r>
    </w:p>
    <w:p w14:paraId="46AF19B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(It is said)</w:t>
      </w:r>
    </w:p>
    <w:p w14:paraId="467B6E3B"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There was Nothing </w:t>
      </w:r>
    </w:p>
    <w:p w14:paraId="0840AFF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But how can</w:t>
      </w:r>
    </w:p>
    <w:p w14:paraId="34AB6B1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SOMETHING</w:t>
      </w:r>
    </w:p>
    <w:p w14:paraId="2F388C2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arise from </w:t>
      </w:r>
    </w:p>
    <w:p w14:paraId="2765877D"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NOTHING?</w:t>
      </w:r>
    </w:p>
    <w:p w14:paraId="7D0B9FA5"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It is postulated </w:t>
      </w:r>
    </w:p>
    <w:p w14:paraId="41F889F5"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lastRenderedPageBreak/>
        <w:t xml:space="preserve">IT WAS GOD </w:t>
      </w:r>
    </w:p>
    <w:p w14:paraId="76D15025"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said some.</w:t>
      </w:r>
    </w:p>
    <w:p w14:paraId="56FC9AF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IT WAS VACUUM </w:t>
      </w:r>
    </w:p>
    <w:p w14:paraId="33D1FBE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said others.</w:t>
      </w:r>
    </w:p>
    <w:p w14:paraId="19BA992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And God said </w:t>
      </w:r>
    </w:p>
    <w:p w14:paraId="26922FC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Let There Be </w:t>
      </w:r>
    </w:p>
    <w:p w14:paraId="513FD17D"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And the vacuum </w:t>
      </w:r>
    </w:p>
    <w:p w14:paraId="18548D5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that was nothing </w:t>
      </w:r>
    </w:p>
    <w:p w14:paraId="7EBF0FC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EXPLODED!</w:t>
      </w:r>
    </w:p>
    <w:p w14:paraId="02CD48F2"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The big bang</w:t>
      </w:r>
    </w:p>
    <w:p w14:paraId="187424F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It is said.</w:t>
      </w:r>
    </w:p>
    <w:p w14:paraId="3AB9C76F"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And that which was nothing </w:t>
      </w:r>
    </w:p>
    <w:p w14:paraId="0424B94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E X P A N D E D </w:t>
      </w:r>
    </w:p>
    <w:p w14:paraId="0FE59FDC"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into nothing </w:t>
      </w:r>
    </w:p>
    <w:p w14:paraId="7732691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which is space </w:t>
      </w:r>
    </w:p>
    <w:p w14:paraId="63F5F9E8" w14:textId="77777777" w:rsidR="009F0C56" w:rsidRDefault="00653842">
      <w:pPr>
        <w:spacing w:after="0" w:line="240" w:lineRule="auto"/>
        <w:rPr>
          <w:rFonts w:ascii="Arial" w:eastAsia="Arial" w:hAnsi="Arial" w:cs="Arial"/>
          <w:i/>
          <w:iCs/>
          <w:color w:val="262626"/>
          <w:sz w:val="22"/>
          <w:szCs w:val="22"/>
        </w:rPr>
      </w:pPr>
      <w:r>
        <w:rPr>
          <w:rFonts w:ascii="Arial" w:eastAsia="Arial" w:hAnsi="Arial" w:cs="Arial"/>
          <w:i/>
          <w:iCs/>
          <w:color w:val="262626"/>
          <w:sz w:val="22"/>
          <w:szCs w:val="22"/>
        </w:rPr>
        <w:t>and time began</w:t>
      </w:r>
    </w:p>
    <w:p w14:paraId="6E812ACC"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before which </w:t>
      </w:r>
    </w:p>
    <w:p w14:paraId="6C53B51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there was nothing.</w:t>
      </w:r>
    </w:p>
    <w:p w14:paraId="625628D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It is said </w:t>
      </w:r>
    </w:p>
    <w:p w14:paraId="1E68931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And I whisper </w:t>
      </w:r>
    </w:p>
    <w:p w14:paraId="2CDFF04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Is not “GOD” a mere name </w:t>
      </w:r>
    </w:p>
    <w:p w14:paraId="26110D7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 euphemism </w:t>
      </w:r>
    </w:p>
    <w:p w14:paraId="773D4605"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 metaphor </w:t>
      </w:r>
    </w:p>
    <w:p w14:paraId="04B420D6"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for . . . SOMETHING?</w:t>
      </w:r>
    </w:p>
    <w:p w14:paraId="0D5C5E54"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Is not “VACUUM “ a mere name </w:t>
      </w:r>
    </w:p>
    <w:p w14:paraId="2B9B72E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 euphemism </w:t>
      </w:r>
    </w:p>
    <w:p w14:paraId="05944FE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 metaphor </w:t>
      </w:r>
    </w:p>
    <w:p w14:paraId="25CA230B"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for SOMETHING?</w:t>
      </w:r>
    </w:p>
    <w:p w14:paraId="56AF137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Of course NOT!</w:t>
      </w:r>
    </w:p>
    <w:p w14:paraId="158ABE75"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It is a miracle </w:t>
      </w:r>
    </w:p>
    <w:p w14:paraId="06B95C82"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said one.</w:t>
      </w:r>
    </w:p>
    <w:p w14:paraId="101E9E14"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It is a Mystery </w:t>
      </w:r>
    </w:p>
    <w:p w14:paraId="01A3173F"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said another.</w:t>
      </w:r>
    </w:p>
    <w:p w14:paraId="68BF854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(Or . . . A BLACK HOLE).</w:t>
      </w:r>
    </w:p>
    <w:p w14:paraId="1668FA3F"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There must be secrets </w:t>
      </w:r>
    </w:p>
    <w:p w14:paraId="5454EEB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so that we can find them </w:t>
      </w:r>
    </w:p>
    <w:p w14:paraId="5956ECA6"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So that we can say</w:t>
      </w:r>
    </w:p>
    <w:p w14:paraId="76C1740B"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I found it!.</w:t>
      </w:r>
    </w:p>
    <w:p w14:paraId="768DBEBB"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He found it!.</w:t>
      </w:r>
    </w:p>
    <w:p w14:paraId="36DB0C2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So that </w:t>
      </w:r>
    </w:p>
    <w:p w14:paraId="0C6D6C7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there can be</w:t>
      </w:r>
    </w:p>
    <w:p w14:paraId="5CE6CB3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medals </w:t>
      </w:r>
    </w:p>
    <w:p w14:paraId="1D0F3A2D"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honours </w:t>
      </w:r>
    </w:p>
    <w:p w14:paraId="6C379C7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awards </w:t>
      </w:r>
    </w:p>
    <w:p w14:paraId="2C7ABCC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 elevations </w:t>
      </w:r>
    </w:p>
    <w:p w14:paraId="7BA8EAA4"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HEROES </w:t>
      </w:r>
    </w:p>
    <w:p w14:paraId="1A3E994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The universe is a machine.</w:t>
      </w:r>
    </w:p>
    <w:p w14:paraId="6E8C0566"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The deity is an engineer </w:t>
      </w:r>
    </w:p>
    <w:p w14:paraId="0CB7FF8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or perhaps, a chemist.</w:t>
      </w:r>
    </w:p>
    <w:p w14:paraId="09D1F5F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It all works according to</w:t>
      </w:r>
    </w:p>
    <w:p w14:paraId="56D5F97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to laws:</w:t>
      </w:r>
    </w:p>
    <w:p w14:paraId="69D04A4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of ratios</w:t>
      </w:r>
    </w:p>
    <w:p w14:paraId="76BE964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and forces </w:t>
      </w:r>
    </w:p>
    <w:p w14:paraId="08971D4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maybe even </w:t>
      </w:r>
    </w:p>
    <w:p w14:paraId="2849C77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action at a distance </w:t>
      </w:r>
    </w:p>
    <w:p w14:paraId="3174ED74"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lastRenderedPageBreak/>
        <w:t>(or by inverse proportions?)</w:t>
      </w:r>
    </w:p>
    <w:p w14:paraId="6DC645D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Anyway:E=mc2</w:t>
      </w:r>
    </w:p>
    <w:p w14:paraId="6A724CF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And there is purpose </w:t>
      </w:r>
    </w:p>
    <w:p w14:paraId="3E00070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for the mechanism </w:t>
      </w:r>
    </w:p>
    <w:p w14:paraId="221AB38C"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It was made</w:t>
      </w:r>
    </w:p>
    <w:p w14:paraId="7566BC1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so that man </w:t>
      </w:r>
    </w:p>
    <w:p w14:paraId="014A2A4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could rule-</w:t>
      </w:r>
    </w:p>
    <w:p w14:paraId="1544A58F"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or at least </w:t>
      </w:r>
    </w:p>
    <w:p w14:paraId="0590288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be foreman</w:t>
      </w:r>
    </w:p>
    <w:p w14:paraId="066FB6A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of the maintenance </w:t>
      </w:r>
    </w:p>
    <w:p w14:paraId="06BDBF5B"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department.</w:t>
      </w:r>
    </w:p>
    <w:p w14:paraId="3862A9C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Residing in the somewhat </w:t>
      </w:r>
    </w:p>
    <w:p w14:paraId="3C1779A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flawed mechanism called </w:t>
      </w:r>
    </w:p>
    <w:p w14:paraId="6BA34C6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“BODY”</w:t>
      </w:r>
    </w:p>
    <w:p w14:paraId="72B780A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is somewhat less flawed:</w:t>
      </w:r>
    </w:p>
    <w:p w14:paraId="04CF9A81"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“MIND”</w:t>
      </w:r>
    </w:p>
    <w:p w14:paraId="2B6708E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The mind operates the body.</w:t>
      </w:r>
    </w:p>
    <w:p w14:paraId="2ACC5431"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It analyzes input,</w:t>
      </w:r>
    </w:p>
    <w:p w14:paraId="7BC694F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It creates output.</w:t>
      </w:r>
    </w:p>
    <w:p w14:paraId="0C4DDEA4"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It is immortal.</w:t>
      </w:r>
    </w:p>
    <w:p w14:paraId="2262E676"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It is immaterial.</w:t>
      </w:r>
    </w:p>
    <w:p w14:paraId="47300F2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It is the “ghost in the machine.”</w:t>
      </w:r>
    </w:p>
    <w:p w14:paraId="19C19C7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The ghost is spiritual </w:t>
      </w:r>
    </w:p>
    <w:p w14:paraId="339D3B0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as opposed to the </w:t>
      </w:r>
    </w:p>
    <w:p w14:paraId="31EE70A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mundane </w:t>
      </w:r>
    </w:p>
    <w:p w14:paraId="2364B33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crass</w:t>
      </w:r>
    </w:p>
    <w:p w14:paraId="693B8105"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material </w:t>
      </w:r>
    </w:p>
    <w:p w14:paraId="2AD1805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and </w:t>
      </w:r>
    </w:p>
    <w:p w14:paraId="4234AC05"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functional</w:t>
      </w:r>
    </w:p>
    <w:p w14:paraId="79B81AAC"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It is where the “higher order”</w:t>
      </w:r>
    </w:p>
    <w:p w14:paraId="26E4370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of things happen.</w:t>
      </w:r>
    </w:p>
    <w:p w14:paraId="1C204C8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ONLY HUMANS HAVE “MINDS “</w:t>
      </w:r>
    </w:p>
    <w:p w14:paraId="1E24C55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THEREFORE, THEY ARE NOT-</w:t>
      </w:r>
    </w:p>
    <w:p w14:paraId="03B35C7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AS ARE All OTHER THINGS-</w:t>
      </w:r>
    </w:p>
    <w:p w14:paraId="12EF347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MERE MECHANISMS.</w:t>
      </w:r>
    </w:p>
    <w:p w14:paraId="7DBCC75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Each knows only </w:t>
      </w:r>
    </w:p>
    <w:p w14:paraId="4E3950F1"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its own mind.</w:t>
      </w:r>
    </w:p>
    <w:p w14:paraId="07E307B1"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It does, however, assume </w:t>
      </w:r>
    </w:p>
    <w:p w14:paraId="2BAAD87C"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that other things </w:t>
      </w:r>
    </w:p>
    <w:p w14:paraId="543FD5F4"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exist.</w:t>
      </w:r>
    </w:p>
    <w:p w14:paraId="2FFFC15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Other things may be</w:t>
      </w:r>
    </w:p>
    <w:p w14:paraId="01A9F0D2"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consumed </w:t>
      </w:r>
    </w:p>
    <w:p w14:paraId="6F884835"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used</w:t>
      </w:r>
    </w:p>
    <w:p w14:paraId="5A4701A1"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led</w:t>
      </w:r>
    </w:p>
    <w:p w14:paraId="711663E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organized </w:t>
      </w:r>
    </w:p>
    <w:p w14:paraId="0303ED77"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Analyzed </w:t>
      </w:r>
    </w:p>
    <w:p w14:paraId="48B99F9C"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categorized </w:t>
      </w:r>
    </w:p>
    <w:p w14:paraId="142CF20D"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and</w:t>
      </w:r>
    </w:p>
    <w:p w14:paraId="1B4EA70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other-wized.</w:t>
      </w:r>
    </w:p>
    <w:p w14:paraId="336B7EC2"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All things exist in hierarchy-</w:t>
      </w:r>
    </w:p>
    <w:p w14:paraId="3DEA9492"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culminating with the </w:t>
      </w:r>
    </w:p>
    <w:p w14:paraId="6B52727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Ghost.</w:t>
      </w:r>
    </w:p>
    <w:p w14:paraId="54FD24E1"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The ghost is the culmination of</w:t>
      </w:r>
    </w:p>
    <w:p w14:paraId="0E7C9EB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of 4.5 BILLION years of</w:t>
      </w:r>
    </w:p>
    <w:p w14:paraId="5DE07C55"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progressive evolutionary </w:t>
      </w:r>
    </w:p>
    <w:p w14:paraId="080EC424"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lastRenderedPageBreak/>
        <w:t>DEVELOPMENT.</w:t>
      </w:r>
    </w:p>
    <w:p w14:paraId="398744D6"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or-</w:t>
      </w:r>
    </w:p>
    <w:p w14:paraId="1568A295"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The ghost is an alien infusion </w:t>
      </w:r>
    </w:p>
    <w:p w14:paraId="6A31E3A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Into an alien and hostile </w:t>
      </w:r>
    </w:p>
    <w:p w14:paraId="16F6657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 environment.</w:t>
      </w:r>
    </w:p>
    <w:p w14:paraId="05A049A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HEADS OR TAILS.</w:t>
      </w:r>
    </w:p>
    <w:p w14:paraId="71353119"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IN ANY CASE-</w:t>
      </w:r>
    </w:p>
    <w:p w14:paraId="20A99235"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The goal of the ghost </w:t>
      </w:r>
    </w:p>
    <w:p w14:paraId="245AB420"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is to </w:t>
      </w:r>
    </w:p>
    <w:p w14:paraId="46BD044B"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surpass</w:t>
      </w:r>
    </w:p>
    <w:p w14:paraId="5C5A94D3"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overcome </w:t>
      </w:r>
    </w:p>
    <w:p w14:paraId="1A0C4BDB"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transcend </w:t>
      </w:r>
    </w:p>
    <w:p w14:paraId="64C6C4EE"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supercede </w:t>
      </w:r>
    </w:p>
    <w:p w14:paraId="387DDD64"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NATURE </w:t>
      </w:r>
    </w:p>
    <w:p w14:paraId="4FA313A1"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(that which is</w:t>
      </w:r>
    </w:p>
    <w:p w14:paraId="3E34DA36"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red in tooth </w:t>
      </w:r>
    </w:p>
    <w:p w14:paraId="0CA4117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and claw)</w:t>
      </w:r>
    </w:p>
    <w:p w14:paraId="0D3F303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To bring CIVILIZATION</w:t>
      </w:r>
    </w:p>
    <w:p w14:paraId="4C297EF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to the stars</w:t>
      </w:r>
    </w:p>
    <w:p w14:paraId="6EF9243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(And </w:t>
      </w:r>
    </w:p>
    <w:p w14:paraId="66EF6BA8"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 incidentally, </w:t>
      </w:r>
    </w:p>
    <w:p w14:paraId="0A01FADB"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find new resources </w:t>
      </w:r>
    </w:p>
    <w:p w14:paraId="0901497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to feed the Voracious </w:t>
      </w:r>
    </w:p>
    <w:p w14:paraId="116C7D5A"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 xml:space="preserve">mechanisms of the </w:t>
      </w:r>
    </w:p>
    <w:p w14:paraId="0A11A9BC" w14:textId="77777777" w:rsidR="009F0C56" w:rsidRDefault="00653842">
      <w:pPr>
        <w:spacing w:after="0" w:line="240" w:lineRule="auto"/>
        <w:rPr>
          <w:rFonts w:ascii="Arial" w:eastAsia="Arial" w:hAnsi="Arial" w:cs="Arial"/>
          <w:i/>
          <w:iCs/>
          <w:sz w:val="22"/>
          <w:szCs w:val="22"/>
        </w:rPr>
      </w:pPr>
      <w:r>
        <w:rPr>
          <w:rFonts w:ascii="Arial" w:eastAsia="Arial" w:hAnsi="Arial" w:cs="Arial"/>
          <w:i/>
          <w:iCs/>
          <w:sz w:val="22"/>
          <w:szCs w:val="22"/>
        </w:rPr>
        <w:t>civilzed man).</w:t>
      </w:r>
      <w:r>
        <w:rPr>
          <w:rFonts w:ascii="Arial" w:eastAsia="Arial" w:hAnsi="Arial" w:cs="Arial"/>
          <w:i/>
          <w:iCs/>
          <w:sz w:val="22"/>
          <w:szCs w:val="22"/>
          <w:vertAlign w:val="superscript"/>
        </w:rPr>
        <w:footnoteReference w:id="13"/>
      </w:r>
    </w:p>
    <w:p w14:paraId="62A94213" w14:textId="77777777" w:rsidR="009F0C56" w:rsidRDefault="009F0C56">
      <w:pPr>
        <w:rPr>
          <w:rFonts w:ascii="Arial" w:eastAsia="Arial" w:hAnsi="Arial" w:cs="Arial"/>
        </w:rPr>
      </w:pPr>
    </w:p>
    <w:p w14:paraId="1258B643" w14:textId="77777777" w:rsidR="009F0C56" w:rsidRDefault="00653842">
      <w:pPr>
        <w:rPr>
          <w:rFonts w:ascii="Arial" w:eastAsia="Arial" w:hAnsi="Arial" w:cs="Arial"/>
        </w:rPr>
      </w:pPr>
      <w:r>
        <w:rPr>
          <w:rFonts w:ascii="Arial" w:eastAsia="Arial" w:hAnsi="Arial" w:cs="Arial"/>
        </w:rPr>
        <w:t>(Cordova. 2007. Pg. 87-99)</w:t>
      </w:r>
    </w:p>
    <w:p w14:paraId="7054D645" w14:textId="77777777" w:rsidR="009F0C56" w:rsidRDefault="00653842">
      <w:pPr>
        <w:rPr>
          <w:rFonts w:ascii="Arial" w:eastAsia="Arial" w:hAnsi="Arial" w:cs="Arial"/>
          <w:color w:val="262626"/>
        </w:rPr>
      </w:pPr>
      <w:r>
        <w:rPr>
          <w:rFonts w:ascii="Arial" w:eastAsia="Arial" w:hAnsi="Arial" w:cs="Arial"/>
          <w:color w:val="262626"/>
        </w:rPr>
        <w:t>The poem above, written by Cordova, highlights how Indigenous perspectives of land differ from Locke's or Hobbes ' understanding. Through assigning agency, emotion, and relational depth to elements typically considered inanimate, land becomes more than a resource-bound interaction; rather, it gains life (Sreedhar 2023). This contrasts sharply with Locke and Hobbes's frameworks, where land is valuable only when it becomes property, governed and transformed into a labour site of production. As seen above, Cor</w:t>
      </w:r>
      <w:r>
        <w:rPr>
          <w:rFonts w:ascii="Arial" w:eastAsia="Arial" w:hAnsi="Arial" w:cs="Arial"/>
          <w:color w:val="262626"/>
        </w:rPr>
        <w:t>dova critiques this settler notion of creation beginning with man. Arguing instead that Earth is a living organism where humans, plants, animals, and spirits coexist in equilibrium. Where one group does not prosper at the behest of the others, as the ghost in the poem does (Cordova 2007).</w:t>
      </w:r>
    </w:p>
    <w:p w14:paraId="01ACFC2C" w14:textId="77777777" w:rsidR="009F0C56" w:rsidRDefault="00653842">
      <w:pPr>
        <w:rPr>
          <w:rFonts w:ascii="Arial" w:eastAsia="Arial" w:hAnsi="Arial" w:cs="Arial"/>
          <w:color w:val="262626"/>
        </w:rPr>
      </w:pPr>
      <w:r>
        <w:rPr>
          <w:rFonts w:ascii="Arial" w:eastAsia="Arial" w:hAnsi="Arial" w:cs="Arial"/>
        </w:rPr>
        <w:t>Here, the Ghost in Cordova’s poem can be read as the coloniser who is there to supersede nature, turning even the stars into instruments of conquest (Cordova 2007)</w:t>
      </w:r>
      <w:r>
        <w:rPr>
          <w:rFonts w:ascii="Arial" w:eastAsia="Arial" w:hAnsi="Arial" w:cs="Arial"/>
          <w:vertAlign w:val="superscript"/>
        </w:rPr>
        <w:footnoteReference w:id="14"/>
      </w:r>
      <w:r>
        <w:rPr>
          <w:rFonts w:ascii="Arial" w:eastAsia="Arial" w:hAnsi="Arial" w:cs="Arial"/>
          <w:color w:val="008000"/>
        </w:rPr>
        <w:t xml:space="preserve">. </w:t>
      </w:r>
      <w:r>
        <w:rPr>
          <w:rFonts w:ascii="Arial" w:eastAsia="Arial" w:hAnsi="Arial" w:cs="Arial"/>
          <w:color w:val="262626"/>
        </w:rPr>
        <w:t>This shift in tone mirrors the transformation of land from a relational entity into an exploitable settler object</w:t>
      </w:r>
      <w:r>
        <w:rPr>
          <w:color w:val="262626"/>
        </w:rPr>
        <w:t xml:space="preserve">. </w:t>
      </w:r>
      <w:r>
        <w:rPr>
          <w:rFonts w:ascii="Arial" w:eastAsia="Arial" w:hAnsi="Arial" w:cs="Arial"/>
          <w:color w:val="262626"/>
        </w:rPr>
        <w:t xml:space="preserve">Here, Veracini's argument about settler colonial "non-encounter", reinforces this reading of the ‘Ghost’. Veracini discusses how </w:t>
      </w:r>
      <w:r>
        <w:rPr>
          <w:rFonts w:ascii="Arial" w:eastAsia="Arial" w:hAnsi="Arial" w:cs="Arial"/>
          <w:color w:val="262626"/>
        </w:rPr>
        <w:lastRenderedPageBreak/>
        <w:t>settlers do not truly encounter Indigenous peoples. Rather, they non-encounter them, which functions as “a circumstance fundamentally shaped by a recurring need to disavow the presence of indigenous ‘others’” (Veracini 2011 Pg. 2). This operates to render Indigenous people’s peripheral to settler discourse around land, in refusing recognition of their full humanity and sovereignty</w:t>
      </w:r>
      <w:r>
        <w:rPr>
          <w:rFonts w:ascii="Arial" w:eastAsia="Arial" w:hAnsi="Arial" w:cs="Arial"/>
          <w:color w:val="262626"/>
        </w:rPr>
        <w:t xml:space="preserve">. As Veracini references Bradbury’s </w:t>
      </w:r>
      <w:r>
        <w:rPr>
          <w:rFonts w:ascii="Arial" w:eastAsia="Arial" w:hAnsi="Arial" w:cs="Arial"/>
          <w:i/>
          <w:iCs/>
          <w:color w:val="262626"/>
        </w:rPr>
        <w:t>Martian Chronicles</w:t>
      </w:r>
      <w:r>
        <w:rPr>
          <w:rFonts w:ascii="Arial" w:eastAsia="Arial" w:hAnsi="Arial" w:cs="Arial"/>
          <w:color w:val="262626"/>
        </w:rPr>
        <w:t xml:space="preserve">, in which settlers meet Martians as phantoms before wiping them out with disease, a clear allusion to historical events such as the Trail of Tears. In this, the ghostly figuration therefore parallels Cordova’s spectral coloniser, reflecting how settler epistemologies actively displace Indigenous presence through justifying land seizure (Cordova 2007, Veracini 2011). </w:t>
      </w:r>
    </w:p>
    <w:p w14:paraId="6452D50F" w14:textId="77777777" w:rsidR="009F0C56" w:rsidRDefault="00653842">
      <w:pPr>
        <w:rPr>
          <w:color w:val="262626"/>
        </w:rPr>
      </w:pPr>
      <w:r>
        <w:rPr>
          <w:rFonts w:ascii="Arial" w:eastAsia="Arial" w:hAnsi="Arial" w:cs="Arial"/>
          <w:color w:val="262626"/>
        </w:rPr>
        <w:t>Byrd extends this analysis by locating settler engagement with land within “violent tensions of racial and territorial dispossessions alongside the longings for home” (Byrd 2019, p. 340). In this, the historical centring becomes clear in how settler relationships with land are both aggressive and nostalgic compared to Indigenous creation stories. This creates a polarising dualism in thought, with both communities occupying the land but engaging with it completely differently.  In this contradiction, the set</w:t>
      </w:r>
      <w:r>
        <w:rPr>
          <w:rFonts w:ascii="Arial" w:eastAsia="Arial" w:hAnsi="Arial" w:cs="Arial"/>
          <w:color w:val="262626"/>
        </w:rPr>
        <w:t xml:space="preserve">tler constructs land as property, and themselves as the rightful inheritors of that property. A framing that obscures the violent foundation of its acquisition, which </w:t>
      </w:r>
      <w:r>
        <w:rPr>
          <w:rFonts w:ascii="Arial" w:eastAsia="Arial" w:hAnsi="Arial" w:cs="Arial"/>
        </w:rPr>
        <w:t xml:space="preserve">in turn diminishes Indigenous creation stories as myths (Bryd 2019). Nichols furthered this argument through the idea of the settler contract, </w:t>
      </w:r>
      <w:r>
        <w:rPr>
          <w:rFonts w:ascii="Arial" w:eastAsia="Arial" w:hAnsi="Arial" w:cs="Arial"/>
          <w:color w:val="262626"/>
        </w:rPr>
        <w:t>which formalises the philosophical and political structures that sustain this erasure. Consequently, the ghost can be read as the metaphorical embodiment of Cordova's settler that works to legitimise settler colonial violence by masking Indigenous presence and rewriting historical memory to begin with the settler’s arrival (Veracini 2008). Thus, Cordova’s ghost symbolises that the settler exists not in belief of what was already there, but as a force in overwriting Indigenous presence on the land, mirroring</w:t>
      </w:r>
      <w:r>
        <w:rPr>
          <w:rFonts w:ascii="Arial" w:eastAsia="Arial" w:hAnsi="Arial" w:cs="Arial"/>
          <w:color w:val="262626"/>
        </w:rPr>
        <w:t xml:space="preserve"> Nichols’s insight that settler legality and legitimacy depend on denying Indigenous presence (Cordova 2007).</w:t>
      </w:r>
    </w:p>
    <w:p w14:paraId="58C49FAE" w14:textId="77777777"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 xml:space="preserve">Deloria, in </w:t>
      </w:r>
      <w:r>
        <w:rPr>
          <w:rFonts w:ascii="Arial" w:eastAsia="Arial" w:hAnsi="Arial" w:cs="Arial"/>
          <w:i/>
          <w:iCs/>
          <w:color w:val="262626"/>
        </w:rPr>
        <w:t>God Is Red</w:t>
      </w:r>
      <w:r>
        <w:rPr>
          <w:rFonts w:ascii="Arial" w:eastAsia="Arial" w:hAnsi="Arial" w:cs="Arial"/>
          <w:color w:val="262626"/>
        </w:rPr>
        <w:t>, offers a profound counterpoint to this settler belief. Where the perceived inanimate objects that settler society deems part of the land have their agency and relations as, “in addition, all inanimate entities have spirit and personality so that the mountains, rivers, waterfalls, even the continents and the earth itself have intelligence, knowledge, and the ability to communicate ideas. The physical world is so filled with life and personality that humans appear as one minor species without much significa</w:t>
      </w:r>
      <w:r>
        <w:rPr>
          <w:rFonts w:ascii="Arial" w:eastAsia="Arial" w:hAnsi="Arial" w:cs="Arial"/>
          <w:color w:val="262626"/>
        </w:rPr>
        <w:t>nce and badly in need of assistance from other forms of life” (Deloria 2023. Pg. 139). This worldview decentres humans, and rather than positioning people as masters of land, they become one relational node among many. These differences in relating to land therefore ontologically construct alternate agencies with the land, as with Indigenous creation stories not centred on a human–God relation to the land, the Earth gains agencies that are ignored in settler views of human-non/human place agency (Watts 2016</w:t>
      </w:r>
      <w:r>
        <w:rPr>
          <w:rFonts w:ascii="Arial" w:eastAsia="Arial" w:hAnsi="Arial" w:cs="Arial"/>
          <w:color w:val="262626"/>
        </w:rPr>
        <w:t xml:space="preserve">). Here, Indigenous cosmology further distances itself from settler ontologies, where divinity and intelligence are human-centred and used to justify control over nature. Yet they are ignored in settler views of human-non/human place agency (Watts 2016). Through this, the biggest </w:t>
      </w:r>
      <w:r>
        <w:rPr>
          <w:rFonts w:ascii="Arial" w:eastAsia="Arial" w:hAnsi="Arial" w:cs="Arial"/>
          <w:color w:val="262626"/>
        </w:rPr>
        <w:lastRenderedPageBreak/>
        <w:t xml:space="preserve">separation of land between settlers and Indigenous peoples is highlighted, where settlers' foundations on land are. </w:t>
      </w:r>
    </w:p>
    <w:p w14:paraId="0A2EB107" w14:textId="759D6AB3"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 xml:space="preserve">Therefore, the ontological distinctions are further emphasised through Watts’ concept of “place-thought,” which portrays land as both a physical entity and an epistemological being. In this, Watts' (2016) analysis will be understood in terms </w:t>
      </w:r>
      <w:r w:rsidR="00E40CD6">
        <w:rPr>
          <w:rFonts w:ascii="Arial" w:eastAsia="Arial" w:hAnsi="Arial" w:cs="Arial"/>
          <w:color w:val="262626"/>
        </w:rPr>
        <w:t>of how</w:t>
      </w:r>
      <w:r>
        <w:rPr>
          <w:rFonts w:ascii="Arial" w:eastAsia="Arial" w:hAnsi="Arial" w:cs="Arial"/>
          <w:color w:val="262626"/>
        </w:rPr>
        <w:t xml:space="preserve"> Indigenous creation stories are firmly based in land-centred agency, contrasting the hierarchical</w:t>
      </w:r>
      <w:r w:rsidR="00E40CD6">
        <w:rPr>
          <w:rFonts w:ascii="Arial" w:eastAsia="Arial" w:hAnsi="Arial" w:cs="Arial"/>
          <w:color w:val="262626"/>
        </w:rPr>
        <w:t>,</w:t>
      </w:r>
      <w:r>
        <w:rPr>
          <w:rFonts w:ascii="Arial" w:eastAsia="Arial" w:hAnsi="Arial" w:cs="Arial"/>
          <w:color w:val="262626"/>
        </w:rPr>
        <w:t xml:space="preserve"> exploitative logics of settler domination. Where, through settler perspectives viewing land as property or a resource, Indigenous perspectives recognise land as kin, acknowledging its subjectivity and role within governance (Watts 2016). Thus, land is not merely an external object to be owned, but an active participant in Indigenous political and spiritual life. This distinction between settler ideologies of surplus extraction and Indigenous practices of balance transcends mere philosophy; it has real mate</w:t>
      </w:r>
      <w:r>
        <w:rPr>
          <w:rFonts w:ascii="Arial" w:eastAsia="Arial" w:hAnsi="Arial" w:cs="Arial"/>
          <w:color w:val="262626"/>
        </w:rPr>
        <w:t xml:space="preserve">rial implications. As Smiles (2023) and Deloria (2023) assert, Indigenous systems oppose the commodification of nature and instead operate on principles of equilibrium and relational accountability. </w:t>
      </w:r>
    </w:p>
    <w:p w14:paraId="3C4A12B7" w14:textId="5850C45F"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 xml:space="preserve">This underscores the profound ontological divergence: where settler societies generate value from land through transformation and ownership, whereas Indigenous communities engage with land through reciprocal care and shared existence. Thus, in highlighting the differences and the complexity surrounding land, the final engagement </w:t>
      </w:r>
      <w:r w:rsidR="00E40CD6">
        <w:rPr>
          <w:rFonts w:ascii="Arial" w:eastAsia="Arial" w:hAnsi="Arial" w:cs="Arial"/>
          <w:color w:val="262626"/>
        </w:rPr>
        <w:t>with</w:t>
      </w:r>
      <w:r>
        <w:rPr>
          <w:rFonts w:ascii="Arial" w:eastAsia="Arial" w:hAnsi="Arial" w:cs="Arial"/>
          <w:color w:val="262626"/>
        </w:rPr>
        <w:t xml:space="preserve"> land will be the Seminole and Miccosukee’s creation stories. Similarly, this will not be an analysis of their interaction with land or an attempt to fully understand it; instead, it will further demonstrate the differences between settler society and the Seminole and Miccosukee. This will lead to the analysis of how Indigenous representations surrounding land can shift when the context is driven by a settler power-based relationship.</w:t>
      </w:r>
    </w:p>
    <w:p w14:paraId="00BCC0AA" w14:textId="77777777" w:rsidR="009F0C56" w:rsidRDefault="00653842">
      <w:pPr>
        <w:pStyle w:val="Heading2"/>
        <w:rPr>
          <w:rFonts w:ascii="Arial" w:eastAsia="Arial" w:hAnsi="Arial" w:cs="Arial"/>
        </w:rPr>
      </w:pPr>
      <w:bookmarkStart w:id="149" w:name="_Toc240966058"/>
      <w:r>
        <w:rPr>
          <w:rFonts w:ascii="Arial" w:eastAsia="Arial" w:hAnsi="Arial" w:cs="Arial"/>
        </w:rPr>
        <w:t>9.6 Seminole and Miccosukee relations to land</w:t>
      </w:r>
      <w:bookmarkEnd w:id="149"/>
    </w:p>
    <w:p w14:paraId="6437E67D" w14:textId="77777777" w:rsidR="009F0C56" w:rsidRDefault="00653842">
      <w:pPr>
        <w:rPr>
          <w:rFonts w:ascii="Arial" w:eastAsia="Arial" w:hAnsi="Arial" w:cs="Arial"/>
          <w:color w:val="262626"/>
        </w:rPr>
      </w:pPr>
      <w:r>
        <w:rPr>
          <w:rFonts w:ascii="Arial" w:eastAsia="Arial" w:hAnsi="Arial" w:cs="Arial"/>
          <w:color w:val="262626"/>
        </w:rPr>
        <w:t xml:space="preserve">The creation story that begins this chapter, as written, comes from the Seminole and is available on the Seminole website (Seminole 2024). It narrates the Seminole’s arrival on Earth and the origins of existence. Likewise, as Cordova mentioned in the previous section, the Seminole, like other Indigenous communities in the settler U.S., incorporate place-based animals into their creation stories, such as the panther. The inclusion of region-specific animals illustrates how the Seminole and Miccosukee relate </w:t>
      </w:r>
      <w:r>
        <w:rPr>
          <w:rFonts w:ascii="Arial" w:eastAsia="Arial" w:hAnsi="Arial" w:cs="Arial"/>
          <w:color w:val="262626"/>
        </w:rPr>
        <w:t>to the land in place specific ways (Watts 2013). Through these connections, the land serves as a balanced space where everything knows its place, maintaining the harmony of life. This understanding of land, therefore, is not akin to the Christian notion of property or labour potential, but rather functions as a living organism where elements, birds, animals, humans, and nature itself all play significant roles (Roothaan 2019). This concept is vividly represented in the painting below by Noah Billie, a Semin</w:t>
      </w:r>
      <w:r>
        <w:rPr>
          <w:rFonts w:ascii="Arial" w:eastAsia="Arial" w:hAnsi="Arial" w:cs="Arial"/>
          <w:color w:val="262626"/>
        </w:rPr>
        <w:t>ole artist who conveys the notion that knowledge, land, nature, and history are interconnected rather than distinct.</w:t>
      </w:r>
    </w:p>
    <w:p w14:paraId="4F92341C" w14:textId="77777777" w:rsidR="009F0C56" w:rsidRDefault="00653842">
      <w:pPr>
        <w:rPr>
          <w:rFonts w:ascii="Arial" w:eastAsia="Arial" w:hAnsi="Arial" w:cs="Arial"/>
        </w:rPr>
      </w:pPr>
      <w:bookmarkStart w:id="150" w:name="_heading=h.pk4v0llpqrp9" w:colFirst="0" w:colLast="0"/>
      <w:bookmarkEnd w:id="150"/>
      <w:r>
        <w:rPr>
          <w:rFonts w:ascii="Arial" w:eastAsia="Arial" w:hAnsi="Arial" w:cs="Arial"/>
        </w:rPr>
        <w:t xml:space="preserve"> </w:t>
      </w:r>
    </w:p>
    <w:p w14:paraId="36E5EE4A" w14:textId="77777777" w:rsidR="009F0C56" w:rsidRDefault="009F0C56">
      <w:pPr>
        <w:rPr>
          <w:rFonts w:ascii="Arial" w:eastAsia="Arial" w:hAnsi="Arial" w:cs="Arial"/>
        </w:rPr>
      </w:pPr>
    </w:p>
    <w:p w14:paraId="2DF357BD" w14:textId="77777777" w:rsidR="009F0C56" w:rsidRDefault="009F0C56">
      <w:pPr>
        <w:rPr>
          <w:rFonts w:ascii="Arial" w:eastAsia="Arial" w:hAnsi="Arial" w:cs="Arial"/>
        </w:rPr>
      </w:pPr>
    </w:p>
    <w:p w14:paraId="6B79B2BE" w14:textId="77777777" w:rsidR="009F0C56" w:rsidRDefault="009F0C56">
      <w:pPr>
        <w:rPr>
          <w:rFonts w:ascii="Arial" w:eastAsia="Arial" w:hAnsi="Arial" w:cs="Arial"/>
        </w:rPr>
      </w:pPr>
    </w:p>
    <w:p w14:paraId="36CB0EFF" w14:textId="77777777" w:rsidR="009F0C56" w:rsidRDefault="009F0C56">
      <w:pPr>
        <w:rPr>
          <w:rFonts w:ascii="Arial" w:eastAsia="Arial" w:hAnsi="Arial" w:cs="Arial"/>
        </w:rPr>
      </w:pPr>
    </w:p>
    <w:p w14:paraId="270B1CBD" w14:textId="77777777" w:rsidR="009F0C56" w:rsidRDefault="00653842">
      <w:r>
        <w:rPr>
          <w:rFonts w:ascii="Arial" w:eastAsia="Arial" w:hAnsi="Arial" w:cs="Arial"/>
          <w:sz w:val="20"/>
          <w:szCs w:val="20"/>
        </w:rPr>
        <w:t>Figure 20: Noah Billie Painting “untitled” (1992 Seminole)</w:t>
      </w:r>
    </w:p>
    <w:p w14:paraId="705A38CD" w14:textId="77777777" w:rsidR="009F0C56" w:rsidRDefault="00653842">
      <w:pPr>
        <w:rPr>
          <w:rFonts w:ascii="Arial" w:eastAsia="Arial" w:hAnsi="Arial" w:cs="Arial"/>
        </w:rPr>
      </w:pPr>
      <w:r>
        <w:rPr>
          <w:noProof/>
        </w:rPr>
        <w:drawing>
          <wp:anchor distT="0" distB="0" distL="114300" distR="114300" simplePos="0" relativeHeight="251667456" behindDoc="0" locked="0" layoutInCell="1" hidden="0" allowOverlap="1" wp14:anchorId="4B1A6372" wp14:editId="4E65DA7D">
            <wp:simplePos x="0" y="0"/>
            <wp:positionH relativeFrom="column">
              <wp:posOffset>2</wp:posOffset>
            </wp:positionH>
            <wp:positionV relativeFrom="paragraph">
              <wp:posOffset>198120</wp:posOffset>
            </wp:positionV>
            <wp:extent cx="4413250" cy="3727450"/>
            <wp:effectExtent l="0" t="0" r="0" b="0"/>
            <wp:wrapSquare wrapText="bothSides" distT="0" distB="0" distL="114300" distR="114300"/>
            <wp:docPr id="1874855859" name="image6.jpg" descr="Paintings by Noah Billie"/>
            <wp:cNvGraphicFramePr/>
            <a:graphic xmlns:a="http://schemas.openxmlformats.org/drawingml/2006/main">
              <a:graphicData uri="http://schemas.openxmlformats.org/drawingml/2006/picture">
                <pic:pic xmlns:pic="http://schemas.openxmlformats.org/drawingml/2006/picture">
                  <pic:nvPicPr>
                    <pic:cNvPr id="0" name="image6.jpg" descr="Paintings by Noah Billie"/>
                    <pic:cNvPicPr preferRelativeResize="0"/>
                  </pic:nvPicPr>
                  <pic:blipFill>
                    <a:blip r:embed="rId31"/>
                    <a:srcRect/>
                    <a:stretch>
                      <a:fillRect/>
                    </a:stretch>
                  </pic:blipFill>
                  <pic:spPr>
                    <a:xfrm>
                      <a:off x="0" y="0"/>
                      <a:ext cx="4413250" cy="3727450"/>
                    </a:xfrm>
                    <a:prstGeom prst="rect">
                      <a:avLst/>
                    </a:prstGeom>
                    <a:ln/>
                  </pic:spPr>
                </pic:pic>
              </a:graphicData>
            </a:graphic>
          </wp:anchor>
        </w:drawing>
      </w:r>
    </w:p>
    <w:p w14:paraId="50420EE0" w14:textId="77777777" w:rsidR="009F0C56" w:rsidRDefault="009F0C56">
      <w:pPr>
        <w:rPr>
          <w:rFonts w:ascii="Arial" w:eastAsia="Arial" w:hAnsi="Arial" w:cs="Arial"/>
        </w:rPr>
      </w:pPr>
    </w:p>
    <w:p w14:paraId="114191B4" w14:textId="77777777" w:rsidR="009F0C56" w:rsidRDefault="009F0C56"/>
    <w:p w14:paraId="1B7F5034" w14:textId="77777777" w:rsidR="009F0C56" w:rsidRDefault="009F0C56"/>
    <w:p w14:paraId="7E349C00" w14:textId="77777777" w:rsidR="009F0C56" w:rsidRDefault="009F0C56"/>
    <w:p w14:paraId="4351A648" w14:textId="77777777" w:rsidR="009F0C56" w:rsidRDefault="009F0C56"/>
    <w:p w14:paraId="2E6502C8" w14:textId="77777777" w:rsidR="009F0C56" w:rsidRDefault="009F0C56"/>
    <w:p w14:paraId="74287856" w14:textId="77777777" w:rsidR="009F0C56" w:rsidRDefault="009F0C56"/>
    <w:p w14:paraId="4F9D7899" w14:textId="77777777" w:rsidR="009F0C56" w:rsidRDefault="009F0C56"/>
    <w:p w14:paraId="67285B13" w14:textId="77777777" w:rsidR="009F0C56" w:rsidRDefault="009F0C56"/>
    <w:p w14:paraId="123ACB69" w14:textId="77777777" w:rsidR="009F0C56" w:rsidRDefault="009F0C56"/>
    <w:p w14:paraId="749A3702" w14:textId="77777777" w:rsidR="009F0C56" w:rsidRDefault="009F0C56"/>
    <w:p w14:paraId="5B3D4CF3" w14:textId="77777777" w:rsidR="009F0C56" w:rsidRDefault="009F0C56"/>
    <w:p w14:paraId="59BDDE9E" w14:textId="77777777" w:rsidR="009F0C56" w:rsidRDefault="009F0C56">
      <w:pPr>
        <w:rPr>
          <w:rFonts w:ascii="Arial" w:eastAsia="Arial" w:hAnsi="Arial" w:cs="Arial"/>
        </w:rPr>
      </w:pPr>
    </w:p>
    <w:p w14:paraId="64123328" w14:textId="77777777" w:rsidR="009F0C56" w:rsidRDefault="00653842">
      <w:pPr>
        <w:rPr>
          <w:rFonts w:ascii="Arial" w:eastAsia="Arial" w:hAnsi="Arial" w:cs="Arial"/>
          <w:color w:val="262626"/>
        </w:rPr>
      </w:pPr>
      <w:r>
        <w:rPr>
          <w:rFonts w:ascii="Arial" w:eastAsia="Arial" w:hAnsi="Arial" w:cs="Arial"/>
          <w:color w:val="262626"/>
        </w:rPr>
        <w:t>Here, Figure 20 above illustrates how Seminole foundations, including land, are intricately woven into their ontology, underscoring the interconnectedness through the use of animals in creation stories and clan names. As discussed previously, the Seminole creation story highlights the tension between settler-colonial narratives and Indigenous ways of knowing, particularly concerning land and cultural transmission. Here, Billie’s artistic representation of Seminole knowledge sharing underscores this gap as i</w:t>
      </w:r>
      <w:r>
        <w:rPr>
          <w:rFonts w:ascii="Arial" w:eastAsia="Arial" w:hAnsi="Arial" w:cs="Arial"/>
          <w:color w:val="262626"/>
        </w:rPr>
        <w:t xml:space="preserve">t emphasises the central importance of cultural continuity and knowledge sharing (Seminole 2024). </w:t>
      </w:r>
    </w:p>
    <w:p w14:paraId="2941649E" w14:textId="566A36D4" w:rsidR="009F0C56" w:rsidRDefault="00653842">
      <w:pPr>
        <w:rPr>
          <w:rFonts w:ascii="Arial" w:eastAsia="Arial" w:hAnsi="Arial" w:cs="Arial"/>
        </w:rPr>
      </w:pPr>
      <w:r>
        <w:rPr>
          <w:rFonts w:ascii="Arial" w:eastAsia="Arial" w:hAnsi="Arial" w:cs="Arial"/>
        </w:rPr>
        <w:t>Billie's painting provides a visual depiction of how Seminole traditions endure despite settler-colonial pressures. Billie does this through the juxtaposition of Western clothing worn by the children and the traditional attire worn by the Elder. This can be seen to symbolise the ongoing negotiation between modernity and tradition for the Seminole and the way modernity does not mean the exclusion of Indigeneity. As can be seen</w:t>
      </w:r>
      <w:r>
        <w:rPr>
          <w:rFonts w:ascii="Arial" w:eastAsia="Arial" w:hAnsi="Arial" w:cs="Arial"/>
        </w:rPr>
        <w:t xml:space="preserve"> with the young girl in traditional dress, which Billie uses to signify that there is no need for a duality of past and future; rather, the application of the skirt embodies the cultural continuity through knowledge sharing (Yoon-Ramirez Ramirez 2021). </w:t>
      </w:r>
      <w:r w:rsidR="00E40CD6">
        <w:rPr>
          <w:rFonts w:ascii="Arial" w:eastAsia="Arial" w:hAnsi="Arial" w:cs="Arial"/>
        </w:rPr>
        <w:t>This</w:t>
      </w:r>
      <w:r>
        <w:rPr>
          <w:rFonts w:ascii="Arial" w:eastAsia="Arial" w:hAnsi="Arial" w:cs="Arial"/>
        </w:rPr>
        <w:t xml:space="preserve"> reinforces the idea that Seminole identity is not static, but actively </w:t>
      </w:r>
      <w:r>
        <w:rPr>
          <w:rFonts w:ascii="Arial" w:eastAsia="Arial" w:hAnsi="Arial" w:cs="Arial"/>
        </w:rPr>
        <w:lastRenderedPageBreak/>
        <w:t>passed down through generations. This is further supported by the role of creation stories in Indigenous ontologies</w:t>
      </w:r>
      <w:r w:rsidR="00E40CD6">
        <w:rPr>
          <w:rFonts w:ascii="Arial" w:eastAsia="Arial" w:hAnsi="Arial" w:cs="Arial"/>
        </w:rPr>
        <w:t>;</w:t>
      </w:r>
      <w:r>
        <w:rPr>
          <w:rFonts w:ascii="Arial" w:eastAsia="Arial" w:hAnsi="Arial" w:cs="Arial"/>
        </w:rPr>
        <w:t xml:space="preserve"> with the presence of animals in the painting in the sky, a cosmological connection remains intact and is passed on through generations. </w:t>
      </w:r>
    </w:p>
    <w:p w14:paraId="4CBDC821" w14:textId="4B33A6C9" w:rsidR="009F0C56" w:rsidRDefault="00653842">
      <w:pPr>
        <w:rPr>
          <w:rFonts w:ascii="Arial" w:eastAsia="Arial" w:hAnsi="Arial" w:cs="Arial"/>
          <w:color w:val="262626"/>
        </w:rPr>
      </w:pPr>
      <w:r>
        <w:rPr>
          <w:rFonts w:ascii="Arial" w:eastAsia="Arial" w:hAnsi="Arial" w:cs="Arial"/>
        </w:rPr>
        <w:t>In this</w:t>
      </w:r>
      <w:r w:rsidR="00E40CD6">
        <w:rPr>
          <w:rFonts w:ascii="Arial" w:eastAsia="Arial" w:hAnsi="Arial" w:cs="Arial"/>
        </w:rPr>
        <w:t>,</w:t>
      </w:r>
      <w:r>
        <w:rPr>
          <w:rFonts w:ascii="Arial" w:eastAsia="Arial" w:hAnsi="Arial" w:cs="Arial"/>
        </w:rPr>
        <w:t xml:space="preserve"> Billie, through the use of the animals, traditional attire, modern attire, chickee huts, and modern buildings, does not create a duality between Indigeneity and modern society. Rather</w:t>
      </w:r>
      <w:r>
        <w:rPr>
          <w:rFonts w:ascii="Arial" w:eastAsia="Arial" w:hAnsi="Arial" w:cs="Arial"/>
          <w:color w:val="262626"/>
        </w:rPr>
        <w:t>, through the interweaving of cultural markers into the visual landscape, Billie highlights that Indigeneity is not distinct from modernity</w:t>
      </w:r>
      <w:r w:rsidR="00E40CD6">
        <w:rPr>
          <w:rFonts w:ascii="Arial" w:eastAsia="Arial" w:hAnsi="Arial" w:cs="Arial"/>
          <w:color w:val="262626"/>
        </w:rPr>
        <w:t>,</w:t>
      </w:r>
      <w:r>
        <w:rPr>
          <w:rFonts w:ascii="Arial" w:eastAsia="Arial" w:hAnsi="Arial" w:cs="Arial"/>
          <w:color w:val="262626"/>
        </w:rPr>
        <w:t xml:space="preserve"> but a part of it, and the deep spiritual connection to the land does not need to be displaced. This stands in contrast to settler narratives that often seek to detach Indigenous peoples from their sacred relationships with the land (Deloria 2023). Thus, by placing these elements in the background, Billie emphasises that these spiritual and ecological understandings remain foundational, even as the physical landscape and social structures change. As can be seen in the geography of the painting, with a contr</w:t>
      </w:r>
      <w:r>
        <w:rPr>
          <w:rFonts w:ascii="Arial" w:eastAsia="Arial" w:hAnsi="Arial" w:cs="Arial"/>
          <w:color w:val="262626"/>
        </w:rPr>
        <w:t xml:space="preserve">ast between the chickee hut and modern buildings. In this, the geography of the painting serves as a reminder of Indigenous resilience and presence, countering settler narratives that often portray Indigenous lands as either vacant or purely historical </w:t>
      </w:r>
      <w:r>
        <w:rPr>
          <w:rFonts w:ascii="Arial" w:eastAsia="Arial" w:hAnsi="Arial" w:cs="Arial"/>
        </w:rPr>
        <w:t>sharing (Yoon-Ramirez Ramirez 2021)</w:t>
      </w:r>
      <w:r>
        <w:rPr>
          <w:rFonts w:ascii="Arial" w:eastAsia="Arial" w:hAnsi="Arial" w:cs="Arial"/>
          <w:color w:val="262626"/>
        </w:rPr>
        <w:t xml:space="preserve">.  </w:t>
      </w:r>
    </w:p>
    <w:p w14:paraId="27B385D0" w14:textId="77777777" w:rsidR="009F0C56" w:rsidRDefault="00653842">
      <w:pPr>
        <w:rPr>
          <w:rFonts w:ascii="Arial" w:eastAsia="Arial" w:hAnsi="Arial" w:cs="Arial"/>
          <w:color w:val="262626"/>
        </w:rPr>
      </w:pPr>
      <w:r>
        <w:rPr>
          <w:rFonts w:ascii="Arial" w:eastAsia="Arial" w:hAnsi="Arial" w:cs="Arial"/>
          <w:color w:val="262626"/>
        </w:rPr>
        <w:t>Here, Billie, similarly to Cordova and Harjo’s poetry, asserts through alternate mediums that Indigenous presence on the land is still present, paralleling Goeman’s analysis of anti-colonial cartography (Goeman 2012). In this, the analysis of both settler representations of Indigeneity and Indigenous artistic expressions facilitates a deeper understanding of how land, identity, and culture are contested and expressed in Seminole discourses (Seminole 2024). While settler visual geographies frequently erase I</w:t>
      </w:r>
      <w:r>
        <w:rPr>
          <w:rFonts w:ascii="Arial" w:eastAsia="Arial" w:hAnsi="Arial" w:cs="Arial"/>
          <w:color w:val="262626"/>
        </w:rPr>
        <w:t xml:space="preserve">ndigenous presence or commodify their culture, attacking Indigenous artistic traditions like those of Betty Mae Jumper (2020) and Billie Noah. Who asserts agency, presence, and continuity in their art, highlighting the significance and presence of distinct ontological Seminole and Miccosukee backgrounds. </w:t>
      </w:r>
    </w:p>
    <w:p w14:paraId="2D213EA7" w14:textId="77777777" w:rsidR="009F0C56" w:rsidRDefault="00653842">
      <w:pPr>
        <w:rPr>
          <w:rFonts w:ascii="Arial" w:eastAsia="Arial" w:hAnsi="Arial" w:cs="Arial"/>
          <w:color w:val="262626"/>
        </w:rPr>
      </w:pPr>
      <w:r>
        <w:rPr>
          <w:rFonts w:ascii="Arial" w:eastAsia="Arial" w:hAnsi="Arial" w:cs="Arial"/>
          <w:color w:val="262626"/>
        </w:rPr>
        <w:t>Therefore, through identifying clear distinctions between settler rhetorics on land and Indigenous perspectives, from sources within Seminole and Miccosukee relations to land. From authors and artists such as Betty Mae Jumper and Billie Noah, a grounded place-based relation to the land is highlighted for the research location of South Florida, where political contention around land is high. In this, the following analysis sections will explore a deeper introspection of settler colonial representations of In</w:t>
      </w:r>
      <w:r>
        <w:rPr>
          <w:rFonts w:ascii="Arial" w:eastAsia="Arial" w:hAnsi="Arial" w:cs="Arial"/>
          <w:color w:val="262626"/>
        </w:rPr>
        <w:t>digeneity and land, drawing from visual geographies of settler South Florida as well as Seminole and Miccosukee lands.</w:t>
      </w:r>
    </w:p>
    <w:p w14:paraId="6F6D4815" w14:textId="77777777" w:rsidR="009F0C56" w:rsidRDefault="00653842">
      <w:pPr>
        <w:pStyle w:val="Heading2"/>
        <w:rPr>
          <w:rFonts w:ascii="Arial" w:eastAsia="Arial" w:hAnsi="Arial" w:cs="Arial"/>
        </w:rPr>
      </w:pPr>
      <w:bookmarkStart w:id="151" w:name="_Toc240966059"/>
      <w:r>
        <w:rPr>
          <w:rFonts w:ascii="Arial" w:eastAsia="Arial" w:hAnsi="Arial" w:cs="Arial"/>
        </w:rPr>
        <w:t>9.7 The Everglades: Settler Expansion and Environmental Transformation</w:t>
      </w:r>
      <w:bookmarkEnd w:id="151"/>
    </w:p>
    <w:p w14:paraId="4E734F67" w14:textId="4BEA57EF" w:rsidR="009F0C56" w:rsidRDefault="00653842">
      <w:pPr>
        <w:spacing w:before="280" w:after="280" w:line="240" w:lineRule="auto"/>
        <w:rPr>
          <w:rFonts w:ascii="Arial" w:eastAsia="Arial" w:hAnsi="Arial" w:cs="Arial"/>
          <w:color w:val="262626"/>
        </w:rPr>
      </w:pPr>
      <w:r>
        <w:rPr>
          <w:rFonts w:ascii="Arial" w:eastAsia="Arial" w:hAnsi="Arial" w:cs="Arial"/>
          <w:color w:val="262626"/>
        </w:rPr>
        <w:t xml:space="preserve">Beyond the hyper-urbanised research area of settler Miami, this research also examines the Everglades, a vast and ecologically unique wetland often referred to as the kidneys of Florida, due to the role it plays in filtering and regulating water </w:t>
      </w:r>
      <w:r>
        <w:rPr>
          <w:rFonts w:ascii="Arial" w:eastAsia="Arial" w:hAnsi="Arial" w:cs="Arial"/>
          <w:color w:val="262626"/>
        </w:rPr>
        <w:lastRenderedPageBreak/>
        <w:t>systems (Edgar et al</w:t>
      </w:r>
      <w:r w:rsidR="00E40CD6">
        <w:rPr>
          <w:rFonts w:ascii="Arial" w:eastAsia="Arial" w:hAnsi="Arial" w:cs="Arial"/>
          <w:color w:val="262626"/>
        </w:rPr>
        <w:t>.</w:t>
      </w:r>
      <w:r>
        <w:rPr>
          <w:rFonts w:ascii="Arial" w:eastAsia="Arial" w:hAnsi="Arial" w:cs="Arial"/>
          <w:color w:val="262626"/>
        </w:rPr>
        <w:t xml:space="preserve"> 2022). However, beyond its environmental significance, the Everglades is also home to the Seminole and Miccosukee, who have lived within this landscape for centuries, forming deep cultural, historical, and spiritual ties to the land as noted </w:t>
      </w:r>
      <w:r w:rsidR="00E40CD6">
        <w:rPr>
          <w:rFonts w:ascii="Arial" w:eastAsia="Arial" w:hAnsi="Arial" w:cs="Arial"/>
          <w:color w:val="262626"/>
        </w:rPr>
        <w:t>in</w:t>
      </w:r>
      <w:r>
        <w:rPr>
          <w:rFonts w:ascii="Arial" w:eastAsia="Arial" w:hAnsi="Arial" w:cs="Arial"/>
          <w:color w:val="262626"/>
        </w:rPr>
        <w:t xml:space="preserve"> the previous section (Cattelino 2018). The interest in the Everglades is also rooted in the geographical space it presides over; the Everglades encompasses a wide range of ecosystems, such as Sawgrass marshes, which dominate much of the wetlands. Hardwood hammocks are small tree-covered areas that provide elevated </w:t>
      </w:r>
      <w:r w:rsidR="00E40CD6">
        <w:rPr>
          <w:rFonts w:ascii="Arial" w:eastAsia="Arial" w:hAnsi="Arial" w:cs="Arial"/>
          <w:color w:val="262626"/>
        </w:rPr>
        <w:t>ground</w:t>
      </w:r>
      <w:r>
        <w:rPr>
          <w:rFonts w:ascii="Arial" w:eastAsia="Arial" w:hAnsi="Arial" w:cs="Arial"/>
          <w:color w:val="262626"/>
        </w:rPr>
        <w:t xml:space="preserve">. Pineland forests, which are found in the highest areas, offer a unique ecosystem distinct from the surrounding wetlands (West 2008). </w:t>
      </w:r>
      <w:r w:rsidR="00E40CD6">
        <w:rPr>
          <w:rFonts w:ascii="Arial" w:eastAsia="Arial" w:hAnsi="Arial" w:cs="Arial"/>
          <w:color w:val="262626"/>
        </w:rPr>
        <w:t>In addition to islands</w:t>
      </w:r>
      <w:r>
        <w:rPr>
          <w:rFonts w:ascii="Arial" w:eastAsia="Arial" w:hAnsi="Arial" w:cs="Arial"/>
          <w:color w:val="262626"/>
        </w:rPr>
        <w:t xml:space="preserve"> scattered within the wetlands, many of which have been historically used by the Seminole and Miccosukee as places of refuge during the Seminole </w:t>
      </w:r>
      <w:r w:rsidR="00E40CD6">
        <w:rPr>
          <w:rFonts w:ascii="Arial" w:eastAsia="Arial" w:hAnsi="Arial" w:cs="Arial"/>
          <w:color w:val="262626"/>
        </w:rPr>
        <w:t>Wars</w:t>
      </w:r>
      <w:r>
        <w:rPr>
          <w:rFonts w:ascii="Arial" w:eastAsia="Arial" w:hAnsi="Arial" w:cs="Arial"/>
          <w:color w:val="262626"/>
        </w:rPr>
        <w:t>, as well as hunting camps. This area is also formed by the entire area being surrounded by drainage basins, sloughs, and interconnected water networks, fed by Lake Okeechobee (Canfield Jr</w:t>
      </w:r>
      <w:r w:rsidR="00E40CD6">
        <w:rPr>
          <w:rFonts w:ascii="Arial" w:eastAsia="Arial" w:hAnsi="Arial" w:cs="Arial"/>
          <w:color w:val="262626"/>
        </w:rPr>
        <w:t>.</w:t>
      </w:r>
      <w:r>
        <w:rPr>
          <w:rFonts w:ascii="Arial" w:eastAsia="Arial" w:hAnsi="Arial" w:cs="Arial"/>
          <w:color w:val="262626"/>
        </w:rPr>
        <w:t xml:space="preserve"> et al</w:t>
      </w:r>
      <w:r w:rsidR="00E40CD6">
        <w:rPr>
          <w:rFonts w:ascii="Arial" w:eastAsia="Arial" w:hAnsi="Arial" w:cs="Arial"/>
          <w:color w:val="262626"/>
        </w:rPr>
        <w:t>.</w:t>
      </w:r>
      <w:r>
        <w:rPr>
          <w:rFonts w:ascii="Arial" w:eastAsia="Arial" w:hAnsi="Arial" w:cs="Arial"/>
          <w:color w:val="262626"/>
        </w:rPr>
        <w:t xml:space="preserve">, 2021). </w:t>
      </w:r>
    </w:p>
    <w:p w14:paraId="38BA1356" w14:textId="77777777" w:rsidR="009F0C56" w:rsidRDefault="00653842">
      <w:pPr>
        <w:spacing w:before="280" w:after="280" w:line="240" w:lineRule="auto"/>
        <w:rPr>
          <w:rFonts w:ascii="Arial" w:eastAsia="Arial" w:hAnsi="Arial" w:cs="Arial"/>
          <w:color w:val="262626"/>
        </w:rPr>
      </w:pPr>
      <w:r>
        <w:rPr>
          <w:rFonts w:ascii="Arial" w:eastAsia="Arial" w:hAnsi="Arial" w:cs="Arial"/>
          <w:color w:val="262626"/>
        </w:rPr>
        <w:t xml:space="preserve">This diverse ecosystem, combined with Florida’s subtropical climate, has created a flourishing environment for fauna, insects, plant life, and human communities alike (Cattelino 2015). Historically, this was kept in balance for much of the Seminole and Miccosukee’s history, as US colonial society could not breach the Everglades due to the dense wetlands, unpredictable flooding, and challenging soil conditions, as was explored in the historiography section. </w:t>
      </w:r>
    </w:p>
    <w:p w14:paraId="558499D1" w14:textId="7C2C8434" w:rsidR="009F0C56" w:rsidRDefault="00653842">
      <w:pPr>
        <w:spacing w:before="280" w:after="280" w:line="240" w:lineRule="auto"/>
        <w:rPr>
          <w:rFonts w:ascii="Arial" w:eastAsia="Arial" w:hAnsi="Arial" w:cs="Arial"/>
          <w:color w:val="262626"/>
        </w:rPr>
      </w:pPr>
      <w:r>
        <w:rPr>
          <w:rFonts w:ascii="Arial" w:eastAsia="Arial" w:hAnsi="Arial" w:cs="Arial"/>
          <w:color w:val="262626"/>
        </w:rPr>
        <w:t>This allowed Florida to remain one of the last states to undergo industrialisation, as the shallow soil, high calcium deposits, and frequent floods made large-scale agriculture difficult, leading settler society to initially perceive the Everglades as low-value land that held no real benefit (Grunwald 2007). However, this perception shifted in the late 19th and early 20th centuries, when Florida became a focal point of settler expansionism. As explored in the historiography section, this period saw increase</w:t>
      </w:r>
      <w:r>
        <w:rPr>
          <w:rFonts w:ascii="Arial" w:eastAsia="Arial" w:hAnsi="Arial" w:cs="Arial"/>
          <w:color w:val="262626"/>
        </w:rPr>
        <w:t xml:space="preserve">d efforts to claim, modify, and exploit the Everglades for economic and infrastructural gain. Pivotal figures in this expansion, such as Henry Flagler, an industrialist connected to </w:t>
      </w:r>
      <w:r w:rsidR="00E40CD6">
        <w:rPr>
          <w:rFonts w:ascii="Arial" w:eastAsia="Arial" w:hAnsi="Arial" w:cs="Arial"/>
          <w:color w:val="262626"/>
        </w:rPr>
        <w:t xml:space="preserve">the </w:t>
      </w:r>
      <w:r>
        <w:rPr>
          <w:rFonts w:ascii="Arial" w:eastAsia="Arial" w:hAnsi="Arial" w:cs="Arial"/>
          <w:color w:val="262626"/>
        </w:rPr>
        <w:t xml:space="preserve">Standard Oil Corporation, played a key role in the mass drainage and development of the Everglades (Grunwald 2007). </w:t>
      </w:r>
    </w:p>
    <w:p w14:paraId="5B0DBD04" w14:textId="77777777" w:rsidR="009F0C56" w:rsidRDefault="00653842">
      <w:pPr>
        <w:spacing w:before="280" w:after="280" w:line="240" w:lineRule="auto"/>
        <w:rPr>
          <w:rFonts w:ascii="Arial" w:eastAsia="Arial" w:hAnsi="Arial" w:cs="Arial"/>
          <w:color w:val="262626"/>
        </w:rPr>
      </w:pPr>
      <w:r>
        <w:rPr>
          <w:rFonts w:ascii="Arial" w:eastAsia="Arial" w:hAnsi="Arial" w:cs="Arial"/>
          <w:color w:val="262626"/>
        </w:rPr>
        <w:t>Flagler and other settler industrialists envisioned Florida as a tropical haven for tourism and settlement, leading to large-scale ecological modifications that reshaped the landscape (West 2008). These included tactics such as draining the wetlands to make way for infrastructure and development, constructing road networks, and expanding access to areas previously navigable only by water. Through expanding these industrial and agricultural projects, despite the land’s natural resistance to conventional farm</w:t>
      </w:r>
      <w:r>
        <w:rPr>
          <w:rFonts w:ascii="Arial" w:eastAsia="Arial" w:hAnsi="Arial" w:cs="Arial"/>
          <w:color w:val="262626"/>
        </w:rPr>
        <w:t>ing, towns and cities quickly grew, pushing the urban frontier deeper into previously undisturbed lands (Cattelino 2008). All these settler constructions ate into the Everglades and reduced the ancestral land of the Seminole and Miccosukee, pushing them from once-settled lands deeper into the Everglades (Wilhelm 2022). Here, Flagler’s vision and the subsequent settler-led expansion saw the Everglades reframed from a historically inhospitable and unproductive land into a tropical paradise for settler familie</w:t>
      </w:r>
      <w:r>
        <w:rPr>
          <w:rFonts w:ascii="Arial" w:eastAsia="Arial" w:hAnsi="Arial" w:cs="Arial"/>
          <w:color w:val="262626"/>
        </w:rPr>
        <w:t>s of the new frontier. This reimagining not only justified environmental destruction in the name of progress but also reinforced the colonial narrative that lands gained value only when transformed or improved through labour (Cattelino 2018).</w:t>
      </w:r>
    </w:p>
    <w:p w14:paraId="39193758" w14:textId="77777777" w:rsidR="009F0C56" w:rsidRDefault="00653842">
      <w:pPr>
        <w:spacing w:before="280" w:after="280" w:line="240" w:lineRule="auto"/>
        <w:rPr>
          <w:rFonts w:ascii="Arial" w:eastAsia="Arial" w:hAnsi="Arial" w:cs="Arial"/>
          <w:color w:val="262626"/>
        </w:rPr>
      </w:pPr>
      <w:r>
        <w:rPr>
          <w:rFonts w:ascii="Arial" w:eastAsia="Arial" w:hAnsi="Arial" w:cs="Arial"/>
          <w:color w:val="262626"/>
        </w:rPr>
        <w:lastRenderedPageBreak/>
        <w:t>Through this process of settler expansion, Seminole and Miccosukee presences were diminished on the land, physically and metaphysically. Where once the Seminole and Miccosukee thrived in balance with the natural landscape, now their presence was increasingly marginalised as the Everglades were altered to fit settler demands (Seminole 2025). This transformation is clearly illustrated in Figure 21 below, which visually captures the creeping expansion of settler needs and its impact on the landscape in contemp</w:t>
      </w:r>
      <w:r>
        <w:rPr>
          <w:rFonts w:ascii="Arial" w:eastAsia="Arial" w:hAnsi="Arial" w:cs="Arial"/>
          <w:color w:val="262626"/>
        </w:rPr>
        <w:t>orary times.</w:t>
      </w:r>
    </w:p>
    <w:p w14:paraId="176CEC3C" w14:textId="77777777" w:rsidR="009F0C56" w:rsidRDefault="00653842">
      <w:pPr>
        <w:rPr>
          <w:rFonts w:ascii="Arial" w:eastAsia="Arial" w:hAnsi="Arial" w:cs="Arial"/>
        </w:rPr>
      </w:pPr>
      <w:bookmarkStart w:id="152" w:name="_heading=h.yrnvkndif8zn" w:colFirst="0" w:colLast="0"/>
      <w:bookmarkEnd w:id="152"/>
      <w:r>
        <w:rPr>
          <w:rFonts w:ascii="Arial" w:eastAsia="Arial" w:hAnsi="Arial" w:cs="Arial"/>
        </w:rPr>
        <w:t>Figure 21: Miccosukee reservation, TigerTail clan airboat area. (16/072023)</w:t>
      </w:r>
    </w:p>
    <w:p w14:paraId="48AF754A" w14:textId="77777777" w:rsidR="009F0C56" w:rsidRDefault="009F0C56">
      <w:pPr>
        <w:rPr>
          <w:rFonts w:ascii="Arial" w:eastAsia="Arial" w:hAnsi="Arial" w:cs="Arial"/>
        </w:rPr>
      </w:pPr>
    </w:p>
    <w:p w14:paraId="0E337A44" w14:textId="77777777" w:rsidR="009F0C56" w:rsidRDefault="00653842">
      <w:pPr>
        <w:rPr>
          <w:rFonts w:ascii="Arial" w:eastAsia="Arial" w:hAnsi="Arial" w:cs="Arial"/>
        </w:rPr>
      </w:pPr>
      <w:r>
        <w:rPr>
          <w:rFonts w:ascii="Arial" w:eastAsia="Arial" w:hAnsi="Arial" w:cs="Arial"/>
          <w:noProof/>
        </w:rPr>
        <w:drawing>
          <wp:inline distT="114300" distB="114300" distL="114300" distR="114300" wp14:anchorId="347BD197" wp14:editId="0D246214">
            <wp:extent cx="4628604" cy="6176963"/>
            <wp:effectExtent l="0" t="0" r="0" b="0"/>
            <wp:docPr id="1874855863" name="image13.png" descr="A swamp with plants and tre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3.png" descr="A swamp with plants and trees&#10;&#10;AI-generated content may be incorrect."/>
                    <pic:cNvPicPr preferRelativeResize="0"/>
                  </pic:nvPicPr>
                  <pic:blipFill>
                    <a:blip r:embed="rId32"/>
                    <a:srcRect/>
                    <a:stretch>
                      <a:fillRect/>
                    </a:stretch>
                  </pic:blipFill>
                  <pic:spPr>
                    <a:xfrm>
                      <a:off x="0" y="0"/>
                      <a:ext cx="4628604" cy="6176963"/>
                    </a:xfrm>
                    <a:prstGeom prst="rect">
                      <a:avLst/>
                    </a:prstGeom>
                    <a:ln/>
                  </pic:spPr>
                </pic:pic>
              </a:graphicData>
            </a:graphic>
          </wp:inline>
        </w:drawing>
      </w:r>
    </w:p>
    <w:p w14:paraId="67E64922" w14:textId="77777777" w:rsidR="009F0C56" w:rsidRDefault="00653842">
      <w:pPr>
        <w:rPr>
          <w:rFonts w:ascii="Arial" w:eastAsia="Arial" w:hAnsi="Arial" w:cs="Arial"/>
          <w:color w:val="262626"/>
        </w:rPr>
      </w:pPr>
      <w:r>
        <w:rPr>
          <w:rFonts w:ascii="Arial" w:eastAsia="Arial" w:hAnsi="Arial" w:cs="Arial"/>
          <w:color w:val="262626"/>
        </w:rPr>
        <w:t xml:space="preserve">The image in Figure 21 was taken on the Miccosukee reservation during an airboat ride operated by the Tiger Clan. The ride offers a direct view of the Everglades as an </w:t>
      </w:r>
      <w:r>
        <w:rPr>
          <w:rFonts w:ascii="Arial" w:eastAsia="Arial" w:hAnsi="Arial" w:cs="Arial"/>
          <w:color w:val="262626"/>
        </w:rPr>
        <w:lastRenderedPageBreak/>
        <w:t>interconnected ecological and cultural space. Within the image, key elements of natural and Indigenous fauna are visible, including sawgrass, a hardwood hammock tree, and the water system of the slough (West 2008). Additionally, in the image, an alligator nesting under the tree is present. However, despite the natural balance depicted in Figure 2, under closer inspection, it reveals subtle yet significant marks of settler encroachment. The windswept sawgrass, as noted by Umberto, the guide at the time, is a</w:t>
      </w:r>
      <w:r>
        <w:rPr>
          <w:rFonts w:ascii="Arial" w:eastAsia="Arial" w:hAnsi="Arial" w:cs="Arial"/>
          <w:color w:val="262626"/>
        </w:rPr>
        <w:t xml:space="preserve"> sign that a settler airboat company had entered Indigenous land and come too close to the nest, disrupting the natural environment, typically done to provide tourists with a closer view of the alligator. This encroachment represents more than just a tourism dispute; it embodies the ongoing settler colonial logic that undermines Indigenous sovereignty and ecological balance (McLaren 2014). </w:t>
      </w:r>
    </w:p>
    <w:p w14:paraId="089093AB" w14:textId="70274B51" w:rsidR="009F0C56" w:rsidRDefault="00653842">
      <w:pPr>
        <w:rPr>
          <w:rFonts w:ascii="Arial" w:eastAsia="Arial" w:hAnsi="Arial" w:cs="Arial"/>
          <w:color w:val="262626"/>
        </w:rPr>
      </w:pPr>
      <w:r>
        <w:rPr>
          <w:rFonts w:ascii="Arial" w:eastAsia="Arial" w:hAnsi="Arial" w:cs="Arial"/>
          <w:color w:val="262626"/>
        </w:rPr>
        <w:t>Drawing back to Hobbes and Locke’s work in settler logic, there are justifications for this encroachment, mainly that settler airboat companies operate under the assumption that economic opportunity and tourism override Indigenous land rights. As seen in Lockean theories of property, settlers justify their presence by asserting that their labour (running airboat tours, offering wildlife experiences) entitles them to the land and its resources, which has been an ongoing issue in the area since the nation's f</w:t>
      </w:r>
      <w:r>
        <w:rPr>
          <w:rFonts w:ascii="Arial" w:eastAsia="Arial" w:hAnsi="Arial" w:cs="Arial"/>
          <w:color w:val="262626"/>
        </w:rPr>
        <w:t xml:space="preserve">ederal status in 1957 (Seminole 2025). In this, the encroachment of </w:t>
      </w:r>
      <w:r>
        <w:rPr>
          <w:rFonts w:ascii="Arial" w:eastAsia="Arial" w:hAnsi="Arial" w:cs="Arial"/>
          <w:color w:val="262626"/>
        </w:rPr>
        <w:t xml:space="preserve">settlers onto the land also disrupts the Indigenous ecological balance with the alligator nest, a critical part of the Everglades ecosystem. When disturbed by settler tourism, the seasonal rhythms and nesting practices of wildlife are </w:t>
      </w:r>
      <w:r w:rsidR="00E40CD6">
        <w:rPr>
          <w:rFonts w:ascii="Arial" w:eastAsia="Arial" w:hAnsi="Arial" w:cs="Arial"/>
          <w:color w:val="262626"/>
        </w:rPr>
        <w:t>disrupted</w:t>
      </w:r>
      <w:r>
        <w:rPr>
          <w:rFonts w:ascii="Arial" w:eastAsia="Arial" w:hAnsi="Arial" w:cs="Arial"/>
          <w:color w:val="262626"/>
        </w:rPr>
        <w:t xml:space="preserve">, causing ecological damage and distorting the land balance. However, settler airboat companies do not prioritise the environment; they prioritise the spectacle and labour that </w:t>
      </w:r>
      <w:r w:rsidR="00E40CD6">
        <w:rPr>
          <w:rFonts w:ascii="Arial" w:eastAsia="Arial" w:hAnsi="Arial" w:cs="Arial"/>
          <w:color w:val="262626"/>
        </w:rPr>
        <w:t>make</w:t>
      </w:r>
      <w:r>
        <w:rPr>
          <w:rFonts w:ascii="Arial" w:eastAsia="Arial" w:hAnsi="Arial" w:cs="Arial"/>
          <w:color w:val="262626"/>
        </w:rPr>
        <w:t xml:space="preserve"> the land profitable, therefore reinforcing the colonial patterns of extraction and erasure that diminish the Seminole and Miccosukee and the land as important actors (TigerTail airboat rides 2025). </w:t>
      </w:r>
    </w:p>
    <w:p w14:paraId="2D7DB355" w14:textId="77777777" w:rsidR="009F0C56" w:rsidRDefault="00653842">
      <w:pPr>
        <w:rPr>
          <w:rFonts w:ascii="Arial" w:eastAsia="Arial" w:hAnsi="Arial" w:cs="Arial"/>
          <w:color w:val="262626"/>
        </w:rPr>
      </w:pPr>
      <w:r>
        <w:rPr>
          <w:rFonts w:ascii="Arial" w:eastAsia="Arial" w:hAnsi="Arial" w:cs="Arial"/>
          <w:color w:val="262626"/>
        </w:rPr>
        <w:t>Therefore, by utilising land as a tool of economic development and survival, settlers frame it through ownership, commodification, and labour, where those who extract its resources (such as airboat operators) claim a greater right to it. This reflects a fundamental clash of worldviews of Indigenous relational sovereignty versus settler capitalist entitlement. Even though the Miccosukee have legal ownership of the land, settler incursions persist. These tensions expose how settler colonial power continues to</w:t>
      </w:r>
      <w:r>
        <w:rPr>
          <w:rFonts w:ascii="Arial" w:eastAsia="Arial" w:hAnsi="Arial" w:cs="Arial"/>
          <w:color w:val="262626"/>
        </w:rPr>
        <w:t xml:space="preserve"> undermine Indigenous sovereignty through economic and territorial encroachment (Jessen et al., 2022). This is further explored as although the land in this image is officially recognised as Miccosukee territory, settler society often behaves as if it is public land, reinforcing the notion that Indigenous sovereignty is conditional rather than absolute, as Estes critiques in settler discourse around the "public good" (Estes, 2019). </w:t>
      </w:r>
    </w:p>
    <w:p w14:paraId="4A557DCC" w14:textId="14936AE8"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 xml:space="preserve">Here, the term “public” implies availability to all settler-Americans, not just Indigenous peoples who own the land. However, in this fight over access to land, settler complaints frame Indigenous rights as “racist” or “special rights” because they appear to exclude white Americans (Smiles 2021). Often, claiming land, water, and </w:t>
      </w:r>
      <w:r>
        <w:rPr>
          <w:rFonts w:ascii="Arial" w:eastAsia="Arial" w:hAnsi="Arial" w:cs="Arial"/>
          <w:color w:val="262626"/>
        </w:rPr>
        <w:lastRenderedPageBreak/>
        <w:t>wildlife is “for all,” as was expressed during ethnographic fieldwork in which local settlers criticised the Miccosukee and Seminole for hindering land development due to the protection of ancestral burial grounds (Smiles 2021). Weiss, an ‘anthropologist’, has publicly argued in this debate that Indigenous burial sites should be considered a public good, asking, from a settler perspective</w:t>
      </w:r>
      <w:r>
        <w:rPr>
          <w:rFonts w:ascii="Arial" w:eastAsia="Arial" w:hAnsi="Arial" w:cs="Arial"/>
          <w:color w:val="262626"/>
        </w:rPr>
        <w:t xml:space="preserve">: “Allow them to be studied by those whose only interests are to more fully understand the past, and allow the construction company to proceed with the condo plans?” (Weiss, 2022). Weiss suggests that settlers' need for knowledge and condos in Miami represent a higher purpose for the land than its spiritual significance to Indigenous peoples. </w:t>
      </w:r>
    </w:p>
    <w:p w14:paraId="4CC7E49C" w14:textId="77777777"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 xml:space="preserve">This argument from Weiss reflects a broader settler colonial pattern, wherein land gains value only when industrialised for settler needs, consequently voiding Indigenous presence as less than (Veracini 2011). </w:t>
      </w:r>
    </w:p>
    <w:p w14:paraId="2B9A04EC" w14:textId="2B571DBA"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Weiss’s quote above articulates this settler thought, disregarding Indigenous burial sites as a hindrance</w:t>
      </w:r>
      <w:r w:rsidR="00E40CD6">
        <w:rPr>
          <w:rFonts w:ascii="Arial" w:eastAsia="Arial" w:hAnsi="Arial" w:cs="Arial"/>
          <w:color w:val="262626"/>
        </w:rPr>
        <w:t>;</w:t>
      </w:r>
      <w:r>
        <w:rPr>
          <w:rFonts w:ascii="Arial" w:eastAsia="Arial" w:hAnsi="Arial" w:cs="Arial"/>
          <w:color w:val="262626"/>
        </w:rPr>
        <w:t xml:space="preserve"> settler society positions itself and development above all else, erasing Indigenous histories and the Seminole and Miccosukee agency as valued actors. This dynamic produces a non-encounter, where the Seminole and Miccosukee are removed physically and epistemologically through the construction and displacement of these ancestral remains, as their burial remains are moved to universities and displaced by condos rising in their place (Veracini 2008). In this, Seminole and Miccosukee presence is erased and scr</w:t>
      </w:r>
      <w:r>
        <w:rPr>
          <w:rFonts w:ascii="Arial" w:eastAsia="Arial" w:hAnsi="Arial" w:cs="Arial"/>
          <w:color w:val="262626"/>
        </w:rPr>
        <w:t>eened out of settler memory in favour of settler modernity (Veracini, 2008). As Deondre Smiles critiqued in Weiss’s analysis, noting this extractive model of settler knowledge production is a form of violence, writing, “Failing to be vigilant allows for situations where the stories being told about us as Indigenous peoples do not take an accurate assessment of our histories, our cultures, and our viewpoints. It allows these stories about us, living and dead, to be told by others, in what serves as a top-dow</w:t>
      </w:r>
      <w:r>
        <w:rPr>
          <w:rFonts w:ascii="Arial" w:eastAsia="Arial" w:hAnsi="Arial" w:cs="Arial"/>
          <w:color w:val="262626"/>
        </w:rPr>
        <w:t xml:space="preserve">n and extractive form of research and knowledge production that is corrosive to Indigenous communities” (Smiles 2021. Pg. 226-227). </w:t>
      </w:r>
    </w:p>
    <w:p w14:paraId="4EBB99D1" w14:textId="77777777"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 xml:space="preserve">Smiles' analysis is pivotal here, highlighting that as the land is transformed through settler industrialisation, and ancestral remains institutionalised, Indigenous representations and stories are increasingly authored by settler society. Reflecting what Lacan described as ontology as the discourse of the master, which can be seen in Weiss wanting to affirm that dominant settler discourses shape reality around Indigeneity (Smiles 2021).  A Simpson work parallels this dilemma of ethnographic entrapment, as </w:t>
      </w:r>
      <w:r>
        <w:rPr>
          <w:rFonts w:ascii="Arial" w:eastAsia="Arial" w:hAnsi="Arial" w:cs="Arial"/>
          <w:color w:val="262626"/>
        </w:rPr>
        <w:t>it positions Indigenous peoples as ‘ethnographic objects who have no value other than to enable self-determining settler subjects to constitute themselves’ (Smith, 2014: 209). In this ethnographic entrapment, settler companies can perpetuate colonial myths in presenting the Everglades as an untamed wilderness, erasing the fact that the Seminole and Miccosukee have long stewarded the land and are present on it. In this, the erasure of Indigenous presence on the land constructs a settler bricolage, in which t</w:t>
      </w:r>
      <w:r>
        <w:rPr>
          <w:rFonts w:ascii="Arial" w:eastAsia="Arial" w:hAnsi="Arial" w:cs="Arial"/>
          <w:color w:val="262626"/>
        </w:rPr>
        <w:t xml:space="preserve">he settler appears as both civiliser and custodian of history and nature. Further displacing the Seminole and Miccosukee from their own land, as it becomes more controlled and displaced by academics and settler urbanists (Barker 2021). </w:t>
      </w:r>
    </w:p>
    <w:p w14:paraId="0E08B6BA" w14:textId="036FEE98" w:rsidR="009F0C56" w:rsidRDefault="00653842">
      <w:pPr>
        <w:spacing w:before="280" w:after="280" w:line="240" w:lineRule="auto"/>
        <w:rPr>
          <w:color w:val="262626"/>
        </w:rPr>
      </w:pPr>
      <w:r>
        <w:rPr>
          <w:rFonts w:ascii="Arial" w:eastAsia="Arial" w:hAnsi="Arial" w:cs="Arial"/>
          <w:color w:val="262626"/>
        </w:rPr>
        <w:t xml:space="preserve">Therefore, while Figure 21 captures a seemingly natural moment, upon deeper inspection, it reveals a continued settler encroachment onto Indigenous land. Through the windswept sawgrass, the disturbed alligator nest, and the trespassing of </w:t>
      </w:r>
      <w:r>
        <w:rPr>
          <w:rFonts w:ascii="Arial" w:eastAsia="Arial" w:hAnsi="Arial" w:cs="Arial"/>
          <w:color w:val="262626"/>
        </w:rPr>
        <w:lastRenderedPageBreak/>
        <w:t>settler airboat companies, this scene becomes a microcosm of the broader settler colonial project, where Indigenous land and sovereignty are continually challenged, manipulated, and disregarded in favour of capitalist and expansionist ambitions (Coulthard 2014 + Bohensky, Maru 2011). Here, the contrast between Miccosukee ecological stewardship and settler commodification of land highlights the ongoing tensions between Indigenous sovereignty and settler entitlement. This reinforces the need to critically exa</w:t>
      </w:r>
      <w:r>
        <w:rPr>
          <w:rFonts w:ascii="Arial" w:eastAsia="Arial" w:hAnsi="Arial" w:cs="Arial"/>
          <w:color w:val="262626"/>
        </w:rPr>
        <w:t>mine how settler tourism functions as a mechanism of colonial power and disruption. This will be noted in Figure 22</w:t>
      </w:r>
      <w:r>
        <w:rPr>
          <w:rFonts w:ascii="Arial" w:eastAsia="Arial" w:hAnsi="Arial" w:cs="Arial"/>
          <w:color w:val="262626"/>
        </w:rPr>
        <w:t xml:space="preserve"> below, </w:t>
      </w:r>
      <w:r w:rsidR="00E40CD6">
        <w:rPr>
          <w:rFonts w:ascii="Arial" w:eastAsia="Arial" w:hAnsi="Arial" w:cs="Arial"/>
          <w:color w:val="262626"/>
        </w:rPr>
        <w:t>showing</w:t>
      </w:r>
      <w:r>
        <w:rPr>
          <w:rFonts w:ascii="Arial" w:eastAsia="Arial" w:hAnsi="Arial" w:cs="Arial"/>
          <w:color w:val="262626"/>
        </w:rPr>
        <w:t xml:space="preserve"> rubbish collected in a day from the reservation. Here, the following analysis works in exploring how settler conservationism </w:t>
      </w:r>
      <w:r>
        <w:rPr>
          <w:rFonts w:ascii="Arial" w:eastAsia="Arial" w:hAnsi="Arial" w:cs="Arial"/>
          <w:color w:val="262626"/>
        </w:rPr>
        <w:t xml:space="preserve">further attacks Seminole and Miccosukee stewardship </w:t>
      </w:r>
      <w:r w:rsidR="00E40CD6">
        <w:rPr>
          <w:rFonts w:ascii="Arial" w:eastAsia="Arial" w:hAnsi="Arial" w:cs="Arial"/>
          <w:color w:val="262626"/>
        </w:rPr>
        <w:t>of</w:t>
      </w:r>
      <w:r>
        <w:rPr>
          <w:rFonts w:ascii="Arial" w:eastAsia="Arial" w:hAnsi="Arial" w:cs="Arial"/>
          <w:color w:val="262626"/>
        </w:rPr>
        <w:t xml:space="preserve"> the land.  </w:t>
      </w:r>
    </w:p>
    <w:p w14:paraId="7F56C233" w14:textId="77777777" w:rsidR="009F0C56" w:rsidRDefault="009F0C56">
      <w:pPr>
        <w:rPr>
          <w:rFonts w:ascii="Arial" w:eastAsia="Arial" w:hAnsi="Arial" w:cs="Arial"/>
          <w:color w:val="262626"/>
        </w:rPr>
      </w:pPr>
    </w:p>
    <w:p w14:paraId="3E652D6B" w14:textId="77777777" w:rsidR="009F0C56" w:rsidRDefault="00653842">
      <w:pPr>
        <w:rPr>
          <w:rFonts w:ascii="Arial" w:eastAsia="Arial" w:hAnsi="Arial" w:cs="Arial"/>
          <w:color w:val="262626"/>
        </w:rPr>
      </w:pPr>
      <w:bookmarkStart w:id="153" w:name="_heading=h.s8nz6o4584qr" w:colFirst="0" w:colLast="0"/>
      <w:bookmarkEnd w:id="153"/>
      <w:r>
        <w:rPr>
          <w:rFonts w:ascii="Arial" w:eastAsia="Arial" w:hAnsi="Arial" w:cs="Arial"/>
          <w:color w:val="262626"/>
        </w:rPr>
        <w:t>Figure 22: Rubbish collection from Miccosukee lands (15/06/2023)</w:t>
      </w:r>
    </w:p>
    <w:p w14:paraId="4A8C2455" w14:textId="77777777" w:rsidR="009F0C56" w:rsidRDefault="00653842">
      <w:pPr>
        <w:rPr>
          <w:rFonts w:ascii="Arial" w:eastAsia="Arial" w:hAnsi="Arial" w:cs="Arial"/>
        </w:rPr>
      </w:pPr>
      <w:r>
        <w:rPr>
          <w:noProof/>
        </w:rPr>
        <w:drawing>
          <wp:inline distT="0" distB="0" distL="0" distR="0" wp14:anchorId="47D35309" wp14:editId="11255BD6">
            <wp:extent cx="4178808" cy="3134106"/>
            <wp:effectExtent l="0" t="0" r="0" b="0"/>
            <wp:docPr id="1874855864" name="image1.jpg" descr="A green box with trash in it  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jpg" descr="A green box with trash in it  AI-generated content may be incorrect."/>
                    <pic:cNvPicPr preferRelativeResize="0"/>
                  </pic:nvPicPr>
                  <pic:blipFill>
                    <a:blip r:embed="rId33"/>
                    <a:srcRect/>
                    <a:stretch>
                      <a:fillRect/>
                    </a:stretch>
                  </pic:blipFill>
                  <pic:spPr>
                    <a:xfrm rot="5400000">
                      <a:off x="0" y="0"/>
                      <a:ext cx="4178808" cy="3134106"/>
                    </a:xfrm>
                    <a:prstGeom prst="rect">
                      <a:avLst/>
                    </a:prstGeom>
                    <a:ln/>
                  </pic:spPr>
                </pic:pic>
              </a:graphicData>
            </a:graphic>
          </wp:inline>
        </w:drawing>
      </w:r>
    </w:p>
    <w:p w14:paraId="7D5AAF23" w14:textId="77777777" w:rsidR="009F0C56" w:rsidRDefault="009F0C56">
      <w:pPr>
        <w:rPr>
          <w:rFonts w:ascii="Arial" w:eastAsia="Arial" w:hAnsi="Arial" w:cs="Arial"/>
        </w:rPr>
      </w:pPr>
    </w:p>
    <w:p w14:paraId="1AFDBEE3" w14:textId="77777777" w:rsidR="009F0C56" w:rsidRDefault="00653842">
      <w:pPr>
        <w:pStyle w:val="Heading2"/>
        <w:rPr>
          <w:rFonts w:ascii="Arial" w:eastAsia="Arial" w:hAnsi="Arial" w:cs="Arial"/>
        </w:rPr>
      </w:pPr>
      <w:bookmarkStart w:id="154" w:name="_Toc240966060"/>
      <w:r>
        <w:rPr>
          <w:rFonts w:ascii="Arial" w:eastAsia="Arial" w:hAnsi="Arial" w:cs="Arial"/>
        </w:rPr>
        <w:t>9.8 Settler pollution and the move to settler conservationism</w:t>
      </w:r>
      <w:bookmarkEnd w:id="154"/>
      <w:r>
        <w:rPr>
          <w:rFonts w:ascii="Arial" w:eastAsia="Arial" w:hAnsi="Arial" w:cs="Arial"/>
        </w:rPr>
        <w:t xml:space="preserve"> </w:t>
      </w:r>
    </w:p>
    <w:p w14:paraId="1390D6F8" w14:textId="32D2E9BE" w:rsidR="009F0C56" w:rsidRDefault="00653842">
      <w:pPr>
        <w:spacing w:before="280" w:after="280" w:line="240" w:lineRule="auto"/>
        <w:rPr>
          <w:rFonts w:ascii="Arial" w:eastAsia="Arial" w:hAnsi="Arial" w:cs="Arial"/>
          <w:color w:val="262626"/>
        </w:rPr>
      </w:pPr>
      <w:r>
        <w:rPr>
          <w:rFonts w:ascii="Arial" w:eastAsia="Arial" w:hAnsi="Arial" w:cs="Arial"/>
          <w:color w:val="262626"/>
        </w:rPr>
        <w:t xml:space="preserve">The image above, taken on the Miccosukee reservation during the peak tourist season in July 2023, captures the storage compartment of an airboat filled with rubbish ranging from balloons, bottles, plastic bags, and other common one-use waste items. This waste was gathered in just under two days by Miccosukee guides. Here, the collection of rubbish further highlights the visible traces of settler society's disregard for Indigenous land, as shown in Figure 2. Despite the reservation’s </w:t>
      </w:r>
      <w:r>
        <w:rPr>
          <w:rFonts w:ascii="Arial" w:eastAsia="Arial" w:hAnsi="Arial" w:cs="Arial"/>
          <w:color w:val="262626"/>
        </w:rPr>
        <w:lastRenderedPageBreak/>
        <w:t xml:space="preserve">isolated location, which is several miles from any urbanised area and is distant from other settler-operated airboat companies. The presence of tourist-linked waste underscores the systematic encroachment of settler colonialism into Indigenous landscapes. Umberto, the guide for my trip, noted that the waste was definitely from settler tourists who illegally came onto the land with settler-owned companies. </w:t>
      </w:r>
      <w:r w:rsidR="00E40CD6">
        <w:rPr>
          <w:rFonts w:ascii="Arial" w:eastAsia="Arial" w:hAnsi="Arial" w:cs="Arial"/>
          <w:color w:val="262626"/>
        </w:rPr>
        <w:t>The</w:t>
      </w:r>
      <w:r>
        <w:rPr>
          <w:rFonts w:ascii="Arial" w:eastAsia="Arial" w:hAnsi="Arial" w:cs="Arial"/>
          <w:color w:val="262626"/>
        </w:rPr>
        <w:t xml:space="preserve"> TigerTail clan did not allow such waste products to be brought onto their excursions due to the possibility of </w:t>
      </w:r>
      <w:r w:rsidR="00E40CD6">
        <w:rPr>
          <w:rFonts w:ascii="Arial" w:eastAsia="Arial" w:hAnsi="Arial" w:cs="Arial"/>
          <w:color w:val="262626"/>
        </w:rPr>
        <w:t>them</w:t>
      </w:r>
      <w:r>
        <w:rPr>
          <w:rFonts w:ascii="Arial" w:eastAsia="Arial" w:hAnsi="Arial" w:cs="Arial"/>
          <w:color w:val="262626"/>
        </w:rPr>
        <w:t xml:space="preserve"> being dropped and entering the environment and disrupting it. </w:t>
      </w:r>
    </w:p>
    <w:p w14:paraId="3693AD07" w14:textId="76D14D78" w:rsidR="009F0C56" w:rsidRDefault="00653842">
      <w:pPr>
        <w:spacing w:before="280" w:after="280" w:line="240" w:lineRule="auto"/>
        <w:rPr>
          <w:rFonts w:ascii="Arial" w:eastAsia="Arial" w:hAnsi="Arial" w:cs="Arial"/>
          <w:color w:val="262626"/>
        </w:rPr>
      </w:pPr>
      <w:r>
        <w:rPr>
          <w:rFonts w:ascii="Arial" w:eastAsia="Arial" w:hAnsi="Arial" w:cs="Arial"/>
          <w:color w:val="262626"/>
        </w:rPr>
        <w:t xml:space="preserve">Therefore, while many settler tourism companies in the area promote themselves as stewards of the Everglades, as noted in the previous analysis chapter, this image reveals how such claims function as a façade that obscures the exploitative nature of their relationship with the land. As the settler tourist sees the land they visit as a passing element </w:t>
      </w:r>
      <w:r w:rsidR="00E40CD6">
        <w:rPr>
          <w:rFonts w:ascii="Arial" w:eastAsia="Arial" w:hAnsi="Arial" w:cs="Arial"/>
          <w:color w:val="262626"/>
        </w:rPr>
        <w:t>in which</w:t>
      </w:r>
      <w:r>
        <w:rPr>
          <w:rFonts w:ascii="Arial" w:eastAsia="Arial" w:hAnsi="Arial" w:cs="Arial"/>
          <w:color w:val="262626"/>
        </w:rPr>
        <w:t xml:space="preserve"> they hold no investment</w:t>
      </w:r>
      <w:r>
        <w:rPr>
          <w:rFonts w:ascii="Arial" w:eastAsia="Arial" w:hAnsi="Arial" w:cs="Arial"/>
          <w:color w:val="262626"/>
        </w:rPr>
        <w:t xml:space="preserve">; rather, the ability to visit is embedded within the commodity chain structure. Where the material element of the Everglades is a part of the chain, the land is understood in terms of the tourist as a place of visible consumption where images can be taken, but this concern only lasts whilst physically on the site. Beyond the time spent within the Everglades, the settler tourist has no relation to the land or nature, as can be seen with the rubbish found in the figure above. In this, the rubbish within the </w:t>
      </w:r>
      <w:r>
        <w:rPr>
          <w:rFonts w:ascii="Arial" w:eastAsia="Arial" w:hAnsi="Arial" w:cs="Arial"/>
          <w:color w:val="262626"/>
        </w:rPr>
        <w:t>photo highlights how settler society has constructed the settler bricolage of Indigenous lands as a place of high aesthetic importance to visit, but not one of care. As with the consistent accumulation of rubbish, as described by local guides, settler society exemplifies how it prioritises aesthetic experiences over ecological care (Manglou et al</w:t>
      </w:r>
      <w:r w:rsidR="00E40CD6">
        <w:rPr>
          <w:rFonts w:ascii="Arial" w:eastAsia="Arial" w:hAnsi="Arial" w:cs="Arial"/>
          <w:color w:val="262626"/>
        </w:rPr>
        <w:t>.</w:t>
      </w:r>
      <w:r>
        <w:rPr>
          <w:rFonts w:ascii="Arial" w:eastAsia="Arial" w:hAnsi="Arial" w:cs="Arial"/>
          <w:color w:val="262626"/>
        </w:rPr>
        <w:t xml:space="preserve"> 2022). Creating a superficial settler stewardship where settler-operated airboat companies capitalise on the Everglades’ ecological beauty while neglecting the long-term health of the landscape, creating a juxtaposition of taking images to show the beauty of the site, but leaving litter at the same time. In this, the tourists desire an ability to visit sites of natural spectacle; their curiosity about the site does not mean the land is cared for. </w:t>
      </w:r>
    </w:p>
    <w:p w14:paraId="5A61C394" w14:textId="313D94B4" w:rsidR="009F0C56" w:rsidRDefault="00653842">
      <w:pPr>
        <w:spacing w:before="280" w:after="280" w:line="240" w:lineRule="auto"/>
        <w:rPr>
          <w:rFonts w:ascii="Arial" w:eastAsia="Arial" w:hAnsi="Arial" w:cs="Arial"/>
          <w:color w:val="262626"/>
        </w:rPr>
      </w:pPr>
      <w:r>
        <w:rPr>
          <w:rFonts w:ascii="Arial" w:eastAsia="Arial" w:hAnsi="Arial" w:cs="Arial"/>
          <w:color w:val="262626"/>
        </w:rPr>
        <w:t>Therefore, the act of leaving waste behind demonstrates how settler society views Indigenous land as a commodity for temporary consumption, rather than as a living entity requiring reciprocal care. This draws back to Locke’s and Hobbes’ work, where land only becomes land in settler rhetoric when it is understood within gains and labour value. As compared to the Indigenous care that is shown through the Tiger Clan's ongoing efforts to collect waste, settler tourists' interactions with the area do not correla</w:t>
      </w:r>
      <w:r>
        <w:rPr>
          <w:rFonts w:ascii="Arial" w:eastAsia="Arial" w:hAnsi="Arial" w:cs="Arial"/>
          <w:color w:val="262626"/>
        </w:rPr>
        <w:t>te to their hosts' engagements with the land. This highlights how the Miccosukee and Seminole epistemologically recognise the Everglades as a living network of interconnected beings, while settlers only engage with the land on an aesthetic, purchasable level (Ibarrola 2022). This reality is absent from settler tourism frameworks, where the tourist unconsciously views the Everglades as a site for visual consumption for themselves, where they centre their experience at the core of the land, and the litter tha</w:t>
      </w:r>
      <w:r>
        <w:rPr>
          <w:rFonts w:ascii="Arial" w:eastAsia="Arial" w:hAnsi="Arial" w:cs="Arial"/>
          <w:color w:val="262626"/>
        </w:rPr>
        <w:t xml:space="preserve">t follows them is warranted </w:t>
      </w:r>
      <w:r w:rsidR="00E40CD6">
        <w:rPr>
          <w:rFonts w:ascii="Arial" w:eastAsia="Arial" w:hAnsi="Arial" w:cs="Arial"/>
          <w:color w:val="262626"/>
        </w:rPr>
        <w:t>by</w:t>
      </w:r>
      <w:r>
        <w:rPr>
          <w:rFonts w:ascii="Arial" w:eastAsia="Arial" w:hAnsi="Arial" w:cs="Arial"/>
          <w:color w:val="262626"/>
        </w:rPr>
        <w:t xml:space="preserve"> their spending. </w:t>
      </w:r>
    </w:p>
    <w:p w14:paraId="7398DD07" w14:textId="36B67AC1" w:rsidR="009F0C56" w:rsidRDefault="00653842">
      <w:pPr>
        <w:spacing w:before="280" w:after="280" w:line="240" w:lineRule="auto"/>
        <w:rPr>
          <w:rFonts w:ascii="Arial" w:eastAsia="Arial" w:hAnsi="Arial" w:cs="Arial"/>
          <w:color w:val="262626"/>
        </w:rPr>
      </w:pPr>
      <w:r>
        <w:rPr>
          <w:rFonts w:ascii="Arial" w:eastAsia="Arial" w:hAnsi="Arial" w:cs="Arial"/>
          <w:color w:val="262626"/>
        </w:rPr>
        <w:t xml:space="preserve">This lack of care for the land also emphasises the settler approach to Indigenous land as a place of convenience that meets the demands of the settler aesthetically, but not as a place of concern. Through these acts, settler society diminishes the agency of non-human relations, as even though the Everglades is suffering massively from pollutants, a racialised component hinders the Seminole and Miccosukee in identifying a viable pushback against the settler colonial disregard of </w:t>
      </w:r>
      <w:r>
        <w:rPr>
          <w:rFonts w:ascii="Arial" w:eastAsia="Arial" w:hAnsi="Arial" w:cs="Arial"/>
          <w:color w:val="262626"/>
        </w:rPr>
        <w:lastRenderedPageBreak/>
        <w:t>the land. Despite their extensive efforts to preserve the Everglades, Indigenous ecological knowledge is often disregarded in favour of settler-centric conservation models. Cattelino (2015) argues</w:t>
      </w:r>
      <w:r w:rsidR="00E40CD6">
        <w:rPr>
          <w:rFonts w:ascii="Arial" w:eastAsia="Arial" w:hAnsi="Arial" w:cs="Arial"/>
          <w:color w:val="262626"/>
        </w:rPr>
        <w:t xml:space="preserve"> that</w:t>
      </w:r>
      <w:r>
        <w:rPr>
          <w:rFonts w:ascii="Arial" w:eastAsia="Arial" w:hAnsi="Arial" w:cs="Arial"/>
          <w:color w:val="262626"/>
        </w:rPr>
        <w:t xml:space="preserve"> this is “the constitutive exclusion of (</w:t>
      </w:r>
      <w:r w:rsidR="00E40CD6">
        <w:rPr>
          <w:rFonts w:ascii="Arial" w:eastAsia="Arial" w:hAnsi="Arial" w:cs="Arial"/>
          <w:color w:val="262626"/>
        </w:rPr>
        <w:t>racialised</w:t>
      </w:r>
      <w:r>
        <w:rPr>
          <w:rFonts w:ascii="Arial" w:eastAsia="Arial" w:hAnsi="Arial" w:cs="Arial"/>
          <w:color w:val="262626"/>
        </w:rPr>
        <w:t xml:space="preserve"> and non-propertied) labour from the coproduction of nature and indigeneity produces ongoing inequalities in rural America” (Cattelino 2015, Pg. 245). In identifying the racialised settler attack on Indigenous communities, the environmental degradation of the Everglades can be noted as parallel to the historical destruction of the buffalo of Plains Nations by settler society. General Dodge's infamous declaration, “Kill every buffalo! Every buffalo dead is an Indian gone” (Sheriff, 2024), reflects the coloni</w:t>
      </w:r>
      <w:r>
        <w:rPr>
          <w:rFonts w:ascii="Arial" w:eastAsia="Arial" w:hAnsi="Arial" w:cs="Arial"/>
          <w:color w:val="262626"/>
        </w:rPr>
        <w:t xml:space="preserve">al logic of targeting non-human agencies to destabilise Indigenous communities and erase their ontological, cosmological, and epistemological foundations to the land. As in this environmental destruction, the Seminole and Miccosukee are forced to navigate and assimilate to settler sustainable policies as the land is held in trust (Hardrock 2025).  </w:t>
      </w:r>
    </w:p>
    <w:p w14:paraId="4A6454B2" w14:textId="4FE28A50" w:rsidR="009F0C56" w:rsidRDefault="00653842">
      <w:pPr>
        <w:spacing w:before="280" w:after="280" w:line="240" w:lineRule="auto"/>
        <w:rPr>
          <w:rFonts w:ascii="Arial" w:eastAsia="Arial" w:hAnsi="Arial" w:cs="Arial"/>
          <w:color w:val="262626"/>
        </w:rPr>
      </w:pPr>
      <w:r>
        <w:rPr>
          <w:rFonts w:ascii="Arial" w:eastAsia="Arial" w:hAnsi="Arial" w:cs="Arial"/>
          <w:color w:val="262626"/>
        </w:rPr>
        <w:t>This</w:t>
      </w:r>
      <w:r w:rsidR="00E40CD6">
        <w:rPr>
          <w:rFonts w:ascii="Arial" w:eastAsia="Arial" w:hAnsi="Arial" w:cs="Arial"/>
          <w:color w:val="262626"/>
        </w:rPr>
        <w:t>,</w:t>
      </w:r>
      <w:r>
        <w:rPr>
          <w:rFonts w:ascii="Arial" w:eastAsia="Arial" w:hAnsi="Arial" w:cs="Arial"/>
          <w:color w:val="262626"/>
        </w:rPr>
        <w:t xml:space="preserve"> alongside reports from the South Florida Water Management District on the land (2020)</w:t>
      </w:r>
      <w:r w:rsidR="00E40CD6">
        <w:rPr>
          <w:rFonts w:ascii="Arial" w:eastAsia="Arial" w:hAnsi="Arial" w:cs="Arial"/>
          <w:color w:val="262626"/>
        </w:rPr>
        <w:t>,</w:t>
      </w:r>
      <w:r>
        <w:rPr>
          <w:rFonts w:ascii="Arial" w:eastAsia="Arial" w:hAnsi="Arial" w:cs="Arial"/>
          <w:color w:val="262626"/>
        </w:rPr>
        <w:t xml:space="preserve"> highlights that toxic mercury levels due to agricultural outputs have heavily harmed Indigenous species in the Everglades and now pose a lethal risk to human and environmental health. This further draws attention to how waste products work to diminish the capacity of the Seminole and Miccosukee to rely on their traditional knowledge systems as they destroy the natural landscape of the area, which traditionally served the Miccosukee and Seminole in medicine, building, and food (West 2008). </w:t>
      </w:r>
    </w:p>
    <w:p w14:paraId="061213F3" w14:textId="28AAECF6"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Therefore, with settler pollutants such as mercury and plastics disrupting the delicate ecological balance of the Everglades and threatening both human and non-human life, settler society responded by imposing environmental policies that ultimately reinforce settler colonial power through the guise of care or, as Tuck and Yung (2012) call, “settler moves to innocence”. These settler measures attack the Seminole and Miccosukee’s ability to offer knowledge on the land they inhabit and are forced to oblige and</w:t>
      </w:r>
      <w:r>
        <w:rPr>
          <w:rFonts w:ascii="Arial" w:eastAsia="Arial" w:hAnsi="Arial" w:cs="Arial"/>
          <w:color w:val="262626"/>
        </w:rPr>
        <w:t xml:space="preserve"> operate within a system of erasure of their Indigeneity and the land. Rather than addressing the root causes of environmental degradation, primarily from industrial activities like oil extraction and large-scale agriculture. The settler state continues </w:t>
      </w:r>
      <w:r>
        <w:rPr>
          <w:rFonts w:ascii="Arial" w:eastAsia="Arial" w:hAnsi="Arial" w:cs="Arial"/>
          <w:color w:val="262626"/>
        </w:rPr>
        <w:t>its environmental programmes, receiving donations from corporations that damage the Everglades itself, while disregarding Indigenous environmental practices. In this, for the Seminole and Miccosukee, this represents not a collaborative conservation effort, but a coerced compliance within a system that systematically erases their relational understandings of land and sovereignty (Daigle 2024). This illustrates a critical dimension of ecocide when deployed alongside green colonialism, where, under the guise o</w:t>
      </w:r>
      <w:r>
        <w:rPr>
          <w:rFonts w:ascii="Arial" w:eastAsia="Arial" w:hAnsi="Arial" w:cs="Arial"/>
          <w:color w:val="262626"/>
        </w:rPr>
        <w:t xml:space="preserve">f environmental protection, settler conservation frameworks displace Indigenous stewardship, deeming it unscientific or primitive (Smiles 2021). </w:t>
      </w:r>
    </w:p>
    <w:p w14:paraId="7E93F83D" w14:textId="3C8D306D"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As seen in the case of the Florida panther, settler-led conservation imposes ecological management that ignores the Indigenous ontologies and practices that have long sustained balance in the Everglades. Even though settler-industrial pollution is the primary driver of ecological harm, settler institutions claim authority over the redemptive process (LaDuke 2015). Here, they cement settler stewardship over the lands, ignoring the deep spiritual and cultural significance to the Seminole and Miccosukee of the</w:t>
      </w:r>
      <w:r>
        <w:rPr>
          <w:rFonts w:ascii="Arial" w:eastAsia="Arial" w:hAnsi="Arial" w:cs="Arial"/>
          <w:color w:val="262626"/>
        </w:rPr>
        <w:t xml:space="preserve"> area. This process builds a non-encounter, with settler </w:t>
      </w:r>
      <w:r>
        <w:rPr>
          <w:rFonts w:ascii="Arial" w:eastAsia="Arial" w:hAnsi="Arial" w:cs="Arial"/>
          <w:color w:val="262626"/>
        </w:rPr>
        <w:lastRenderedPageBreak/>
        <w:t xml:space="preserve">colonial society erasing Indigenous presence (Veracini 2011). </w:t>
      </w:r>
      <w:r w:rsidR="00E40CD6">
        <w:rPr>
          <w:rFonts w:ascii="Arial" w:eastAsia="Arial" w:hAnsi="Arial" w:cs="Arial"/>
          <w:color w:val="262626"/>
        </w:rPr>
        <w:t>Settler</w:t>
      </w:r>
      <w:r>
        <w:rPr>
          <w:rFonts w:ascii="Arial" w:eastAsia="Arial" w:hAnsi="Arial" w:cs="Arial"/>
          <w:color w:val="262626"/>
        </w:rPr>
        <w:t xml:space="preserve"> institutions engage with Indigenous nations not as equals, but as subjects whose knowledge is tolerated only when it aligns with settler priorities. This manufactured encounter allows the settler state to maintain the illusion of inclusion while ensuring that ecological governance remains firmly within settler colonial control (Daigle 2024).</w:t>
      </w:r>
    </w:p>
    <w:p w14:paraId="0DA72763" w14:textId="09E5DF0E"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In this settler conservation, it attacks the ontological essence of Indigenous ecological systems, as, rather than recognising land as a relational being, settler conservation isolates ecosystems from their cultural contexts, transforming them into sites for settler scientific intervention. In this, as Daigle notes, “Indigenous peoples continually renew their relational obligations and storyscapes amid the discursive violence and material repercussions of colonial conquest” (Daigle 2024, Pg 184). As with th</w:t>
      </w:r>
      <w:r>
        <w:rPr>
          <w:rFonts w:ascii="Arial" w:eastAsia="Arial" w:hAnsi="Arial" w:cs="Arial"/>
          <w:color w:val="262626"/>
        </w:rPr>
        <w:t>e case of the Florida panther, the Seminole and Miccosukee are forced to adapt to new relations with the panther, as under settler conservationist efforts, the panther is increasingly isolated from Indigenous society. In this, the panther becomes a settler tool in controlling Indigenous relations to land, as</w:t>
      </w:r>
      <w:r w:rsidR="00E40CD6">
        <w:rPr>
          <w:rFonts w:ascii="Arial" w:eastAsia="Arial" w:hAnsi="Arial" w:cs="Arial"/>
          <w:color w:val="262626"/>
        </w:rPr>
        <w:t>,</w:t>
      </w:r>
      <w:r>
        <w:rPr>
          <w:rFonts w:ascii="Arial" w:eastAsia="Arial" w:hAnsi="Arial" w:cs="Arial"/>
          <w:color w:val="262626"/>
        </w:rPr>
        <w:t xml:space="preserve"> through diminishing Seminole and Miccosukee relationalities to the panther</w:t>
      </w:r>
      <w:r w:rsidR="00E40CD6">
        <w:rPr>
          <w:rFonts w:ascii="Arial" w:eastAsia="Arial" w:hAnsi="Arial" w:cs="Arial"/>
          <w:color w:val="262626"/>
        </w:rPr>
        <w:t>,</w:t>
      </w:r>
      <w:r>
        <w:rPr>
          <w:rFonts w:ascii="Arial" w:eastAsia="Arial" w:hAnsi="Arial" w:cs="Arial"/>
          <w:color w:val="262626"/>
        </w:rPr>
        <w:t xml:space="preserve"> settler society is attacking their epistemologies through settler conservationism.</w:t>
      </w:r>
    </w:p>
    <w:p w14:paraId="609EB1BE" w14:textId="0D14DDA5"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As can be seen with the panther, it is often kept in isolated areas or in conservation grounds like zoos, which are heavily funded by settler families and corporations (LaDuke 2015)</w:t>
      </w:r>
      <w:r>
        <w:rPr>
          <w:rFonts w:ascii="Arial" w:eastAsia="Arial" w:hAnsi="Arial" w:cs="Arial"/>
          <w:color w:val="262626"/>
          <w:vertAlign w:val="superscript"/>
        </w:rPr>
        <w:footnoteReference w:id="15"/>
      </w:r>
      <w:r>
        <w:rPr>
          <w:rFonts w:ascii="Arial" w:eastAsia="Arial" w:hAnsi="Arial" w:cs="Arial"/>
          <w:color w:val="262626"/>
        </w:rPr>
        <w:t>. Creating a corporate colonialism, as these actors centre themselves as agents of ecological repair</w:t>
      </w:r>
      <w:r w:rsidR="00E40CD6">
        <w:rPr>
          <w:rFonts w:ascii="Arial" w:eastAsia="Arial" w:hAnsi="Arial" w:cs="Arial"/>
          <w:color w:val="262626"/>
        </w:rPr>
        <w:t>;</w:t>
      </w:r>
      <w:r>
        <w:rPr>
          <w:rFonts w:ascii="Arial" w:eastAsia="Arial" w:hAnsi="Arial" w:cs="Arial"/>
          <w:color w:val="262626"/>
        </w:rPr>
        <w:t xml:space="preserve"> however, this performative care does not restore balance but diminishes Indigenous epistemologies around conservation of the land. Operating to further entrench settler authority under the rhetoric of environmentalism. In this, the Seminole and Miccosukee are excluded from meaningful participation in environmental policymaking, despite nominal "control" over their lands, which are held in trust by the U.S. government (Hardrock 2025). This brings a different dimension to this analysis of land and conservati</w:t>
      </w:r>
      <w:r>
        <w:rPr>
          <w:rFonts w:ascii="Arial" w:eastAsia="Arial" w:hAnsi="Arial" w:cs="Arial"/>
          <w:color w:val="262626"/>
        </w:rPr>
        <w:t xml:space="preserve">on, as the federal trust doctrine enables settler interventions under claims of environmental or social necessity, further limiting Indigenous governance (Ibarrola 2022, Hardrock 2025). </w:t>
      </w:r>
    </w:p>
    <w:p w14:paraId="4315A961" w14:textId="05751925"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As Estes (2019) argues in the context of the Dakota Access Pipeline, this legal infrastructure facilitates the forced assimilation of Indigenous nations into the settler ecological discourse. Where Indigenous peoples are forced to navigate a colonial bind to maintain their legal recognition and a degree of sovereignty, they must conform to settler-imposed conservation regimes that contradict their epistemologies. As Svirsky and Ben-Aire (2018) discuss with Palestine and Palestinians engaging with their iden</w:t>
      </w:r>
      <w:r>
        <w:rPr>
          <w:rFonts w:ascii="Arial" w:eastAsia="Arial" w:hAnsi="Arial" w:cs="Arial"/>
          <w:color w:val="262626"/>
        </w:rPr>
        <w:t xml:space="preserve">tity through a “Arab Palestinian life cannot be thought today in isolation from the impacts that the Zionist project has had and still has on the reproduction of this form of life” (466). </w:t>
      </w:r>
      <w:r>
        <w:rPr>
          <w:rFonts w:ascii="Arial" w:eastAsia="Arial" w:hAnsi="Arial" w:cs="Arial"/>
          <w:color w:val="262626"/>
        </w:rPr>
        <w:t>Svirsky and Ben-Aire’s research location discursively links to the idea of settler conservationism in Florida for the Seminole and Miccosukee. It still draws parallels to settler conservationism, where Indigenous life and epistemologies around land and the natural environment cannot be engaged with</w:t>
      </w:r>
      <w:r>
        <w:rPr>
          <w:rFonts w:ascii="Arial" w:eastAsia="Arial" w:hAnsi="Arial" w:cs="Arial"/>
          <w:color w:val="262626"/>
        </w:rPr>
        <w:t xml:space="preserve"> outside the parameters of settler society (Svirsky </w:t>
      </w:r>
      <w:r w:rsidR="00E40CD6">
        <w:rPr>
          <w:rFonts w:ascii="Arial" w:eastAsia="Arial" w:hAnsi="Arial" w:cs="Arial"/>
          <w:color w:val="262626"/>
        </w:rPr>
        <w:t xml:space="preserve">and </w:t>
      </w:r>
      <w:r>
        <w:rPr>
          <w:rFonts w:ascii="Arial" w:eastAsia="Arial" w:hAnsi="Arial" w:cs="Arial"/>
          <w:color w:val="262626"/>
        </w:rPr>
        <w:t xml:space="preserve">Ben-Aire 2018). Ultimately, this produces an epistemicide through the destruction of Indigenous ecological knowledge systems in the name of environmental protection. </w:t>
      </w:r>
      <w:r>
        <w:rPr>
          <w:rFonts w:ascii="Arial" w:eastAsia="Arial" w:hAnsi="Arial" w:cs="Arial"/>
          <w:color w:val="262626"/>
        </w:rPr>
        <w:lastRenderedPageBreak/>
        <w:t>Here, settler conservation is weaponised, not to repair ecosystems, but to reinforce settler dominance while erasing Seminole and Miccosukee agency over the land, as this would challenge the settler colonial status of settler epistemological point-zero (Castro-Gomez 2007).</w:t>
      </w:r>
    </w:p>
    <w:p w14:paraId="310FC289" w14:textId="6067594B"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Therefore, efforts to address pollution, such as mercury contamination, serve to control and manipulate how lands and species, deeply intertwined with Seminole and Miccosukee cosmologies, are governed. Here, the settler state's authority over environmental "solutions" is operationalised to assimilate Indigenous presence under the guise of being "green." Wolfe’s theory of settler colonialism as a structure of elimination (2006) becomes dominant here, where the attack on the land is not incidental but instrum</w:t>
      </w:r>
      <w:r>
        <w:rPr>
          <w:rFonts w:ascii="Arial" w:eastAsia="Arial" w:hAnsi="Arial" w:cs="Arial"/>
          <w:color w:val="262626"/>
        </w:rPr>
        <w:t>ental to the ongoing erasure of Indigenous ontologies. Here, Sultana’s (2022) concept of climate coloniality draws the need for introspection</w:t>
      </w:r>
      <w:r w:rsidR="00E40CD6">
        <w:rPr>
          <w:rFonts w:ascii="Arial" w:eastAsia="Arial" w:hAnsi="Arial" w:cs="Arial"/>
          <w:color w:val="262626"/>
        </w:rPr>
        <w:t>,</w:t>
      </w:r>
      <w:r>
        <w:rPr>
          <w:rFonts w:ascii="Arial" w:eastAsia="Arial" w:hAnsi="Arial" w:cs="Arial"/>
          <w:color w:val="262626"/>
        </w:rPr>
        <w:t xml:space="preserve"> as understood</w:t>
      </w:r>
      <w:r w:rsidR="00E40CD6">
        <w:rPr>
          <w:rFonts w:ascii="Arial" w:eastAsia="Arial" w:hAnsi="Arial" w:cs="Arial"/>
          <w:color w:val="262626"/>
        </w:rPr>
        <w:t>:</w:t>
      </w:r>
      <w:r>
        <w:rPr>
          <w:rFonts w:ascii="Arial" w:eastAsia="Arial" w:hAnsi="Arial" w:cs="Arial"/>
          <w:color w:val="262626"/>
        </w:rPr>
        <w:t xml:space="preserve"> “climate coloniality is expressed through insidious racism globally and continued Othering, dispossessions through colonial-capitalist extractives and commodification, rapacious displacement and destruction, creation of sacrifice zones, and excessive exposures to harms from climate-induced disasters” (Sultana 2022. Pg 4). While Sultana highlights the ways climate coloniality is a colonial force in ‘othering’ non-settler people</w:t>
      </w:r>
      <w:r>
        <w:rPr>
          <w:rFonts w:ascii="Arial" w:eastAsia="Arial" w:hAnsi="Arial" w:cs="Arial"/>
          <w:color w:val="262626"/>
          <w:vertAlign w:val="superscript"/>
        </w:rPr>
        <w:footnoteReference w:id="16"/>
      </w:r>
      <w:r>
        <w:rPr>
          <w:rFonts w:ascii="Arial" w:eastAsia="Arial" w:hAnsi="Arial" w:cs="Arial"/>
          <w:color w:val="262626"/>
        </w:rPr>
        <w:t xml:space="preserve">. Building on Sultana’s climate coloniality beyond colonial zones of climate-induced disasters, climate coloniality is noted to operate within the settler colonial realm of conservationism. </w:t>
      </w:r>
    </w:p>
    <w:p w14:paraId="44A6C282" w14:textId="26E9EA8B"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As Atleo and Boron (2022) highlight, attacks on land are attacks on knowledge. Here, land is not a passive backdrop but an epistemological foundation for home to stories, medicines, and intergenerational teachings. In this climate conservationism, it relies on climate coloniality to exert its presence in the area, as through climate change, settler society can dictate and centre itself as the epicentre of climate resistance. Ultimately, allowing settler society to centre itself as environmentally progressiv</w:t>
      </w:r>
      <w:r>
        <w:rPr>
          <w:rFonts w:ascii="Arial" w:eastAsia="Arial" w:hAnsi="Arial" w:cs="Arial"/>
          <w:color w:val="262626"/>
        </w:rPr>
        <w:t>e, which attacks Indigenous place-thought. As the Seminole and Miccosukee are dislodged from their epistemologies, which are place-specific</w:t>
      </w:r>
      <w:r w:rsidR="00E40CD6">
        <w:rPr>
          <w:rFonts w:ascii="Arial" w:eastAsia="Arial" w:hAnsi="Arial" w:cs="Arial"/>
          <w:color w:val="262626"/>
        </w:rPr>
        <w:t>,</w:t>
      </w:r>
      <w:r>
        <w:rPr>
          <w:rFonts w:ascii="Arial" w:eastAsia="Arial" w:hAnsi="Arial" w:cs="Arial"/>
          <w:color w:val="262626"/>
        </w:rPr>
        <w:t xml:space="preserve"> through settler society imposing legislation around their land under the revisions of settler conservationism (Watts 2013). Thus, with this settler shift of land stewardship, the Indigenous place-based relationship to the land dies, which means the knowledge embedded within the land also dies. In this, the oral histories of figures like Jumper, which are grounded in specific geographies, risk becoming dislocated and epistemologically severed from their meanings. In this, the polluted waters and collapsing </w:t>
      </w:r>
      <w:r>
        <w:rPr>
          <w:rFonts w:ascii="Arial" w:eastAsia="Arial" w:hAnsi="Arial" w:cs="Arial"/>
          <w:color w:val="262626"/>
        </w:rPr>
        <w:t>ecosystems do more than kill non-human life; they erase the relationships through which knowledge is sustained.</w:t>
      </w:r>
    </w:p>
    <w:p w14:paraId="4C80CCAB" w14:textId="1A3EBCFE"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 xml:space="preserve">Therefore, for the Seminole and Miccosukee, the Everglades is not merely a biome; it is a kin, archive, and cosmos. </w:t>
      </w:r>
      <w:r w:rsidR="00E40CD6">
        <w:rPr>
          <w:rFonts w:ascii="Arial" w:eastAsia="Arial" w:hAnsi="Arial" w:cs="Arial"/>
          <w:color w:val="262626"/>
        </w:rPr>
        <w:t>Environmental</w:t>
      </w:r>
      <w:r>
        <w:rPr>
          <w:rFonts w:ascii="Arial" w:eastAsia="Arial" w:hAnsi="Arial" w:cs="Arial"/>
          <w:color w:val="262626"/>
        </w:rPr>
        <w:t xml:space="preserve"> destruction is not just an ecological crisis, but an epistemic crisis that destabilises the very basis of Indigenous sovereignty and existence (Daigle 2024). Here, ecocide, in this context, becomes a direct actor in Indigenous genocide and a contemporary settler tactic to erase presence through the annihilation and settler conservation of the land that sustains it. Thus, Figures 21 and 22, therefore, reveal more than the physical scars of pollution; they expose the ontological violence of settler coloniali</w:t>
      </w:r>
      <w:r>
        <w:rPr>
          <w:rFonts w:ascii="Arial" w:eastAsia="Arial" w:hAnsi="Arial" w:cs="Arial"/>
          <w:color w:val="262626"/>
        </w:rPr>
        <w:t xml:space="preserve">sm. </w:t>
      </w:r>
      <w:r w:rsidR="00E40CD6">
        <w:rPr>
          <w:rFonts w:ascii="Arial" w:eastAsia="Arial" w:hAnsi="Arial" w:cs="Arial"/>
          <w:color w:val="262626"/>
        </w:rPr>
        <w:t>The</w:t>
      </w:r>
      <w:r>
        <w:rPr>
          <w:rFonts w:ascii="Arial" w:eastAsia="Arial" w:hAnsi="Arial" w:cs="Arial"/>
          <w:color w:val="262626"/>
        </w:rPr>
        <w:t xml:space="preserve"> epidemic of littering </w:t>
      </w:r>
      <w:r>
        <w:rPr>
          <w:rFonts w:ascii="Arial" w:eastAsia="Arial" w:hAnsi="Arial" w:cs="Arial"/>
          <w:color w:val="262626"/>
        </w:rPr>
        <w:lastRenderedPageBreak/>
        <w:t xml:space="preserve">in the Everglades operates as a 21st-century extension of General Sherman’s scorched earth tactics: where to destroy the land is to attempt the erasure of those rooted within it (Beardall Edwards 2021). </w:t>
      </w:r>
    </w:p>
    <w:p w14:paraId="043894FD" w14:textId="77777777"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This destruction of non-human agency functions as a silent but systemic weapon within the settler colonial matrix, pushing the Seminole and Miccosukee into precarious positions of survival and forced assimilation (Ibarrola 2022). Consequently, settler conservation must be understood not as a neutral or benevolent project, but as an extension of colonial governance. Where, through weaponizing environmental discourse of conservation, settler systems enact a non-encounter that neutralises Indigenous sovereignt</w:t>
      </w:r>
      <w:r>
        <w:rPr>
          <w:rFonts w:ascii="Arial" w:eastAsia="Arial" w:hAnsi="Arial" w:cs="Arial"/>
          <w:color w:val="262626"/>
        </w:rPr>
        <w:t>y, reasserts settler control, and severs the epistemological lifelines between people and place (Veracini 2008). What is at stake is not just ecological survival, but the preservation of worldviews, relationships, and futures that have long defied the colonial project.</w:t>
      </w:r>
    </w:p>
    <w:p w14:paraId="09B871B9" w14:textId="77777777" w:rsidR="009F0C56" w:rsidRDefault="00653842">
      <w:pPr>
        <w:pStyle w:val="Heading2"/>
        <w:rPr>
          <w:rFonts w:ascii="Arial" w:eastAsia="Arial" w:hAnsi="Arial" w:cs="Arial"/>
        </w:rPr>
      </w:pPr>
      <w:bookmarkStart w:id="155" w:name="_Toc240966061"/>
      <w:r>
        <w:rPr>
          <w:rFonts w:ascii="Arial" w:eastAsia="Arial" w:hAnsi="Arial" w:cs="Arial"/>
        </w:rPr>
        <w:t>9.9 Settler Memory and the Justification of Land Erasure</w:t>
      </w:r>
      <w:bookmarkEnd w:id="155"/>
    </w:p>
    <w:p w14:paraId="03EF8873" w14:textId="77777777" w:rsidR="009F0C56" w:rsidRDefault="00653842">
      <w:pPr>
        <w:spacing w:before="280" w:after="280" w:line="240" w:lineRule="auto"/>
        <w:rPr>
          <w:rFonts w:ascii="Arial" w:eastAsia="Arial" w:hAnsi="Arial" w:cs="Arial"/>
          <w:color w:val="262626"/>
        </w:rPr>
      </w:pPr>
      <w:bookmarkStart w:id="156" w:name="_heading=h.oc1o68ulsbjl" w:colFirst="0" w:colLast="0"/>
      <w:bookmarkEnd w:id="156"/>
      <w:r>
        <w:rPr>
          <w:rFonts w:ascii="Arial" w:eastAsia="Arial" w:hAnsi="Arial" w:cs="Arial"/>
          <w:color w:val="262626"/>
        </w:rPr>
        <w:t>In South Florida, land works as a political tool to distance, partially assimilate, and reduce the Seminole and Miccosukee’s histories, present, and future only within the confines of settler rhetoric of “greatness”. Bruyneel’s (2021) work on settler memory helps reveal how settler society positions their acts of progress as enlightened, wherein settler engagement with land through expansion, urbanisation, and resource extraction is positioned as the pinnacle of civilisation. Where this ideology is deeply e</w:t>
      </w:r>
      <w:r>
        <w:rPr>
          <w:rFonts w:ascii="Arial" w:eastAsia="Arial" w:hAnsi="Arial" w:cs="Arial"/>
          <w:color w:val="262626"/>
        </w:rPr>
        <w:t>mbedded in American settler discourse, from Gast's American Progress painting to the rhetoric of political leaders like Reagan and Trump, whose “Make America Great Again” slogans reinforce a historical continuity of settler colonial greatness through the utilisation of land. This notion of settler greatness is not just an economic or political project; it is an epistemological and ontological attack on Indigenous identity. Norton (1979, p. 125) describes how this process operates through repeated acts of ge</w:t>
      </w:r>
      <w:r>
        <w:rPr>
          <w:rFonts w:ascii="Arial" w:eastAsia="Arial" w:hAnsi="Arial" w:cs="Arial"/>
          <w:color w:val="262626"/>
        </w:rPr>
        <w:t>nocide: “In two hundred years of brutal occupation, they have repeatedly committed genocide in one form or another. Its patterns, its pervasiveness, its massive conspiracy are so common and well understood that its horror is diffused… It is so embedded in clichés of white manifest destiny that the magnitude of the crime is transformed into inevitability or high moral principles.”</w:t>
      </w:r>
    </w:p>
    <w:p w14:paraId="175246C6" w14:textId="77777777" w:rsidR="009F0C56" w:rsidRDefault="00653842">
      <w:pPr>
        <w:spacing w:before="280" w:after="280" w:line="240" w:lineRule="auto"/>
        <w:rPr>
          <w:color w:val="262626"/>
        </w:rPr>
      </w:pPr>
      <w:r>
        <w:rPr>
          <w:rFonts w:ascii="Arial" w:eastAsia="Arial" w:hAnsi="Arial" w:cs="Arial"/>
          <w:color w:val="262626"/>
        </w:rPr>
        <w:t>Here, this ideological project Norton discusses works to ensure that Indigenous cosmologies, ontologies, and epistemologies are not only erased but replaced with a settler colonial reality that defines land through capitalist accumulation and labour exploitation (Heidler et al 2022, Issar 2021). As Wolfe (2006, p. 389) explains, settler colonial societies justify land dispossession by arguing, “We could use the land better than they could”. These narratives became present in Figures 20-22, in the justificat</w:t>
      </w:r>
      <w:r>
        <w:rPr>
          <w:rFonts w:ascii="Arial" w:eastAsia="Arial" w:hAnsi="Arial" w:cs="Arial"/>
          <w:color w:val="262626"/>
        </w:rPr>
        <w:t>ion of Settler Miami’s transformation of land into urbanised, capitalist spaces, reinforcing the racialized economic logic of extraction spoken of during the commodification chapter, as well as the environmental destruction of the Everglades. Where settler tourism and industry reduce the land to a consumable spectacle, disregarding non-human agencies and Indigenous ecological knowledge (Bruyneel 2021). However, these settler narratives are only part of the story, as within Indigenous spaces, there is an ant</w:t>
      </w:r>
      <w:r>
        <w:rPr>
          <w:rFonts w:ascii="Arial" w:eastAsia="Arial" w:hAnsi="Arial" w:cs="Arial"/>
          <w:color w:val="262626"/>
        </w:rPr>
        <w:t>icolonial resistance, through projects within the Seminole Ah-Tah-Thi-Ki Museum and Miccosukee TigerTail Clan Conservation site.</w:t>
      </w:r>
      <w:r>
        <w:rPr>
          <w:color w:val="262626"/>
        </w:rPr>
        <w:t xml:space="preserve"> </w:t>
      </w:r>
    </w:p>
    <w:p w14:paraId="4A71C6BD" w14:textId="77777777" w:rsidR="009F0C56" w:rsidRDefault="009F0C56">
      <w:pPr>
        <w:spacing w:before="280" w:after="280" w:line="240" w:lineRule="auto"/>
        <w:rPr>
          <w:rFonts w:ascii="Arial" w:eastAsia="Arial" w:hAnsi="Arial" w:cs="Arial"/>
        </w:rPr>
      </w:pPr>
    </w:p>
    <w:p w14:paraId="09E20BF7" w14:textId="20363E96" w:rsidR="009F0C56" w:rsidRDefault="00653842">
      <w:pPr>
        <w:spacing w:before="280" w:after="280" w:line="240" w:lineRule="auto"/>
        <w:rPr>
          <w:rFonts w:ascii="Arial" w:eastAsia="Arial" w:hAnsi="Arial" w:cs="Arial"/>
        </w:rPr>
      </w:pPr>
      <w:r>
        <w:rPr>
          <w:rFonts w:ascii="Arial" w:eastAsia="Arial" w:hAnsi="Arial" w:cs="Arial"/>
        </w:rPr>
        <w:t xml:space="preserve">Figure 23: Ah-Tah-Thi-Ki Museum walkway, Big Cypress </w:t>
      </w:r>
      <w:r w:rsidR="00E40CD6">
        <w:rPr>
          <w:rFonts w:ascii="Arial" w:eastAsia="Arial" w:hAnsi="Arial" w:cs="Arial"/>
        </w:rPr>
        <w:t>Reservation</w:t>
      </w:r>
      <w:r>
        <w:rPr>
          <w:rFonts w:ascii="Arial" w:eastAsia="Arial" w:hAnsi="Arial" w:cs="Arial"/>
        </w:rPr>
        <w:t>. (14/06/2023)</w:t>
      </w:r>
    </w:p>
    <w:p w14:paraId="3FF1CB43" w14:textId="77777777" w:rsidR="009F0C56" w:rsidRDefault="00653842">
      <w:pPr>
        <w:spacing w:before="280" w:after="280" w:line="240" w:lineRule="auto"/>
        <w:rPr>
          <w:rFonts w:ascii="Arial" w:eastAsia="Arial" w:hAnsi="Arial" w:cs="Arial"/>
        </w:rPr>
      </w:pPr>
      <w:r>
        <w:rPr>
          <w:rFonts w:ascii="Arial" w:eastAsia="Arial" w:hAnsi="Arial" w:cs="Arial"/>
          <w:noProof/>
        </w:rPr>
        <w:drawing>
          <wp:inline distT="114300" distB="114300" distL="114300" distR="114300" wp14:anchorId="6140D2DE" wp14:editId="0EE67C59">
            <wp:extent cx="5286356" cy="7051402"/>
            <wp:effectExtent l="0" t="0" r="0" b="0"/>
            <wp:docPr id="1874855865" name="image23.png" descr="A walkway in a fores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3.png" descr="A walkway in a forest&#10;&#10;AI-generated content may be incorrect."/>
                    <pic:cNvPicPr preferRelativeResize="0"/>
                  </pic:nvPicPr>
                  <pic:blipFill>
                    <a:blip r:embed="rId34"/>
                    <a:srcRect/>
                    <a:stretch>
                      <a:fillRect/>
                    </a:stretch>
                  </pic:blipFill>
                  <pic:spPr>
                    <a:xfrm>
                      <a:off x="0" y="0"/>
                      <a:ext cx="5286356" cy="7051402"/>
                    </a:xfrm>
                    <a:prstGeom prst="rect">
                      <a:avLst/>
                    </a:prstGeom>
                    <a:ln/>
                  </pic:spPr>
                </pic:pic>
              </a:graphicData>
            </a:graphic>
          </wp:inline>
        </w:drawing>
      </w:r>
    </w:p>
    <w:p w14:paraId="3A0F9C96" w14:textId="77777777" w:rsidR="009F0C56" w:rsidRDefault="009F0C56">
      <w:pPr>
        <w:spacing w:before="280" w:after="280" w:line="240" w:lineRule="auto"/>
        <w:rPr>
          <w:rFonts w:ascii="Arial" w:eastAsia="Arial" w:hAnsi="Arial" w:cs="Arial"/>
        </w:rPr>
      </w:pPr>
      <w:bookmarkStart w:id="157" w:name="_heading=h.5588q09owngy" w:colFirst="0" w:colLast="0"/>
      <w:bookmarkEnd w:id="157"/>
    </w:p>
    <w:p w14:paraId="03F6F8C4" w14:textId="77777777" w:rsidR="009F0C56" w:rsidRDefault="009F0C56">
      <w:pPr>
        <w:spacing w:before="280" w:after="280" w:line="240" w:lineRule="auto"/>
        <w:rPr>
          <w:rFonts w:ascii="Arial" w:eastAsia="Arial" w:hAnsi="Arial" w:cs="Arial"/>
        </w:rPr>
      </w:pPr>
    </w:p>
    <w:p w14:paraId="34B23B9D" w14:textId="77777777" w:rsidR="009F0C56" w:rsidRDefault="009F0C56">
      <w:pPr>
        <w:spacing w:before="280" w:after="280" w:line="240" w:lineRule="auto"/>
        <w:rPr>
          <w:rFonts w:ascii="Arial" w:eastAsia="Arial" w:hAnsi="Arial" w:cs="Arial"/>
        </w:rPr>
      </w:pPr>
    </w:p>
    <w:p w14:paraId="34A5C9A8" w14:textId="77777777" w:rsidR="009F0C56" w:rsidRDefault="00653842">
      <w:pPr>
        <w:spacing w:before="280" w:after="280" w:line="240" w:lineRule="auto"/>
        <w:rPr>
          <w:rFonts w:ascii="Arial" w:eastAsia="Arial" w:hAnsi="Arial" w:cs="Arial"/>
        </w:rPr>
      </w:pPr>
      <w:r>
        <w:rPr>
          <w:rFonts w:ascii="Arial" w:eastAsia="Arial" w:hAnsi="Arial" w:cs="Arial"/>
        </w:rPr>
        <w:lastRenderedPageBreak/>
        <w:t>Figure 24: TigerTail clan conservation area on traditional hunting camp. (15/06/2023)</w:t>
      </w:r>
    </w:p>
    <w:p w14:paraId="573600C8" w14:textId="77777777" w:rsidR="009F0C56" w:rsidRDefault="009F0C56">
      <w:pPr>
        <w:spacing w:before="280" w:after="280" w:line="240" w:lineRule="auto"/>
        <w:rPr>
          <w:rFonts w:ascii="Arial" w:eastAsia="Arial" w:hAnsi="Arial" w:cs="Arial"/>
        </w:rPr>
      </w:pPr>
    </w:p>
    <w:p w14:paraId="4DC8CED3" w14:textId="77777777" w:rsidR="009F0C56" w:rsidRDefault="00653842">
      <w:pPr>
        <w:spacing w:before="280" w:after="280" w:line="240" w:lineRule="auto"/>
        <w:rPr>
          <w:rFonts w:ascii="Arial" w:eastAsia="Arial" w:hAnsi="Arial" w:cs="Arial"/>
        </w:rPr>
      </w:pPr>
      <w:r>
        <w:rPr>
          <w:noProof/>
        </w:rPr>
        <w:drawing>
          <wp:inline distT="0" distB="0" distL="0" distR="0" wp14:anchorId="3B3D12D0" wp14:editId="31077D0C">
            <wp:extent cx="5658606" cy="4077245"/>
            <wp:effectExtent l="0" t="0" r="0" b="0"/>
            <wp:docPr id="1874855866" name="image4.jpg" descr="No description available."/>
            <wp:cNvGraphicFramePr/>
            <a:graphic xmlns:a="http://schemas.openxmlformats.org/drawingml/2006/main">
              <a:graphicData uri="http://schemas.openxmlformats.org/drawingml/2006/picture">
                <pic:pic xmlns:pic="http://schemas.openxmlformats.org/drawingml/2006/picture">
                  <pic:nvPicPr>
                    <pic:cNvPr id="0" name="image4.jpg" descr="No description available."/>
                    <pic:cNvPicPr preferRelativeResize="0"/>
                  </pic:nvPicPr>
                  <pic:blipFill>
                    <a:blip r:embed="rId35"/>
                    <a:srcRect/>
                    <a:stretch>
                      <a:fillRect/>
                    </a:stretch>
                  </pic:blipFill>
                  <pic:spPr>
                    <a:xfrm>
                      <a:off x="0" y="0"/>
                      <a:ext cx="5658606" cy="4077245"/>
                    </a:xfrm>
                    <a:prstGeom prst="rect">
                      <a:avLst/>
                    </a:prstGeom>
                    <a:ln/>
                  </pic:spPr>
                </pic:pic>
              </a:graphicData>
            </a:graphic>
          </wp:inline>
        </w:drawing>
      </w:r>
    </w:p>
    <w:p w14:paraId="2BB34A26" w14:textId="77777777" w:rsidR="009F0C56" w:rsidRDefault="009F0C56">
      <w:pPr>
        <w:spacing w:before="280" w:after="280" w:line="240" w:lineRule="auto"/>
        <w:rPr>
          <w:rFonts w:ascii="Arial" w:eastAsia="Arial" w:hAnsi="Arial" w:cs="Arial"/>
        </w:rPr>
      </w:pPr>
      <w:bookmarkStart w:id="158" w:name="_heading=h.t8ejjjfb6k7y" w:colFirst="0" w:colLast="0"/>
      <w:bookmarkEnd w:id="158"/>
    </w:p>
    <w:p w14:paraId="183050F3" w14:textId="63FE3921" w:rsidR="009F0C56" w:rsidRDefault="00653842">
      <w:pPr>
        <w:spacing w:before="280" w:after="280" w:line="240" w:lineRule="auto"/>
        <w:rPr>
          <w:rFonts w:ascii="Arial" w:eastAsia="Arial" w:hAnsi="Arial" w:cs="Arial"/>
          <w:color w:val="262626"/>
        </w:rPr>
      </w:pPr>
      <w:r>
        <w:rPr>
          <w:rFonts w:ascii="Arial" w:eastAsia="Arial" w:hAnsi="Arial" w:cs="Arial"/>
          <w:color w:val="262626"/>
        </w:rPr>
        <w:t>These images actively work against this settler bricolage of realities, where Figures 23 and 23 depict Seminole and Miccosukee counter-narratives that reclaim the land as a site of Indigenous presence, memory, and future-building (Atelo Boron 2022). This is seen in Figure 23 through the Ah-Tah-Thi-Ki Museum in the Seminole Nation, which operates as an educational and cultural space that actively challenges settler definitions of land as requiring labour-driven transformation. Figure 24 shows the TigerTail C</w:t>
      </w:r>
      <w:r>
        <w:rPr>
          <w:rFonts w:ascii="Arial" w:eastAsia="Arial" w:hAnsi="Arial" w:cs="Arial"/>
          <w:color w:val="262626"/>
        </w:rPr>
        <w:t>lan Conservation of the Miccosukee Nation, which engages in direct ecological restoration and land protection</w:t>
      </w:r>
      <w:r>
        <w:rPr>
          <w:rFonts w:ascii="Arial" w:eastAsia="Arial" w:hAnsi="Arial" w:cs="Arial"/>
          <w:color w:val="262626"/>
        </w:rPr>
        <w:t xml:space="preserve"> through actively resisting settler encroachment into Everglades ecosystems and the protection of the natural wildlife. </w:t>
      </w:r>
      <w:r>
        <w:rPr>
          <w:color w:val="262626"/>
        </w:rPr>
        <w:t xml:space="preserve">     </w:t>
      </w:r>
      <w:r>
        <w:rPr>
          <w:rFonts w:ascii="Arial" w:eastAsia="Arial" w:hAnsi="Arial" w:cs="Arial"/>
          <w:color w:val="262626"/>
        </w:rPr>
        <w:t>Despite the fact that in Figure 24</w:t>
      </w:r>
      <w:r w:rsidR="00E40CD6">
        <w:rPr>
          <w:rFonts w:ascii="Arial" w:eastAsia="Arial" w:hAnsi="Arial" w:cs="Arial"/>
          <w:color w:val="262626"/>
        </w:rPr>
        <w:t>,</w:t>
      </w:r>
      <w:r>
        <w:rPr>
          <w:rFonts w:ascii="Arial" w:eastAsia="Arial" w:hAnsi="Arial" w:cs="Arial"/>
          <w:color w:val="262626"/>
        </w:rPr>
        <w:t xml:space="preserve"> the natural fauna of the palm trees is an invasive species </w:t>
      </w:r>
      <w:r w:rsidR="00E40CD6">
        <w:rPr>
          <w:rFonts w:ascii="Arial" w:eastAsia="Arial" w:hAnsi="Arial" w:cs="Arial"/>
          <w:color w:val="262626"/>
        </w:rPr>
        <w:t>in</w:t>
      </w:r>
      <w:r>
        <w:rPr>
          <w:rFonts w:ascii="Arial" w:eastAsia="Arial" w:hAnsi="Arial" w:cs="Arial"/>
          <w:color w:val="262626"/>
        </w:rPr>
        <w:t xml:space="preserve"> the Everglades, which was brought over by settlers, typically for aesthetic purposes. The Miccosukee have created active conservation efforts in fostering and looking after native animals that have been hurt by modern society, including roads, tourists, and waste. </w:t>
      </w:r>
    </w:p>
    <w:p w14:paraId="109E3626" w14:textId="39647BE6" w:rsidR="009F0C56" w:rsidRDefault="00653842">
      <w:pPr>
        <w:spacing w:before="280" w:after="280" w:line="240" w:lineRule="auto"/>
        <w:rPr>
          <w:rFonts w:ascii="Arial" w:eastAsia="Arial" w:hAnsi="Arial" w:cs="Arial"/>
          <w:color w:val="262626"/>
        </w:rPr>
      </w:pPr>
      <w:r>
        <w:rPr>
          <w:rFonts w:ascii="Arial" w:eastAsia="Arial" w:hAnsi="Arial" w:cs="Arial"/>
          <w:color w:val="262626"/>
        </w:rPr>
        <w:t xml:space="preserve">One act of conservation the Miccosukee have committed to is an invasive fishing day, where people from the local area and afar are invited to Miccosukee ancestral lands to fish for invasive species that are attacking local fish and fauna populations. Here, prizes and education programmes are offered to help educate about the damage that these non-Indigenous species do. These programs are internally </w:t>
      </w:r>
      <w:r>
        <w:rPr>
          <w:rFonts w:ascii="Arial" w:eastAsia="Arial" w:hAnsi="Arial" w:cs="Arial"/>
          <w:color w:val="262626"/>
        </w:rPr>
        <w:lastRenderedPageBreak/>
        <w:t xml:space="preserve">funded by the TigerTail clan and the Miccosukee nation to help breed and look after the Indigenous animals of the area that have been attacked by non-Indigenous species, whilst also ridding the Everglades of invasive species. This counters settler actions that have seen the introduction of these Invasive species as forms of pest control, for pets or </w:t>
      </w:r>
      <w:r w:rsidR="00E40CD6">
        <w:rPr>
          <w:rFonts w:ascii="Arial" w:eastAsia="Arial" w:hAnsi="Arial" w:cs="Arial"/>
          <w:color w:val="262626"/>
        </w:rPr>
        <w:t xml:space="preserve">for </w:t>
      </w:r>
      <w:r>
        <w:rPr>
          <w:rFonts w:ascii="Arial" w:eastAsia="Arial" w:hAnsi="Arial" w:cs="Arial"/>
          <w:color w:val="262626"/>
        </w:rPr>
        <w:t xml:space="preserve">agricultural means. </w:t>
      </w:r>
    </w:p>
    <w:p w14:paraId="2090084E" w14:textId="77777777"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Figure 25 at the Ah-Tah-Thi-Ki Museum presents an anti-colonial narrative that provides an immersive experience for Seminole, Miccosukee, settlers, and settler tourists to connect with the Everglades, evoking its pre-colonial existence. This act of resistance is embodied in the construction of chickee huts on ancestral land, affirming the ongoing presence of Indigenous nations and functioning as epistemic tools, creating a living archive of culture and place-based knowledge for future generations. Located i</w:t>
      </w:r>
      <w:r>
        <w:rPr>
          <w:rFonts w:ascii="Arial" w:eastAsia="Arial" w:hAnsi="Arial" w:cs="Arial"/>
          <w:color w:val="262626"/>
        </w:rPr>
        <w:t xml:space="preserve">n the museum’s walkway, Figure 25 serves both as a warning for tourists and an educational intervention. It teaches viewers that multiple ontologies exist and are valid, highlighting Elder knowledge as contemporary and essential. This challenges the settler perspective that knowledge must be legitimised through Western scientific frameworks, repositioning Indigenous epistemologies as foundational instead of supplementary. </w:t>
      </w:r>
    </w:p>
    <w:p w14:paraId="509B4A2A" w14:textId="77777777" w:rsidR="009F0C56" w:rsidRDefault="00653842">
      <w:pPr>
        <w:spacing w:before="280" w:after="280" w:line="240" w:lineRule="auto"/>
        <w:rPr>
          <w:rFonts w:ascii="Arial" w:eastAsia="Arial" w:hAnsi="Arial" w:cs="Arial"/>
          <w:color w:val="262626"/>
        </w:rPr>
      </w:pPr>
      <w:r>
        <w:rPr>
          <w:rFonts w:ascii="Arial" w:eastAsia="Arial" w:hAnsi="Arial" w:cs="Arial"/>
          <w:color w:val="262626"/>
        </w:rPr>
        <w:t xml:space="preserve">Figure 25: Warning sign in the Ah-Tah-Thi-Ki Museum Walkway (14/06/2023) </w:t>
      </w:r>
    </w:p>
    <w:p w14:paraId="7078FF14" w14:textId="77777777" w:rsidR="009F0C56" w:rsidRDefault="00653842">
      <w:pPr>
        <w:spacing w:before="280" w:after="280" w:line="240" w:lineRule="auto"/>
        <w:rPr>
          <w:rFonts w:ascii="Arial" w:eastAsia="Arial" w:hAnsi="Arial" w:cs="Arial"/>
          <w:color w:val="262626"/>
        </w:rPr>
      </w:pPr>
      <w:r>
        <w:rPr>
          <w:rFonts w:ascii="Arial" w:eastAsia="Arial" w:hAnsi="Arial" w:cs="Arial"/>
          <w:noProof/>
          <w:color w:val="262626"/>
        </w:rPr>
        <w:drawing>
          <wp:inline distT="0" distB="0" distL="0" distR="0" wp14:anchorId="0754F3C7" wp14:editId="6118D888">
            <wp:extent cx="5709462" cy="4282196"/>
            <wp:effectExtent l="0" t="0" r="0" b="0"/>
            <wp:docPr id="1874855867" name="image26.png" descr="A sign in the wood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6.png" descr="A sign in the woods&#10;&#10;AI-generated content may be incorrect."/>
                    <pic:cNvPicPr preferRelativeResize="0"/>
                  </pic:nvPicPr>
                  <pic:blipFill>
                    <a:blip r:embed="rId36"/>
                    <a:srcRect/>
                    <a:stretch>
                      <a:fillRect/>
                    </a:stretch>
                  </pic:blipFill>
                  <pic:spPr>
                    <a:xfrm>
                      <a:off x="0" y="0"/>
                      <a:ext cx="5709462" cy="4282196"/>
                    </a:xfrm>
                    <a:prstGeom prst="rect">
                      <a:avLst/>
                    </a:prstGeom>
                    <a:ln/>
                  </pic:spPr>
                </pic:pic>
              </a:graphicData>
            </a:graphic>
          </wp:inline>
        </w:drawing>
      </w:r>
    </w:p>
    <w:p w14:paraId="6CDE8997" w14:textId="77777777" w:rsidR="009F0C56" w:rsidRDefault="00653842">
      <w:pPr>
        <w:pBdr>
          <w:top w:val="nil"/>
          <w:left w:val="nil"/>
          <w:bottom w:val="nil"/>
          <w:right w:val="nil"/>
          <w:between w:val="nil"/>
        </w:pBdr>
        <w:spacing w:line="240" w:lineRule="auto"/>
        <w:rPr>
          <w:rFonts w:ascii="Arial" w:eastAsia="Arial" w:hAnsi="Arial" w:cs="Arial"/>
          <w:color w:val="262626"/>
        </w:rPr>
      </w:pPr>
      <w:bookmarkStart w:id="159" w:name="_heading=h.o1m0vc4ijr0q" w:colFirst="0" w:colLast="0"/>
      <w:bookmarkEnd w:id="159"/>
      <w:r>
        <w:rPr>
          <w:rFonts w:ascii="Arial" w:eastAsia="Arial" w:hAnsi="Arial" w:cs="Arial"/>
          <w:color w:val="262626"/>
        </w:rPr>
        <w:t>Moreover, Figure 25 counters settler narratives of primitivity by equating Seminole medicine with Western biomedical practices, undermining the colonial hierarchies that perceive settler science as universally dominant while viewing Indigenous medicine as outdated. As Daigle (2024) notes, such views are grounded in settler-</w:t>
      </w:r>
      <w:r>
        <w:rPr>
          <w:rFonts w:ascii="Arial" w:eastAsia="Arial" w:hAnsi="Arial" w:cs="Arial"/>
          <w:color w:val="262626"/>
        </w:rPr>
        <w:lastRenderedPageBreak/>
        <w:t>capitalist ideologies that simplify land to mere resources through ownership and extraction. In contrast, Indigenous ontologies recognise land as a relational entity, inherently rich in knowledge, healing, and sustenance, valuable without the need for settler-imposed transformation. As Daigle further explains (2024), Indigenous epistemologies interrogate capitalist spatial divisions and the ontological principles of place that support colonial modernity. Through the “interconnected scales of capitalist accu</w:t>
      </w:r>
      <w:r>
        <w:rPr>
          <w:rFonts w:ascii="Arial" w:eastAsia="Arial" w:hAnsi="Arial" w:cs="Arial"/>
          <w:color w:val="262626"/>
        </w:rPr>
        <w:t>mulation, problematizing state-colonial boundaries and borders, and grappling with the ontological underpinnings of place” (Daigle 2024. Pg 2). These images (Figures 23, 24, and 25) also illuminate how Indigenous understandings of land resist settler binaries of wilderness versus civilisation. Instead, Seminole and Miccosukee land-based knowledge emphasises reciprocity, spiritual interconnection, and ecological balance (Cordova, 2007). Hence, by forcing settlers and tourists to confront these historical dis</w:t>
      </w:r>
      <w:r>
        <w:rPr>
          <w:rFonts w:ascii="Arial" w:eastAsia="Arial" w:hAnsi="Arial" w:cs="Arial"/>
          <w:color w:val="262626"/>
        </w:rPr>
        <w:t>courses, these Indigenous sites expose the colonial erasure embedded in dominant depictions of American “progress” (Veracini, 2021). Where such Indigenous interventions interrupt the racialised capitalist mantras that land must have economic utility to hold value. Rather, they reaffirm land’s intrinsic worth as a living, co-constitutive presence (Atleo &amp; Boron, 2022).</w:t>
      </w:r>
    </w:p>
    <w:p w14:paraId="30515247" w14:textId="18A417FF"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Yet these efforts also highlight the precarious position Indigenous communities are forced into</w:t>
      </w:r>
      <w:r w:rsidR="00E40CD6">
        <w:rPr>
          <w:rFonts w:ascii="Arial" w:eastAsia="Arial" w:hAnsi="Arial" w:cs="Arial"/>
          <w:color w:val="262626"/>
        </w:rPr>
        <w:t>,</w:t>
      </w:r>
      <w:r>
        <w:rPr>
          <w:rFonts w:ascii="Arial" w:eastAsia="Arial" w:hAnsi="Arial" w:cs="Arial"/>
          <w:color w:val="262626"/>
        </w:rPr>
        <w:t xml:space="preserve"> navigating settler-capitalist infrastructures to sustain their sovereignty. Surviving in a hyper-capitalist world demands monetary capital for cultural revitalisation: language classes, museums, legal defence, and education initiatives. As Gibson-Graham (2006) argues, the economy must be understood beyond commodification to include unpaid and relational labour, such as intergenerational knowledge transmission and ceremonial practices (</w:t>
      </w:r>
      <w:r w:rsidR="00E40CD6">
        <w:rPr>
          <w:rFonts w:ascii="Arial" w:eastAsia="Arial" w:hAnsi="Arial" w:cs="Arial"/>
          <w:color w:val="262626"/>
        </w:rPr>
        <w:t>Gibson-Graham</w:t>
      </w:r>
      <w:r>
        <w:rPr>
          <w:rFonts w:ascii="Arial" w:eastAsia="Arial" w:hAnsi="Arial" w:cs="Arial"/>
          <w:color w:val="262626"/>
        </w:rPr>
        <w:t xml:space="preserve"> 2008). However, this necessity for economic adaptation often brings Indigenous nations into settler frameworks that commodify what was once freely shared. For the Seminole and Miccosukee, entering settler systems, whether through court battles, tourism, or educational institutions, requires fluency in settler laws, languages, and logics. The 1956 Indian Termination Policy exemplifies this, as Seminole and Miccosukee leaders were compelled to engage settler courts to gain federal recognition (Osburn, 2021),</w:t>
      </w:r>
      <w:r>
        <w:rPr>
          <w:rFonts w:ascii="Arial" w:eastAsia="Arial" w:hAnsi="Arial" w:cs="Arial"/>
          <w:color w:val="262626"/>
        </w:rPr>
        <w:t xml:space="preserve"> learning to use the coloniser’s tools to defend their right to exist.</w:t>
      </w:r>
    </w:p>
    <w:p w14:paraId="3ACE4157" w14:textId="5F0FE220"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 xml:space="preserve">As Dorries et al. (2022) argue, “settler colonial politics of dispossession fused with the legal architecture of the settler state to produce a </w:t>
      </w:r>
      <w:r w:rsidR="00E40CD6">
        <w:rPr>
          <w:rFonts w:ascii="Arial" w:eastAsia="Arial" w:hAnsi="Arial" w:cs="Arial"/>
          <w:color w:val="262626"/>
        </w:rPr>
        <w:t>racialised</w:t>
      </w:r>
      <w:r>
        <w:rPr>
          <w:rFonts w:ascii="Arial" w:eastAsia="Arial" w:hAnsi="Arial" w:cs="Arial"/>
          <w:color w:val="262626"/>
        </w:rPr>
        <w:t xml:space="preserve"> system of property ownership, designed not only to facilitate the theft of Indigenous land, and the establishment of a settler polity, but also to enact a massive transfer of wealth” (Pg. 267). This critique reveals settler colonialism as not merely a system of territorial control but rather a capitalist formation that </w:t>
      </w:r>
      <w:r w:rsidR="00E40CD6">
        <w:rPr>
          <w:rFonts w:ascii="Arial" w:eastAsia="Arial" w:hAnsi="Arial" w:cs="Arial"/>
          <w:color w:val="262626"/>
        </w:rPr>
        <w:t>racialises</w:t>
      </w:r>
      <w:r>
        <w:rPr>
          <w:rFonts w:ascii="Arial" w:eastAsia="Arial" w:hAnsi="Arial" w:cs="Arial"/>
          <w:color w:val="262626"/>
        </w:rPr>
        <w:t xml:space="preserve"> Indigenous land and bodies to support settler accumulation. For the Seminole and Miccosukee, engaging in economic systems can be vital for cultural survival, yet such involvement often reinforces the settler capitalist order. In </w:t>
      </w:r>
      <w:r w:rsidR="00E40CD6">
        <w:rPr>
          <w:rFonts w:ascii="Arial" w:eastAsia="Arial" w:hAnsi="Arial" w:cs="Arial"/>
          <w:color w:val="262626"/>
        </w:rPr>
        <w:t>these</w:t>
      </w:r>
      <w:r>
        <w:rPr>
          <w:rFonts w:ascii="Arial" w:eastAsia="Arial" w:hAnsi="Arial" w:cs="Arial"/>
          <w:color w:val="262626"/>
        </w:rPr>
        <w:t xml:space="preserve"> settler legal and economic frameworks</w:t>
      </w:r>
      <w:r w:rsidR="00E40CD6">
        <w:rPr>
          <w:rFonts w:ascii="Arial" w:eastAsia="Arial" w:hAnsi="Arial" w:cs="Arial"/>
          <w:color w:val="262626"/>
        </w:rPr>
        <w:t>, Indigenous nations are placed</w:t>
      </w:r>
      <w:r>
        <w:rPr>
          <w:rFonts w:ascii="Arial" w:eastAsia="Arial" w:hAnsi="Arial" w:cs="Arial"/>
          <w:color w:val="262626"/>
        </w:rPr>
        <w:t xml:space="preserve"> in a contradiction: to uphold their sovereignty, they must navigate the very structures intended to erase them (Daigle 2024). Also, communal knowledge becomes commodified, and reciprocal land stewardship is subject to settler environmental regulations and policy. </w:t>
      </w:r>
    </w:p>
    <w:p w14:paraId="15AD6E64" w14:textId="57523115"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 xml:space="preserve">In this, settler capitalism exploits land as it reshapes how land and knowledge are perceived, accessed, and valued. Thus, the resistance of the Seminole and Miccosukee constantly negotiates this tension between cultural continuity and settler assimilation. This is highlighted by Figures 23 and 24, which do not merely resist </w:t>
      </w:r>
      <w:r>
        <w:rPr>
          <w:rFonts w:ascii="Arial" w:eastAsia="Arial" w:hAnsi="Arial" w:cs="Arial"/>
          <w:color w:val="262626"/>
        </w:rPr>
        <w:lastRenderedPageBreak/>
        <w:t>destruction; they actively build decolonial futures anchored in Indigenous land-based governance. As Reed et al</w:t>
      </w:r>
      <w:r w:rsidR="00E40CD6">
        <w:rPr>
          <w:rFonts w:ascii="Arial" w:eastAsia="Arial" w:hAnsi="Arial" w:cs="Arial"/>
          <w:color w:val="262626"/>
        </w:rPr>
        <w:t>.</w:t>
      </w:r>
      <w:r>
        <w:rPr>
          <w:rFonts w:ascii="Arial" w:eastAsia="Arial" w:hAnsi="Arial" w:cs="Arial"/>
          <w:color w:val="262626"/>
        </w:rPr>
        <w:t xml:space="preserve"> (2021) </w:t>
      </w:r>
      <w:r w:rsidR="00E40CD6">
        <w:rPr>
          <w:rFonts w:ascii="Arial" w:eastAsia="Arial" w:hAnsi="Arial" w:cs="Arial"/>
          <w:color w:val="262626"/>
        </w:rPr>
        <w:t>observe</w:t>
      </w:r>
      <w:r>
        <w:rPr>
          <w:rFonts w:ascii="Arial" w:eastAsia="Arial" w:hAnsi="Arial" w:cs="Arial"/>
          <w:color w:val="262626"/>
        </w:rPr>
        <w:t xml:space="preserve">, healing the land equates to healing the people: “One must also heal the land because we are a part of the land, and the land is us” (p. 240). Through reclaiming land and cultural practices, the Seminole and Miccosukee's resistance </w:t>
      </w:r>
      <w:r w:rsidR="00E40CD6">
        <w:rPr>
          <w:rFonts w:ascii="Arial" w:eastAsia="Arial" w:hAnsi="Arial" w:cs="Arial"/>
          <w:color w:val="262626"/>
        </w:rPr>
        <w:t>disrupts</w:t>
      </w:r>
      <w:r>
        <w:rPr>
          <w:rFonts w:ascii="Arial" w:eastAsia="Arial" w:hAnsi="Arial" w:cs="Arial"/>
          <w:color w:val="262626"/>
        </w:rPr>
        <w:t xml:space="preserve"> settler colonial reasoning that views land as lifeless property and history as a settler accomplishment. Reed et al</w:t>
      </w:r>
      <w:r w:rsidR="00E40CD6">
        <w:rPr>
          <w:rFonts w:ascii="Arial" w:eastAsia="Arial" w:hAnsi="Arial" w:cs="Arial"/>
          <w:color w:val="262626"/>
        </w:rPr>
        <w:t>.</w:t>
      </w:r>
      <w:r>
        <w:rPr>
          <w:rFonts w:ascii="Arial" w:eastAsia="Arial" w:hAnsi="Arial" w:cs="Arial"/>
          <w:color w:val="262626"/>
        </w:rPr>
        <w:t xml:space="preserve"> (2022) further </w:t>
      </w:r>
      <w:r w:rsidR="00E40CD6">
        <w:rPr>
          <w:rFonts w:ascii="Arial" w:eastAsia="Arial" w:hAnsi="Arial" w:cs="Arial"/>
          <w:color w:val="262626"/>
        </w:rPr>
        <w:t>emphasise</w:t>
      </w:r>
      <w:r>
        <w:rPr>
          <w:rFonts w:ascii="Arial" w:eastAsia="Arial" w:hAnsi="Arial" w:cs="Arial"/>
          <w:color w:val="262626"/>
        </w:rPr>
        <w:t xml:space="preserve"> that the settler state functions through “relations of genocide” that appear in violent, anthropocentric attitudes towards land (p. 238). Thus, preserving these Indigenous-controlled spaces dismantles settler narratives and challenges the myth that the U.S. was founded on progress rather than dispossession. In this way, Figures 4 and 5 reveal that Indigenous resistance is not just reactive but also creative. It does not simply counter-settler destruction; it fosters a future where Seminole and Miccosukee s</w:t>
      </w:r>
      <w:r>
        <w:rPr>
          <w:rFonts w:ascii="Arial" w:eastAsia="Arial" w:hAnsi="Arial" w:cs="Arial"/>
          <w:color w:val="262626"/>
        </w:rPr>
        <w:t>overeignty, culture, and cosmology flourish. In doing so, they reject the settler state’s claims over the land, affirming instead that the land is and has always been a living repository of Indigenous knowledge, identity, and future potential (Waters, 2004; Norton, 1979).</w:t>
      </w:r>
    </w:p>
    <w:p w14:paraId="3970A641" w14:textId="77777777" w:rsidR="009F0C56" w:rsidRDefault="009F0C56">
      <w:pPr>
        <w:rPr>
          <w:rFonts w:ascii="Arial" w:eastAsia="Arial" w:hAnsi="Arial" w:cs="Arial"/>
          <w:color w:val="262626"/>
        </w:rPr>
      </w:pPr>
    </w:p>
    <w:p w14:paraId="31A6E0BC" w14:textId="77777777" w:rsidR="009F0C56" w:rsidRDefault="00653842">
      <w:pPr>
        <w:pStyle w:val="Heading2"/>
        <w:rPr>
          <w:rFonts w:ascii="Arial" w:eastAsia="Arial" w:hAnsi="Arial" w:cs="Arial"/>
        </w:rPr>
      </w:pPr>
      <w:bookmarkStart w:id="160" w:name="_Toc240966062"/>
      <w:r>
        <w:rPr>
          <w:rFonts w:ascii="Arial" w:eastAsia="Arial" w:hAnsi="Arial" w:cs="Arial"/>
        </w:rPr>
        <w:t>9.10 Settler Colonial Transformation of Land and the Erasure of Seminole and Miccosukee Presence</w:t>
      </w:r>
      <w:bookmarkEnd w:id="160"/>
    </w:p>
    <w:p w14:paraId="6A084CF5" w14:textId="174EF66A" w:rsidR="009F0C56" w:rsidRDefault="00653842">
      <w:pPr>
        <w:pBdr>
          <w:top w:val="nil"/>
          <w:left w:val="nil"/>
          <w:bottom w:val="nil"/>
          <w:right w:val="nil"/>
          <w:between w:val="nil"/>
        </w:pBdr>
        <w:spacing w:line="240" w:lineRule="auto"/>
        <w:rPr>
          <w:rFonts w:ascii="Arial" w:eastAsia="Arial" w:hAnsi="Arial" w:cs="Arial"/>
          <w:color w:val="262626"/>
        </w:rPr>
      </w:pPr>
      <w:bookmarkStart w:id="161" w:name="_heading=h.6zbcin87us6p" w:colFirst="0" w:colLast="0"/>
      <w:bookmarkEnd w:id="161"/>
      <w:r>
        <w:rPr>
          <w:rFonts w:ascii="Arial" w:eastAsia="Arial" w:hAnsi="Arial" w:cs="Arial"/>
          <w:color w:val="262626"/>
        </w:rPr>
        <w:t>Building on the study by Dorries, Hugill, and Tomiak (2022) about colonial urbanism, this section examines how Indigenous representations are not just modified in settler environments but are instead erased, displaced, and assimilated into settler capitalist structures. Dorries et al. argue that: “settler colonial urbanism. It asserts that significant insights can be drawn from a robust engagement with this literature. The racial capitalism framework notably provides an understanding of how racialisation an</w:t>
      </w:r>
      <w:r>
        <w:rPr>
          <w:rFonts w:ascii="Arial" w:eastAsia="Arial" w:hAnsi="Arial" w:cs="Arial"/>
          <w:color w:val="262626"/>
        </w:rPr>
        <w:t>d racism shape urban space creation. By connecting settler colonialism and racial capitalism, scholars can better comprehend how the persistent importance of settler colonial relations intersects with other forms fundamental to urban space production, both on this continent and beyond” (Dorries et al</w:t>
      </w:r>
      <w:r w:rsidR="00E40CD6">
        <w:rPr>
          <w:rFonts w:ascii="Arial" w:eastAsia="Arial" w:hAnsi="Arial" w:cs="Arial"/>
          <w:color w:val="262626"/>
        </w:rPr>
        <w:t>.</w:t>
      </w:r>
      <w:r>
        <w:rPr>
          <w:rFonts w:ascii="Arial" w:eastAsia="Arial" w:hAnsi="Arial" w:cs="Arial"/>
          <w:color w:val="262626"/>
        </w:rPr>
        <w:t xml:space="preserve"> 2022, Pg. 264). </w:t>
      </w:r>
    </w:p>
    <w:p w14:paraId="5B7D49D7" w14:textId="77777777"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Although the authors write from Winnipeg's context, their theoretical approach is highly applicable to South Florida, particularly in grasping how Miami’s urban development functions within a framework of erasure and commodification. As previously discussed, the transformation of the Everglades and the implementation of settler conservation principles have undermined the authority and ecological relationships maintained by the Seminole and Miccosukee people. However, the Figures here highlight how the redev</w:t>
      </w:r>
      <w:r>
        <w:rPr>
          <w:rFonts w:ascii="Arial" w:eastAsia="Arial" w:hAnsi="Arial" w:cs="Arial"/>
          <w:color w:val="262626"/>
        </w:rPr>
        <w:t xml:space="preserve">elopment of Miami illustrates how settler society transforms land into a discernible, profitable urban environment through a racialised and dispossessive method. </w:t>
      </w:r>
    </w:p>
    <w:p w14:paraId="70869A17" w14:textId="13867160"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 xml:space="preserve">In this framework, Indigenous presence is not merely erased, but redefined in ways compatible with settler imaginations. As Dorries et al. (2022, pp. 265–266) explain, “disregard for Indigenous political authority was not incidental to the making of the property regime; it was a key part of its logic. Moreover, claiming Indigenous lands without their consent or consultation has always </w:t>
      </w:r>
      <w:r w:rsidR="00E40CD6">
        <w:rPr>
          <w:rFonts w:ascii="Arial" w:eastAsia="Arial" w:hAnsi="Arial" w:cs="Arial"/>
          <w:color w:val="262626"/>
        </w:rPr>
        <w:t>characterised</w:t>
      </w:r>
      <w:r>
        <w:rPr>
          <w:rFonts w:ascii="Arial" w:eastAsia="Arial" w:hAnsi="Arial" w:cs="Arial"/>
          <w:color w:val="262626"/>
        </w:rPr>
        <w:t xml:space="preserve"> the establishment of settler colonial property relations” (Dorries et al</w:t>
      </w:r>
      <w:r w:rsidR="00E40CD6">
        <w:rPr>
          <w:rFonts w:ascii="Arial" w:eastAsia="Arial" w:hAnsi="Arial" w:cs="Arial"/>
          <w:color w:val="262626"/>
        </w:rPr>
        <w:t>.</w:t>
      </w:r>
      <w:r>
        <w:rPr>
          <w:rFonts w:ascii="Arial" w:eastAsia="Arial" w:hAnsi="Arial" w:cs="Arial"/>
          <w:color w:val="262626"/>
        </w:rPr>
        <w:t xml:space="preserve"> 2022, Pg. 265-266). In this, Miami is transformed from ancestral sites, like the Miami Circle (Figure 26), into curated historical markers within a commercial urban setting. Although these sites are </w:t>
      </w:r>
      <w:r>
        <w:rPr>
          <w:rFonts w:ascii="Arial" w:eastAsia="Arial" w:hAnsi="Arial" w:cs="Arial"/>
          <w:color w:val="262626"/>
        </w:rPr>
        <w:lastRenderedPageBreak/>
        <w:t xml:space="preserve">presented as “cared for,” they are ontologically disconnected from Indigenous stewardship and instead become part of the capitalist spectacle of heritage tourism. </w:t>
      </w:r>
      <w:r w:rsidR="00E40CD6">
        <w:rPr>
          <w:rFonts w:ascii="Arial" w:eastAsia="Arial" w:hAnsi="Arial" w:cs="Arial"/>
          <w:color w:val="262626"/>
        </w:rPr>
        <w:t>Through</w:t>
      </w:r>
      <w:r>
        <w:rPr>
          <w:rFonts w:ascii="Arial" w:eastAsia="Arial" w:hAnsi="Arial" w:cs="Arial"/>
          <w:color w:val="262626"/>
        </w:rPr>
        <w:t xml:space="preserve"> cognitive Indigenous displacement in the view of the settler, they turn into passive displays for settler enjoyment, losing their role as relational modes of Indigenous knowledge, instead becoming depoliticised symbols of a past “authentic” culture (Aldred 2000). This concept builds on McLaren’s (2014) work on “last-chance tourism,” where settlers engage with supposedly disappearing worlds while concurrently supporting the systems that threaten them. This dynamic renders Indigenous land relations invisible</w:t>
      </w:r>
      <w:r>
        <w:rPr>
          <w:rFonts w:ascii="Arial" w:eastAsia="Arial" w:hAnsi="Arial" w:cs="Arial"/>
          <w:color w:val="262626"/>
        </w:rPr>
        <w:t xml:space="preserve"> in everyday urban environments, transforming vibrant cosmologies into abstract cultural symbols (Aldred 2000). </w:t>
      </w:r>
    </w:p>
    <w:p w14:paraId="76D24E27" w14:textId="79F07C72"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However, Indigenous knowledge holders emphasise that land is not merely a backdrop for identity but a living ontological partner. Neeganagwedgin (2020, p. 407) illustrates this by stating, “Ancestral lands and Indigenous Elders and Knowledge Holders are intricately linked, and are vital for the survival of Indigenous communities. Many Indigenous individuals venture onto their lands for guidance, healing, and education.” Yet, within capitalist urbanism, this relationality is broken, with settler capitalist f</w:t>
      </w:r>
      <w:r>
        <w:rPr>
          <w:rFonts w:ascii="Arial" w:eastAsia="Arial" w:hAnsi="Arial" w:cs="Arial"/>
          <w:color w:val="262626"/>
        </w:rPr>
        <w:t>rameworks reducing land to mere property</w:t>
      </w:r>
      <w:r>
        <w:rPr>
          <w:rFonts w:ascii="Arial" w:eastAsia="Arial" w:hAnsi="Arial" w:cs="Arial"/>
          <w:color w:val="262626"/>
        </w:rPr>
        <w:t xml:space="preserve"> and transforming Indigenous culture </w:t>
      </w:r>
      <w:r w:rsidR="00E40CD6">
        <w:rPr>
          <w:rFonts w:ascii="Arial" w:eastAsia="Arial" w:hAnsi="Arial" w:cs="Arial"/>
          <w:color w:val="262626"/>
        </w:rPr>
        <w:t>into</w:t>
      </w:r>
      <w:r>
        <w:rPr>
          <w:rFonts w:ascii="Arial" w:eastAsia="Arial" w:hAnsi="Arial" w:cs="Arial"/>
          <w:color w:val="262626"/>
        </w:rPr>
        <w:t xml:space="preserve"> a purchasable object</w:t>
      </w:r>
      <w:r w:rsidR="00E40CD6">
        <w:rPr>
          <w:rFonts w:ascii="Arial" w:eastAsia="Arial" w:hAnsi="Arial" w:cs="Arial"/>
          <w:color w:val="262626"/>
        </w:rPr>
        <w:t>,</w:t>
      </w:r>
      <w:r>
        <w:rPr>
          <w:rFonts w:ascii="Arial" w:eastAsia="Arial" w:hAnsi="Arial" w:cs="Arial"/>
          <w:color w:val="262626"/>
        </w:rPr>
        <w:t xml:space="preserve"> as seen through the commodification chapter with the books and the dreamcatcher. As Deloria (2023, p. 21) articulates, the settler state sustains its legitimacy by portraying Indigenous peoples as the ‘Indians of the American imagination’, where they are a fixed, nostalgic presence shaped for settler convenience and comfort, rather than for cultural appreciation.</w:t>
      </w:r>
    </w:p>
    <w:p w14:paraId="7D0D1A49" w14:textId="09A606DD"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 xml:space="preserve">In this, Figure 26 below will be analysed as a visual marker for settler colonial capitalism. As a system that acknowledges Indigenous presence while structurally erasing Indigenous peoples' political agency and relational land governance (Daigle 2024). Thus, these representations are understood not as benign but central to the settler state’s continued hold on land. Here, Dorries et al.’s (2022) </w:t>
      </w:r>
      <w:r w:rsidR="00E40CD6">
        <w:rPr>
          <w:rFonts w:ascii="Arial" w:eastAsia="Arial" w:hAnsi="Arial" w:cs="Arial"/>
          <w:color w:val="262626"/>
        </w:rPr>
        <w:t>call</w:t>
      </w:r>
      <w:r>
        <w:rPr>
          <w:rFonts w:ascii="Arial" w:eastAsia="Arial" w:hAnsi="Arial" w:cs="Arial"/>
          <w:color w:val="262626"/>
        </w:rPr>
        <w:t xml:space="preserve"> for integrating racial capitalism and settler colonialism will become essential in the following analysis. Through this intersectional critique, this section of analysis will articulate how South Florida’s built environment functions not simply as a city, but as a racialised settler apparatus where erasure is infrastructural, symbolic, and political.</w:t>
      </w:r>
    </w:p>
    <w:p w14:paraId="7AB666EA" w14:textId="77777777" w:rsidR="009F0C56" w:rsidRDefault="009F0C56">
      <w:pPr>
        <w:pBdr>
          <w:top w:val="nil"/>
          <w:left w:val="nil"/>
          <w:bottom w:val="nil"/>
          <w:right w:val="nil"/>
          <w:between w:val="nil"/>
        </w:pBdr>
        <w:spacing w:line="240" w:lineRule="auto"/>
        <w:rPr>
          <w:rFonts w:ascii="Arial" w:eastAsia="Arial" w:hAnsi="Arial" w:cs="Arial"/>
          <w:color w:val="262626"/>
        </w:rPr>
      </w:pPr>
    </w:p>
    <w:p w14:paraId="42971DB6" w14:textId="77777777" w:rsidR="009F0C56" w:rsidRDefault="009F0C56">
      <w:pPr>
        <w:pBdr>
          <w:top w:val="nil"/>
          <w:left w:val="nil"/>
          <w:bottom w:val="nil"/>
          <w:right w:val="nil"/>
          <w:between w:val="nil"/>
        </w:pBdr>
        <w:spacing w:line="240" w:lineRule="auto"/>
        <w:rPr>
          <w:rFonts w:ascii="Arial" w:eastAsia="Arial" w:hAnsi="Arial" w:cs="Arial"/>
          <w:color w:val="262626"/>
        </w:rPr>
      </w:pPr>
    </w:p>
    <w:p w14:paraId="3A5BAEF3" w14:textId="77777777" w:rsidR="009F0C56" w:rsidRDefault="009F0C56">
      <w:pPr>
        <w:rPr>
          <w:color w:val="262626"/>
        </w:rPr>
      </w:pPr>
    </w:p>
    <w:p w14:paraId="6A538654" w14:textId="77777777" w:rsidR="009F0C56" w:rsidRDefault="009F0C56">
      <w:pPr>
        <w:rPr>
          <w:color w:val="262626"/>
        </w:rPr>
      </w:pPr>
    </w:p>
    <w:p w14:paraId="21552D7E" w14:textId="77777777" w:rsidR="009F0C56" w:rsidRDefault="009F0C56">
      <w:pPr>
        <w:rPr>
          <w:color w:val="262626"/>
        </w:rPr>
      </w:pPr>
    </w:p>
    <w:p w14:paraId="5BBF009B" w14:textId="77777777" w:rsidR="009F0C56" w:rsidRDefault="009F0C56">
      <w:pPr>
        <w:rPr>
          <w:color w:val="262626"/>
        </w:rPr>
      </w:pPr>
    </w:p>
    <w:p w14:paraId="49871F3D" w14:textId="77777777" w:rsidR="009F0C56" w:rsidRDefault="009F0C56">
      <w:pPr>
        <w:rPr>
          <w:color w:val="262626"/>
        </w:rPr>
      </w:pPr>
    </w:p>
    <w:p w14:paraId="5FC63456" w14:textId="77777777" w:rsidR="009F0C56" w:rsidRDefault="009F0C56">
      <w:pPr>
        <w:rPr>
          <w:color w:val="262626"/>
        </w:rPr>
      </w:pPr>
    </w:p>
    <w:p w14:paraId="51D2A487" w14:textId="77777777" w:rsidR="009F0C56" w:rsidRDefault="009F0C56">
      <w:pPr>
        <w:rPr>
          <w:color w:val="262626"/>
        </w:rPr>
      </w:pPr>
    </w:p>
    <w:p w14:paraId="18FEAE5B" w14:textId="77777777" w:rsidR="009F0C56" w:rsidRDefault="00653842">
      <w:pPr>
        <w:rPr>
          <w:color w:val="262626"/>
        </w:rPr>
      </w:pPr>
      <w:r>
        <w:rPr>
          <w:color w:val="262626"/>
        </w:rPr>
        <w:lastRenderedPageBreak/>
        <w:t>Figure 26: Miami Circle, once a sacred Indigenous site, now a settler urban space (11/07/2023)</w:t>
      </w:r>
    </w:p>
    <w:p w14:paraId="7D738E54" w14:textId="77777777" w:rsidR="009F0C56" w:rsidRDefault="009F0C56">
      <w:pPr>
        <w:pBdr>
          <w:top w:val="nil"/>
          <w:left w:val="nil"/>
          <w:bottom w:val="nil"/>
          <w:right w:val="nil"/>
          <w:between w:val="nil"/>
        </w:pBdr>
        <w:spacing w:line="240" w:lineRule="auto"/>
        <w:rPr>
          <w:rFonts w:ascii="Arial" w:eastAsia="Arial" w:hAnsi="Arial" w:cs="Arial"/>
          <w:color w:val="262626"/>
        </w:rPr>
      </w:pPr>
    </w:p>
    <w:p w14:paraId="55283256" w14:textId="77777777" w:rsidR="009F0C56" w:rsidRDefault="00653842">
      <w:pPr>
        <w:spacing w:before="280" w:after="280" w:line="240" w:lineRule="auto"/>
        <w:rPr>
          <w:rFonts w:ascii="Arial" w:eastAsia="Arial" w:hAnsi="Arial" w:cs="Arial"/>
          <w:color w:val="262626"/>
          <w:sz w:val="27"/>
          <w:szCs w:val="27"/>
        </w:rPr>
      </w:pPr>
      <w:r>
        <w:rPr>
          <w:noProof/>
          <w:color w:val="262626"/>
        </w:rPr>
        <w:drawing>
          <wp:inline distT="0" distB="0" distL="0" distR="0" wp14:anchorId="1137BEF0" wp14:editId="22A4B563">
            <wp:extent cx="5519243" cy="3734540"/>
            <wp:effectExtent l="0" t="0" r="0" b="0"/>
            <wp:docPr id="1874855868" name="image28.png" descr="A grass field with trees and buildings in the background  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8.png" descr="A grass field with trees and buildings in the background  AI-generated content may be incorrect."/>
                    <pic:cNvPicPr preferRelativeResize="0"/>
                  </pic:nvPicPr>
                  <pic:blipFill>
                    <a:blip r:embed="rId37"/>
                    <a:srcRect/>
                    <a:stretch>
                      <a:fillRect/>
                    </a:stretch>
                  </pic:blipFill>
                  <pic:spPr>
                    <a:xfrm>
                      <a:off x="0" y="0"/>
                      <a:ext cx="5519243" cy="3734540"/>
                    </a:xfrm>
                    <a:prstGeom prst="rect">
                      <a:avLst/>
                    </a:prstGeom>
                    <a:ln/>
                  </pic:spPr>
                </pic:pic>
              </a:graphicData>
            </a:graphic>
          </wp:inline>
        </w:drawing>
      </w:r>
    </w:p>
    <w:p w14:paraId="021FF6F8" w14:textId="77777777" w:rsidR="009F0C56" w:rsidRDefault="00653842">
      <w:pPr>
        <w:spacing w:before="280" w:after="280" w:line="240" w:lineRule="auto"/>
        <w:rPr>
          <w:rFonts w:ascii="Arial" w:eastAsia="Arial" w:hAnsi="Arial" w:cs="Arial"/>
          <w:color w:val="262626"/>
        </w:rPr>
      </w:pPr>
      <w:bookmarkStart w:id="162" w:name="_heading=h.rn69qt5abtjv" w:colFirst="0" w:colLast="0"/>
      <w:bookmarkEnd w:id="162"/>
      <w:r>
        <w:rPr>
          <w:rFonts w:ascii="Arial" w:eastAsia="Arial" w:hAnsi="Arial" w:cs="Arial"/>
          <w:color w:val="262626"/>
        </w:rPr>
        <w:t>Figure 26 shows Miami Circle, a once significant Indigenous site in South Florida, but now a settler urban site. In contemporary Miami, the land no longer resembles the ancestral grounds of the Seminole or Miccosukee; instead, it has been transformed into a space dominated by high-rise buildings, offices, and ports for private yachts. The only remaining indications of its Indigenous history are plaques referencing the historical significance of the area for the Seminole, Miccosukee, and Tequesta, as well as</w:t>
      </w:r>
      <w:r>
        <w:rPr>
          <w:rFonts w:ascii="Arial" w:eastAsia="Arial" w:hAnsi="Arial" w:cs="Arial"/>
          <w:color w:val="262626"/>
        </w:rPr>
        <w:t xml:space="preserve"> Settler “Indian” statues, which were strategically placed in tobacco shops and other commercial spaces and discussed throughout the previous chapters. </w:t>
      </w:r>
    </w:p>
    <w:p w14:paraId="1F5246E3" w14:textId="77777777" w:rsidR="009F0C56" w:rsidRDefault="009F0C56">
      <w:pPr>
        <w:spacing w:before="280" w:after="280" w:line="240" w:lineRule="auto"/>
        <w:rPr>
          <w:rFonts w:ascii="Arial" w:eastAsia="Arial" w:hAnsi="Arial" w:cs="Arial"/>
          <w:color w:val="262626"/>
        </w:rPr>
      </w:pPr>
    </w:p>
    <w:p w14:paraId="32762E30" w14:textId="77777777" w:rsidR="009F0C56" w:rsidRDefault="009F0C56">
      <w:pPr>
        <w:spacing w:before="280" w:after="280" w:line="240" w:lineRule="auto"/>
        <w:rPr>
          <w:rFonts w:ascii="Arial" w:eastAsia="Arial" w:hAnsi="Arial" w:cs="Arial"/>
          <w:color w:val="262626"/>
        </w:rPr>
      </w:pPr>
    </w:p>
    <w:p w14:paraId="7AD6A8FF" w14:textId="77777777" w:rsidR="009F0C56" w:rsidRDefault="009F0C56">
      <w:pPr>
        <w:spacing w:before="280" w:after="280" w:line="240" w:lineRule="auto"/>
        <w:rPr>
          <w:rFonts w:ascii="Arial" w:eastAsia="Arial" w:hAnsi="Arial" w:cs="Arial"/>
          <w:color w:val="262626"/>
        </w:rPr>
      </w:pPr>
    </w:p>
    <w:p w14:paraId="181E3C5F" w14:textId="77777777" w:rsidR="009F0C56" w:rsidRDefault="009F0C56">
      <w:pPr>
        <w:spacing w:before="280" w:after="280" w:line="240" w:lineRule="auto"/>
        <w:rPr>
          <w:rFonts w:ascii="Arial" w:eastAsia="Arial" w:hAnsi="Arial" w:cs="Arial"/>
          <w:color w:val="262626"/>
        </w:rPr>
      </w:pPr>
    </w:p>
    <w:p w14:paraId="5AFEB432" w14:textId="77777777" w:rsidR="009F0C56" w:rsidRDefault="009F0C56">
      <w:pPr>
        <w:spacing w:before="280" w:after="280" w:line="240" w:lineRule="auto"/>
        <w:rPr>
          <w:rFonts w:ascii="Arial" w:eastAsia="Arial" w:hAnsi="Arial" w:cs="Arial"/>
          <w:color w:val="262626"/>
        </w:rPr>
      </w:pPr>
    </w:p>
    <w:p w14:paraId="7853B807" w14:textId="77777777" w:rsidR="009F0C56" w:rsidRDefault="009F0C56">
      <w:pPr>
        <w:spacing w:before="280" w:after="280" w:line="240" w:lineRule="auto"/>
        <w:rPr>
          <w:rFonts w:ascii="Arial" w:eastAsia="Arial" w:hAnsi="Arial" w:cs="Arial"/>
          <w:color w:val="262626"/>
        </w:rPr>
      </w:pPr>
    </w:p>
    <w:p w14:paraId="3EC7EAE4" w14:textId="77777777" w:rsidR="009F0C56" w:rsidRDefault="009F0C56">
      <w:pPr>
        <w:spacing w:before="280" w:after="280" w:line="240" w:lineRule="auto"/>
        <w:rPr>
          <w:rFonts w:ascii="Arial" w:eastAsia="Arial" w:hAnsi="Arial" w:cs="Arial"/>
          <w:color w:val="262626"/>
        </w:rPr>
      </w:pPr>
    </w:p>
    <w:p w14:paraId="168AFA88" w14:textId="77777777" w:rsidR="009F0C56" w:rsidRDefault="00653842">
      <w:pPr>
        <w:spacing w:before="280" w:after="280" w:line="240" w:lineRule="auto"/>
        <w:rPr>
          <w:rFonts w:ascii="Arial" w:eastAsia="Arial" w:hAnsi="Arial" w:cs="Arial"/>
          <w:color w:val="262626"/>
        </w:rPr>
      </w:pPr>
      <w:r>
        <w:rPr>
          <w:rFonts w:ascii="Arial" w:eastAsia="Arial" w:hAnsi="Arial" w:cs="Arial"/>
          <w:color w:val="262626"/>
        </w:rPr>
        <w:lastRenderedPageBreak/>
        <w:t>Figure 27: Miami Circle Plaque located in the image above. (11/07/2023)</w:t>
      </w:r>
    </w:p>
    <w:p w14:paraId="6CB9F4BE" w14:textId="77777777" w:rsidR="009F0C56" w:rsidRDefault="00653842">
      <w:pPr>
        <w:spacing w:before="280" w:after="280" w:line="240" w:lineRule="auto"/>
        <w:rPr>
          <w:rFonts w:ascii="Arial" w:eastAsia="Arial" w:hAnsi="Arial" w:cs="Arial"/>
          <w:color w:val="262626"/>
        </w:rPr>
      </w:pPr>
      <w:r>
        <w:rPr>
          <w:noProof/>
        </w:rPr>
        <w:drawing>
          <wp:anchor distT="0" distB="0" distL="114300" distR="114300" simplePos="0" relativeHeight="251668480" behindDoc="0" locked="0" layoutInCell="1" hidden="0" allowOverlap="1" wp14:anchorId="23CF5349" wp14:editId="63BAD376">
            <wp:simplePos x="0" y="0"/>
            <wp:positionH relativeFrom="column">
              <wp:posOffset>247650</wp:posOffset>
            </wp:positionH>
            <wp:positionV relativeFrom="paragraph">
              <wp:posOffset>0</wp:posOffset>
            </wp:positionV>
            <wp:extent cx="3738245" cy="4984750"/>
            <wp:effectExtent l="0" t="0" r="0" b="0"/>
            <wp:wrapSquare wrapText="bothSides" distT="0" distB="0" distL="114300" distR="114300"/>
            <wp:docPr id="1874855858" name="image9.jpg" descr="A newspaper with a person on it  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9.jpg" descr="A newspaper with a person on it  AI-generated content may be incorrect."/>
                    <pic:cNvPicPr preferRelativeResize="0"/>
                  </pic:nvPicPr>
                  <pic:blipFill>
                    <a:blip r:embed="rId38"/>
                    <a:srcRect/>
                    <a:stretch>
                      <a:fillRect/>
                    </a:stretch>
                  </pic:blipFill>
                  <pic:spPr>
                    <a:xfrm>
                      <a:off x="0" y="0"/>
                      <a:ext cx="3738245" cy="4984750"/>
                    </a:xfrm>
                    <a:prstGeom prst="rect">
                      <a:avLst/>
                    </a:prstGeom>
                    <a:ln/>
                  </pic:spPr>
                </pic:pic>
              </a:graphicData>
            </a:graphic>
          </wp:anchor>
        </w:drawing>
      </w:r>
    </w:p>
    <w:p w14:paraId="34EF05D9" w14:textId="77777777" w:rsidR="009F0C56" w:rsidRDefault="009F0C56">
      <w:pPr>
        <w:spacing w:before="280" w:after="280" w:line="240" w:lineRule="auto"/>
        <w:rPr>
          <w:rFonts w:ascii="Arial" w:eastAsia="Arial" w:hAnsi="Arial" w:cs="Arial"/>
          <w:color w:val="262626"/>
        </w:rPr>
      </w:pPr>
    </w:p>
    <w:p w14:paraId="50C0342B" w14:textId="77777777" w:rsidR="009F0C56" w:rsidRDefault="009F0C56">
      <w:pPr>
        <w:spacing w:before="280" w:after="280" w:line="240" w:lineRule="auto"/>
        <w:rPr>
          <w:rFonts w:ascii="Arial" w:eastAsia="Arial" w:hAnsi="Arial" w:cs="Arial"/>
          <w:color w:val="262626"/>
        </w:rPr>
      </w:pPr>
    </w:p>
    <w:p w14:paraId="789E2365" w14:textId="77777777" w:rsidR="009F0C56" w:rsidRDefault="009F0C56">
      <w:pPr>
        <w:spacing w:before="280" w:after="280" w:line="240" w:lineRule="auto"/>
        <w:rPr>
          <w:rFonts w:ascii="Arial" w:eastAsia="Arial" w:hAnsi="Arial" w:cs="Arial"/>
          <w:color w:val="262626"/>
        </w:rPr>
      </w:pPr>
    </w:p>
    <w:p w14:paraId="65C0C85C" w14:textId="77777777" w:rsidR="009F0C56" w:rsidRDefault="009F0C56">
      <w:pPr>
        <w:spacing w:before="280" w:after="280" w:line="240" w:lineRule="auto"/>
        <w:rPr>
          <w:rFonts w:ascii="Arial" w:eastAsia="Arial" w:hAnsi="Arial" w:cs="Arial"/>
          <w:color w:val="262626"/>
        </w:rPr>
      </w:pPr>
    </w:p>
    <w:p w14:paraId="2FD35634" w14:textId="77777777" w:rsidR="009F0C56" w:rsidRDefault="009F0C56">
      <w:pPr>
        <w:spacing w:before="280" w:after="280" w:line="240" w:lineRule="auto"/>
        <w:rPr>
          <w:rFonts w:ascii="Arial" w:eastAsia="Arial" w:hAnsi="Arial" w:cs="Arial"/>
          <w:color w:val="262626"/>
        </w:rPr>
      </w:pPr>
    </w:p>
    <w:p w14:paraId="599EC821" w14:textId="77777777" w:rsidR="009F0C56" w:rsidRDefault="009F0C56">
      <w:pPr>
        <w:spacing w:before="280" w:after="280" w:line="240" w:lineRule="auto"/>
        <w:rPr>
          <w:rFonts w:ascii="Arial" w:eastAsia="Arial" w:hAnsi="Arial" w:cs="Arial"/>
          <w:color w:val="262626"/>
        </w:rPr>
      </w:pPr>
    </w:p>
    <w:p w14:paraId="3B707F84" w14:textId="77777777" w:rsidR="009F0C56" w:rsidRDefault="009F0C56">
      <w:pPr>
        <w:spacing w:before="280" w:after="280" w:line="240" w:lineRule="auto"/>
        <w:rPr>
          <w:rFonts w:ascii="Arial" w:eastAsia="Arial" w:hAnsi="Arial" w:cs="Arial"/>
          <w:color w:val="262626"/>
        </w:rPr>
      </w:pPr>
    </w:p>
    <w:p w14:paraId="65D8C983" w14:textId="77777777" w:rsidR="009F0C56" w:rsidRDefault="009F0C56">
      <w:pPr>
        <w:spacing w:before="280" w:after="280" w:line="240" w:lineRule="auto"/>
        <w:rPr>
          <w:rFonts w:ascii="Arial" w:eastAsia="Arial" w:hAnsi="Arial" w:cs="Arial"/>
          <w:color w:val="262626"/>
        </w:rPr>
      </w:pPr>
    </w:p>
    <w:p w14:paraId="48B78945" w14:textId="77777777" w:rsidR="009F0C56" w:rsidRDefault="009F0C56">
      <w:pPr>
        <w:spacing w:before="280" w:after="280" w:line="240" w:lineRule="auto"/>
        <w:rPr>
          <w:rFonts w:ascii="Arial" w:eastAsia="Arial" w:hAnsi="Arial" w:cs="Arial"/>
          <w:color w:val="262626"/>
        </w:rPr>
      </w:pPr>
    </w:p>
    <w:p w14:paraId="4419FE5F" w14:textId="77777777" w:rsidR="009F0C56" w:rsidRDefault="009F0C56">
      <w:pPr>
        <w:spacing w:before="280" w:after="280" w:line="240" w:lineRule="auto"/>
        <w:rPr>
          <w:rFonts w:ascii="Arial" w:eastAsia="Arial" w:hAnsi="Arial" w:cs="Arial"/>
          <w:color w:val="262626"/>
        </w:rPr>
      </w:pPr>
    </w:p>
    <w:p w14:paraId="34406857" w14:textId="77777777" w:rsidR="009F0C56" w:rsidRDefault="009F0C56">
      <w:pPr>
        <w:spacing w:before="280" w:after="280" w:line="240" w:lineRule="auto"/>
        <w:rPr>
          <w:rFonts w:ascii="Arial" w:eastAsia="Arial" w:hAnsi="Arial" w:cs="Arial"/>
          <w:color w:val="262626"/>
        </w:rPr>
      </w:pPr>
    </w:p>
    <w:p w14:paraId="25EFA5AD" w14:textId="77777777" w:rsidR="009F0C56" w:rsidRDefault="009F0C56">
      <w:pPr>
        <w:spacing w:before="280" w:after="280" w:line="240" w:lineRule="auto"/>
        <w:rPr>
          <w:rFonts w:ascii="Arial" w:eastAsia="Arial" w:hAnsi="Arial" w:cs="Arial"/>
          <w:color w:val="262626"/>
        </w:rPr>
      </w:pPr>
    </w:p>
    <w:p w14:paraId="75B3B00B" w14:textId="77777777" w:rsidR="009F0C56" w:rsidRDefault="009F0C56">
      <w:pPr>
        <w:spacing w:before="280" w:after="280" w:line="240" w:lineRule="auto"/>
        <w:rPr>
          <w:rFonts w:ascii="Arial" w:eastAsia="Arial" w:hAnsi="Arial" w:cs="Arial"/>
          <w:color w:val="262626"/>
        </w:rPr>
      </w:pPr>
    </w:p>
    <w:p w14:paraId="097579CE" w14:textId="77777777" w:rsidR="009F0C56" w:rsidRDefault="009F0C56">
      <w:pPr>
        <w:spacing w:before="280" w:after="280" w:line="240" w:lineRule="auto"/>
        <w:rPr>
          <w:rFonts w:ascii="Arial" w:eastAsia="Arial" w:hAnsi="Arial" w:cs="Arial"/>
          <w:color w:val="262626"/>
        </w:rPr>
      </w:pPr>
    </w:p>
    <w:p w14:paraId="7ACE8536" w14:textId="7DEAC501" w:rsidR="009F0C56" w:rsidRDefault="00653842">
      <w:pPr>
        <w:pBdr>
          <w:top w:val="nil"/>
          <w:left w:val="nil"/>
          <w:bottom w:val="nil"/>
          <w:right w:val="nil"/>
          <w:between w:val="nil"/>
        </w:pBdr>
        <w:spacing w:line="240" w:lineRule="auto"/>
        <w:rPr>
          <w:rFonts w:ascii="Arial" w:eastAsia="Arial" w:hAnsi="Arial" w:cs="Arial"/>
          <w:color w:val="262626"/>
        </w:rPr>
      </w:pPr>
      <w:bookmarkStart w:id="163" w:name="_heading=h.57v6p4hhodse" w:colFirst="0" w:colLast="0"/>
      <w:bookmarkEnd w:id="163"/>
      <w:r>
        <w:rPr>
          <w:rFonts w:ascii="Arial" w:eastAsia="Arial" w:hAnsi="Arial" w:cs="Arial"/>
          <w:color w:val="262626"/>
        </w:rPr>
        <w:t xml:space="preserve">The plaque is situated in the affluent area of Miami CBD, and surrounded by high-rise buildings typically comprising commercial use as well as high-end living. </w:t>
      </w:r>
      <w:r w:rsidR="00E40CD6">
        <w:rPr>
          <w:rFonts w:ascii="Arial" w:eastAsia="Arial" w:hAnsi="Arial" w:cs="Arial"/>
          <w:color w:val="262626"/>
        </w:rPr>
        <w:t>Amid</w:t>
      </w:r>
      <w:r>
        <w:rPr>
          <w:rFonts w:ascii="Arial" w:eastAsia="Arial" w:hAnsi="Arial" w:cs="Arial"/>
          <w:color w:val="262626"/>
        </w:rPr>
        <w:t xml:space="preserve"> this is a visibly worn sign, despite its location and symbolic significance. As can be read, the sign offers a brief description of Miami’s Indigenous history, referencing the Tequesta and Seminole peoples. While the sign does begin to offer a more nuanced historical reckoning, the physical neglect is pivotal as not simply a matter of wear, but a reflection of settler priorities. As the marker of Indigenous presence in the area appears uncared for in a wealthy district, it creates the </w:t>
      </w:r>
      <w:r w:rsidR="00E40CD6">
        <w:rPr>
          <w:rFonts w:ascii="Arial" w:eastAsia="Arial" w:hAnsi="Arial" w:cs="Arial"/>
          <w:color w:val="262626"/>
        </w:rPr>
        <w:t>impression</w:t>
      </w:r>
      <w:r>
        <w:rPr>
          <w:rFonts w:ascii="Arial" w:eastAsia="Arial" w:hAnsi="Arial" w:cs="Arial"/>
          <w:color w:val="262626"/>
        </w:rPr>
        <w:t xml:space="preserve"> of a broader disinterest by both the local community and municipal authorities in preserving Indigenous narratives in the public sphere. </w:t>
      </w:r>
    </w:p>
    <w:p w14:paraId="5FD95D5B" w14:textId="761BF0F9"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This neglect functions as a method of erasure, discouraging critical engagement with the site’s deeper meaning and signalling that Indigenous presence is neither valued nor contemporary. This builds on TallBear's (2019, pp. 26–27) critique that, “even progressive national narratives imply that Indigenous peoples are inevitably vanishing, which does not square with Indigenous peoples’ own will to self-determination, our resistance to state assimilation, and our demands therefore for ongoing access to and con</w:t>
      </w:r>
      <w:r>
        <w:rPr>
          <w:rFonts w:ascii="Arial" w:eastAsia="Arial" w:hAnsi="Arial" w:cs="Arial"/>
          <w:color w:val="262626"/>
        </w:rPr>
        <w:t xml:space="preserve">trol over homelands and territories that are essential to </w:t>
      </w:r>
      <w:r>
        <w:rPr>
          <w:rFonts w:ascii="Arial" w:eastAsia="Arial" w:hAnsi="Arial" w:cs="Arial"/>
          <w:color w:val="262626"/>
        </w:rPr>
        <w:lastRenderedPageBreak/>
        <w:t>our constitution as Peoples”. As the plaque, while ostensibly commemorative, performs settler colonial ideology by presenting itself as a gesture of inclusion or historical reckoning, when in fact it displaces present Indigenous political realities. In this, the plaque operates in allowing settler society to claim moral progress through recognition, while evading material restitution or the return of land (Dorries et al</w:t>
      </w:r>
      <w:r w:rsidR="00E40CD6">
        <w:rPr>
          <w:rFonts w:ascii="Arial" w:eastAsia="Arial" w:hAnsi="Arial" w:cs="Arial"/>
          <w:color w:val="262626"/>
        </w:rPr>
        <w:t>.</w:t>
      </w:r>
      <w:r>
        <w:rPr>
          <w:rFonts w:ascii="Arial" w:eastAsia="Arial" w:hAnsi="Arial" w:cs="Arial"/>
          <w:color w:val="262626"/>
        </w:rPr>
        <w:t xml:space="preserve"> 2022). Through this, the plaque is not symbolic; it functions as an ideological infrastructure that reinforces settler innocence while trapping Indigenous futurity (Smith 2014). Operating as a romantic bricolage, it locks Indigenous peoples in a romanticised past, rendering their contemporary existence unintelligible within the colonial urban settler imaginary.</w:t>
      </w:r>
    </w:p>
    <w:p w14:paraId="30DF45E6" w14:textId="58E2A97C"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 xml:space="preserve">Thus, the worn state of the plaque becomes more than a maintenance issue; it reveals how Indigeneity is permitted to exist only as aesthetic residue, not seen as a living political presence. But rather as a heritage to be managed, curated, or engaged with through the </w:t>
      </w:r>
      <w:r w:rsidR="00E40CD6">
        <w:rPr>
          <w:rFonts w:ascii="Arial" w:eastAsia="Arial" w:hAnsi="Arial" w:cs="Arial"/>
          <w:color w:val="262626"/>
        </w:rPr>
        <w:t>aestheticisation</w:t>
      </w:r>
      <w:r>
        <w:rPr>
          <w:rFonts w:ascii="Arial" w:eastAsia="Arial" w:hAnsi="Arial" w:cs="Arial"/>
          <w:color w:val="262626"/>
        </w:rPr>
        <w:t xml:space="preserve"> of Indigeneity, where Indigenous symbols are allowed to persist only in sanitised, decontextualised forms that do not challenge settler control of space and narrative (Aldred 2000, Dorries et al</w:t>
      </w:r>
      <w:r w:rsidR="00E40CD6">
        <w:rPr>
          <w:rFonts w:ascii="Arial" w:eastAsia="Arial" w:hAnsi="Arial" w:cs="Arial"/>
          <w:color w:val="262626"/>
        </w:rPr>
        <w:t>.</w:t>
      </w:r>
      <w:r>
        <w:rPr>
          <w:rFonts w:ascii="Arial" w:eastAsia="Arial" w:hAnsi="Arial" w:cs="Arial"/>
          <w:color w:val="262626"/>
        </w:rPr>
        <w:t xml:space="preserve">, 2022, TallBear 2019). Here, Deloria (2023, p. 22) expands on this, explaining that settler society constructs “a fantasy image of Indians, the kind of Indians that many groups of Americans would like to believe exist”. </w:t>
      </w:r>
      <w:r w:rsidR="00E40CD6">
        <w:rPr>
          <w:rFonts w:ascii="Arial" w:eastAsia="Arial" w:hAnsi="Arial" w:cs="Arial"/>
          <w:color w:val="262626"/>
        </w:rPr>
        <w:t>This</w:t>
      </w:r>
      <w:r>
        <w:rPr>
          <w:rFonts w:ascii="Arial" w:eastAsia="Arial" w:hAnsi="Arial" w:cs="Arial"/>
          <w:color w:val="262626"/>
        </w:rPr>
        <w:t xml:space="preserve"> fantasy figure is culturally rich, politically docile, and safely consigned to the past. Allowing for settler society to engage with indigeneity only when it enhances settler space through nostalgic imagery, the belief </w:t>
      </w:r>
      <w:r w:rsidR="00E40CD6">
        <w:rPr>
          <w:rFonts w:ascii="Arial" w:eastAsia="Arial" w:hAnsi="Arial" w:cs="Arial"/>
          <w:color w:val="262626"/>
        </w:rPr>
        <w:t>in</w:t>
      </w:r>
      <w:r>
        <w:rPr>
          <w:rFonts w:ascii="Arial" w:eastAsia="Arial" w:hAnsi="Arial" w:cs="Arial"/>
          <w:color w:val="262626"/>
        </w:rPr>
        <w:t xml:space="preserve"> progressive reconciliation acts, while still excluding Indigenous agency from the present. In this, such practices align with a broader settler capitalist urban logic, where land is transformed into real estate and history into spectacle, as can be noted with Weiss’s argument previously. Thus, Figure 26, which depicts the Miami Circle site, highlights how settler society reconfigures sacred Indigenous land into a heritage commodity, stripped of its spiritual and political significance (Aldred 2000). This r</w:t>
      </w:r>
      <w:r>
        <w:rPr>
          <w:rFonts w:ascii="Arial" w:eastAsia="Arial" w:hAnsi="Arial" w:cs="Arial"/>
          <w:color w:val="262626"/>
        </w:rPr>
        <w:t xml:space="preserve">einforces how the settler colonial logic of elimination is not solely through physical removal, but through representational control. </w:t>
      </w:r>
      <w:r w:rsidR="00E40CD6">
        <w:rPr>
          <w:rFonts w:ascii="Arial" w:eastAsia="Arial" w:hAnsi="Arial" w:cs="Arial"/>
          <w:color w:val="262626"/>
        </w:rPr>
        <w:t>Building</w:t>
      </w:r>
      <w:r>
        <w:rPr>
          <w:rFonts w:ascii="Arial" w:eastAsia="Arial" w:hAnsi="Arial" w:cs="Arial"/>
          <w:color w:val="262626"/>
        </w:rPr>
        <w:t xml:space="preserve"> on Barker's (2021) argument, this elimination is not always overt; it is often enacted through the restructuring of land, memory, and discourses to make Indigenous presence appear absent, or worse, obsolete.</w:t>
      </w:r>
    </w:p>
    <w:p w14:paraId="00895A3B" w14:textId="7656B1C3"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 xml:space="preserve">Thus, Miami’s colonial urbanism functions in reducing Seminole and Miccosukee to anachronisms that are relevant only as part of the city’s historic charm or cultural “diversity,” but not warranted in the future this building </w:t>
      </w:r>
      <w:r w:rsidR="00E40CD6">
        <w:rPr>
          <w:rFonts w:ascii="Arial" w:eastAsia="Arial" w:hAnsi="Arial" w:cs="Arial"/>
          <w:color w:val="262626"/>
        </w:rPr>
        <w:t>on</w:t>
      </w:r>
      <w:r>
        <w:rPr>
          <w:rFonts w:ascii="Arial" w:eastAsia="Arial" w:hAnsi="Arial" w:cs="Arial"/>
          <w:color w:val="262626"/>
        </w:rPr>
        <w:t xml:space="preserve"> TallBear’s (2019) analysis of settler acts of progress. Therefore, Seminole and Miccosukee presence is displaced both spatially and cognitively, echoing how reservations were historically positioned outside settler infrastructures, reinforcing spatial hierarchies that map onto racial and political exclusions. </w:t>
      </w:r>
    </w:p>
    <w:p w14:paraId="30573C76" w14:textId="1669090F"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As Tomiak articulates</w:t>
      </w:r>
      <w:r w:rsidR="00E40CD6">
        <w:rPr>
          <w:rFonts w:ascii="Arial" w:eastAsia="Arial" w:hAnsi="Arial" w:cs="Arial"/>
          <w:color w:val="262626"/>
        </w:rPr>
        <w:t>,</w:t>
      </w:r>
      <w:r>
        <w:rPr>
          <w:rFonts w:ascii="Arial" w:eastAsia="Arial" w:hAnsi="Arial" w:cs="Arial"/>
          <w:color w:val="262626"/>
        </w:rPr>
        <w:t xml:space="preserve"> “settler states continue to pursue the violent transformation of Indigenous land into settler property and to police Indigenous place-making and self-determination particularly aggressively in relation to cities.” (Tomiak 2017. Pg. 928). As can be seen with Miami, </w:t>
      </w:r>
      <w:r w:rsidR="00E40CD6">
        <w:rPr>
          <w:rFonts w:ascii="Arial" w:eastAsia="Arial" w:hAnsi="Arial" w:cs="Arial"/>
          <w:color w:val="262626"/>
        </w:rPr>
        <w:t>by</w:t>
      </w:r>
      <w:r>
        <w:rPr>
          <w:rFonts w:ascii="Arial" w:eastAsia="Arial" w:hAnsi="Arial" w:cs="Arial"/>
          <w:color w:val="262626"/>
        </w:rPr>
        <w:t xml:space="preserve"> transforming sacred Indigenous spaces into high-rises, cruise ship terminals, and commercial developments, </w:t>
      </w:r>
      <w:r>
        <w:rPr>
          <w:rFonts w:ascii="Arial" w:eastAsia="Arial" w:hAnsi="Arial" w:cs="Arial"/>
          <w:color w:val="262626"/>
        </w:rPr>
        <w:t xml:space="preserve">the settler city renders Seminole and Miccosukee presence invisible in contemporary South Florida society. This strategic erasure ensures that Indigenous peoples can only be referenced historically, not engaged with politically or spatially in the present. However, as the next section will demonstrate, the Seminole and Miccosukee resist this imposed </w:t>
      </w:r>
      <w:r>
        <w:rPr>
          <w:rFonts w:ascii="Arial" w:eastAsia="Arial" w:hAnsi="Arial" w:cs="Arial"/>
          <w:color w:val="262626"/>
        </w:rPr>
        <w:lastRenderedPageBreak/>
        <w:t>disappearance. Through their continued connection to land, knowledge systems, and spiritual traditions, they challenge the colonial narrative that seeks to eras</w:t>
      </w:r>
      <w:r>
        <w:rPr>
          <w:rFonts w:ascii="Arial" w:eastAsia="Arial" w:hAnsi="Arial" w:cs="Arial"/>
          <w:color w:val="262626"/>
        </w:rPr>
        <w:t>e them. In this, their resistance not only disrupts settler spatial dominance but reasserts Indigenous epistemologies that refuse containment within settler structures of recognition.</w:t>
      </w:r>
    </w:p>
    <w:p w14:paraId="1DB74919" w14:textId="77777777" w:rsidR="009F0C56" w:rsidRDefault="009F0C56">
      <w:pPr>
        <w:spacing w:before="280" w:after="280" w:line="240" w:lineRule="auto"/>
        <w:rPr>
          <w:rFonts w:ascii="Arial" w:eastAsia="Arial" w:hAnsi="Arial" w:cs="Arial"/>
          <w:sz w:val="22"/>
          <w:szCs w:val="22"/>
        </w:rPr>
      </w:pPr>
    </w:p>
    <w:p w14:paraId="1B7BF4FA" w14:textId="77777777" w:rsidR="009F0C56" w:rsidRDefault="00653842">
      <w:pPr>
        <w:pStyle w:val="Heading2"/>
        <w:rPr>
          <w:rFonts w:ascii="Arial" w:eastAsia="Arial" w:hAnsi="Arial" w:cs="Arial"/>
        </w:rPr>
      </w:pPr>
      <w:bookmarkStart w:id="164" w:name="_Toc240966063"/>
      <w:r>
        <w:rPr>
          <w:rFonts w:ascii="Arial" w:eastAsia="Arial" w:hAnsi="Arial" w:cs="Arial"/>
        </w:rPr>
        <w:t>9.11 Conclusion</w:t>
      </w:r>
      <w:bookmarkEnd w:id="164"/>
    </w:p>
    <w:p w14:paraId="7D71CF14" w14:textId="598A2314"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 xml:space="preserve">Through the analysis in this chapter, it becomes clear that settler societies are not merely occupying Indigenous land; they are actively attacking the foundational significance of land to erase the Seminole and Miccosukee presence and to become fully omnipresent, erasing all contemporary presence of the Seminole and Miccosukee in the visual landscape. This attack attacks the ontological foundations of the Seminole and Miccosukee as discussed during this chapter; land is not just </w:t>
      </w:r>
      <w:r>
        <w:rPr>
          <w:rFonts w:ascii="Arial" w:eastAsia="Arial" w:hAnsi="Arial" w:cs="Arial"/>
          <w:color w:val="0A0A0A"/>
          <w:highlight w:val="white"/>
        </w:rPr>
        <w:t>territorialization</w:t>
      </w:r>
      <w:r>
        <w:rPr>
          <w:rFonts w:ascii="Arial" w:eastAsia="Arial" w:hAnsi="Arial" w:cs="Arial"/>
          <w:color w:val="262626"/>
        </w:rPr>
        <w:t>; it is relational, spiritual, and ontological (Bowra et al</w:t>
      </w:r>
      <w:r w:rsidR="00E40CD6">
        <w:rPr>
          <w:rFonts w:ascii="Arial" w:eastAsia="Arial" w:hAnsi="Arial" w:cs="Arial"/>
          <w:color w:val="262626"/>
        </w:rPr>
        <w:t>.</w:t>
      </w:r>
      <w:r>
        <w:rPr>
          <w:rFonts w:ascii="Arial" w:eastAsia="Arial" w:hAnsi="Arial" w:cs="Arial"/>
          <w:color w:val="262626"/>
        </w:rPr>
        <w:t xml:space="preserve"> 2021). Here, creation stories root the Seminole and Miccosukee peoples in specific geographies, establishing land as the foundation of being and knowing </w:t>
      </w:r>
      <w:r>
        <w:rPr>
          <w:rFonts w:ascii="Arial" w:eastAsia="Arial" w:hAnsi="Arial" w:cs="Arial"/>
          <w:color w:val="262626"/>
        </w:rPr>
        <w:t>(Yoon-Ramirez Ramirez 2021). This stands in direct contrast to the settler colonial logic, which reduces land to property, a resource to be owned, extracted, and controlled, as seen in the philosophies of Locke and Hobbes, but extended in contemporary times with characters like Weiss.</w:t>
      </w:r>
    </w:p>
    <w:p w14:paraId="122239ED" w14:textId="18FDF781"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Here, land draws a linearity of the arguments made during the commodification, time, and homogenisation chapter that this thesis articulates at the core</w:t>
      </w:r>
      <w:r w:rsidR="00E40CD6">
        <w:rPr>
          <w:rFonts w:ascii="Arial" w:eastAsia="Arial" w:hAnsi="Arial" w:cs="Arial"/>
          <w:color w:val="262626"/>
        </w:rPr>
        <w:t>:</w:t>
      </w:r>
      <w:r>
        <w:rPr>
          <w:rFonts w:ascii="Arial" w:eastAsia="Arial" w:hAnsi="Arial" w:cs="Arial"/>
          <w:color w:val="262626"/>
        </w:rPr>
        <w:t xml:space="preserve"> that Indigenous representations are a settler colonial structure, and not a random event. That aims to monopolise, commercialise, and present the settler Indian as the fixed myth of Indigeneity. As was seen during this chapter, </w:t>
      </w:r>
      <w:r>
        <w:rPr>
          <w:rFonts w:ascii="Arial" w:eastAsia="Arial" w:hAnsi="Arial" w:cs="Arial"/>
          <w:color w:val="262626"/>
        </w:rPr>
        <w:t>the ongoing transformation of the Everglades</w:t>
      </w:r>
      <w:r>
        <w:rPr>
          <w:rFonts w:ascii="Arial" w:eastAsia="Arial" w:hAnsi="Arial" w:cs="Arial"/>
          <w:color w:val="262626"/>
        </w:rPr>
        <w:t xml:space="preserve"> through tourism, environmental degradation, settler conservation, and urban sprawl</w:t>
      </w:r>
      <w:r>
        <w:rPr>
          <w:rFonts w:ascii="Arial" w:eastAsia="Arial" w:hAnsi="Arial" w:cs="Arial"/>
          <w:color w:val="262626"/>
        </w:rPr>
        <w:t xml:space="preserve"> </w:t>
      </w:r>
      <w:r w:rsidR="00E40CD6">
        <w:rPr>
          <w:rFonts w:ascii="Arial" w:eastAsia="Arial" w:hAnsi="Arial" w:cs="Arial"/>
          <w:color w:val="262626"/>
        </w:rPr>
        <w:t>is</w:t>
      </w:r>
      <w:r>
        <w:rPr>
          <w:rFonts w:ascii="Arial" w:eastAsia="Arial" w:hAnsi="Arial" w:cs="Arial"/>
          <w:color w:val="262626"/>
        </w:rPr>
        <w:t xml:space="preserve"> not incidental</w:t>
      </w:r>
      <w:r>
        <w:rPr>
          <w:rFonts w:ascii="Arial" w:eastAsia="Arial" w:hAnsi="Arial" w:cs="Arial"/>
          <w:color w:val="262626"/>
        </w:rPr>
        <w:t xml:space="preserve"> but structural in the visual erasure of the Seminole and Miccosukee as contemporary actors creating anti-colonial practices (Sultana 2022). As Figures 26 and 27 illustrate, these developments systematically displace and erase Indigenous presence, both materially and symbolically. This reconfiguration of land allows settlers to overwrite Indigenous histories and assert the settler future as the only viable one. Here, </w:t>
      </w:r>
      <w:r>
        <w:rPr>
          <w:rFonts w:ascii="Arial" w:eastAsia="Arial" w:hAnsi="Arial" w:cs="Arial"/>
          <w:i/>
          <w:iCs/>
          <w:color w:val="262626"/>
        </w:rPr>
        <w:t>colonial urbanism</w:t>
      </w:r>
      <w:r>
        <w:rPr>
          <w:rFonts w:ascii="Arial" w:eastAsia="Arial" w:hAnsi="Arial" w:cs="Arial"/>
          <w:color w:val="262626"/>
        </w:rPr>
        <w:t xml:space="preserve"> manifests through what Veracini (2010) describes as “replacement,” not simply occupying space, but restructuring it to render Indigenous life peripheral or invisible.</w:t>
      </w:r>
    </w:p>
    <w:p w14:paraId="4614FA83" w14:textId="59AB607B"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Land in this chapter becomes a nexus where all settler colonial logics converge</w:t>
      </w:r>
      <w:r w:rsidR="00E40CD6">
        <w:rPr>
          <w:rFonts w:ascii="Arial" w:eastAsia="Arial" w:hAnsi="Arial" w:cs="Arial"/>
          <w:color w:val="262626"/>
        </w:rPr>
        <w:t>:</w:t>
      </w:r>
      <w:r>
        <w:rPr>
          <w:rFonts w:ascii="Arial" w:eastAsia="Arial" w:hAnsi="Arial" w:cs="Arial"/>
          <w:color w:val="262626"/>
        </w:rPr>
        <w:t xml:space="preserve"> commodification, historical denial, and cultural flattening. The settler state not only transforms land into property but also narrates this transformation as progress, thus controlling time and memory. As Dorries et al. argue, colonial urban planning is central to this process, shaping cities not just in form but in epistemologically embedding settler dominance into the very landscape. Through this, power is maintained via continuous erasure, spatial marginalisation, and the control of representational re</w:t>
      </w:r>
      <w:r>
        <w:rPr>
          <w:rFonts w:ascii="Arial" w:eastAsia="Arial" w:hAnsi="Arial" w:cs="Arial"/>
          <w:color w:val="262626"/>
        </w:rPr>
        <w:t xml:space="preserve">gimes. This use of historical signage functions as an ideological scapegoat, neutralising settler responsibility through shallow recognition. The plaque symbolises a broader settler strategy of fixing Indigeneity in the past, rendering Indigenous presence a matter of heritage rather than political modernity. This reflects a settler-controlled representation, where Indigenous people are </w:t>
      </w:r>
      <w:r w:rsidR="00E40CD6">
        <w:rPr>
          <w:rFonts w:ascii="Arial" w:eastAsia="Arial" w:hAnsi="Arial" w:cs="Arial"/>
          <w:color w:val="262626"/>
        </w:rPr>
        <w:t>aestheticised</w:t>
      </w:r>
      <w:r>
        <w:rPr>
          <w:rFonts w:ascii="Arial" w:eastAsia="Arial" w:hAnsi="Arial" w:cs="Arial"/>
          <w:color w:val="262626"/>
        </w:rPr>
        <w:t xml:space="preserve"> into </w:t>
      </w:r>
      <w:r>
        <w:rPr>
          <w:rFonts w:ascii="Arial" w:eastAsia="Arial" w:hAnsi="Arial" w:cs="Arial"/>
          <w:color w:val="262626"/>
        </w:rPr>
        <w:lastRenderedPageBreak/>
        <w:t>static symbols that pose no challenge to ongoing settler claims. As Deloria (2023, p. 22) argues, settler society constructs “a fantasy image of Indians, the kind of Indians that many groups of Americans would like to believe exist.” In Miami’s urban landscape, Indigeneity is thus permitted only in forms that do not disrupt settler narratives of progress, reinforcing what Dorries et al</w:t>
      </w:r>
      <w:r w:rsidR="00E40CD6">
        <w:rPr>
          <w:rFonts w:ascii="Arial" w:eastAsia="Arial" w:hAnsi="Arial" w:cs="Arial"/>
          <w:color w:val="262626"/>
        </w:rPr>
        <w:t>.</w:t>
      </w:r>
      <w:r>
        <w:rPr>
          <w:rFonts w:ascii="Arial" w:eastAsia="Arial" w:hAnsi="Arial" w:cs="Arial"/>
          <w:color w:val="262626"/>
        </w:rPr>
        <w:t xml:space="preserve"> (2022) describe as </w:t>
      </w:r>
      <w:r>
        <w:rPr>
          <w:rFonts w:ascii="Arial" w:eastAsia="Arial" w:hAnsi="Arial" w:cs="Arial"/>
          <w:i/>
          <w:iCs/>
          <w:color w:val="262626"/>
        </w:rPr>
        <w:t>colonial urbanism</w:t>
      </w:r>
      <w:r>
        <w:rPr>
          <w:rFonts w:ascii="Arial" w:eastAsia="Arial" w:hAnsi="Arial" w:cs="Arial"/>
          <w:color w:val="262626"/>
        </w:rPr>
        <w:t xml:space="preserve">: the production of space that secures settler futures by managing and </w:t>
      </w:r>
      <w:r w:rsidR="00E40CD6">
        <w:rPr>
          <w:rFonts w:ascii="Arial" w:eastAsia="Arial" w:hAnsi="Arial" w:cs="Arial"/>
          <w:color w:val="262626"/>
        </w:rPr>
        <w:t>marginalising</w:t>
      </w:r>
      <w:r>
        <w:rPr>
          <w:rFonts w:ascii="Arial" w:eastAsia="Arial" w:hAnsi="Arial" w:cs="Arial"/>
          <w:color w:val="262626"/>
        </w:rPr>
        <w:t xml:space="preserve"> Indigenous life. Utilising Coulthard's work (2014) further sharpens this analysis by showing that settler colonialism functions through reconfiguring relationships to land, turning reciprocal, place-based relations into extractive, asymmetrical ones. </w:t>
      </w:r>
    </w:p>
    <w:p w14:paraId="2DDB3D05" w14:textId="208467DC"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 xml:space="preserve">In this way, the settler state not only takes land but also redefines what land means and who gets to speak from it. Here, the politics of recognition reward only those forms of Indigenous identity that align with settler expectations. </w:t>
      </w:r>
      <w:r w:rsidR="00E40CD6">
        <w:rPr>
          <w:rFonts w:ascii="Arial" w:eastAsia="Arial" w:hAnsi="Arial" w:cs="Arial"/>
          <w:color w:val="262626"/>
        </w:rPr>
        <w:t>Heritage</w:t>
      </w:r>
      <w:r>
        <w:rPr>
          <w:rFonts w:ascii="Arial" w:eastAsia="Arial" w:hAnsi="Arial" w:cs="Arial"/>
          <w:color w:val="262626"/>
        </w:rPr>
        <w:t xml:space="preserve"> displays</w:t>
      </w:r>
      <w:r w:rsidR="00E40CD6">
        <w:rPr>
          <w:rFonts w:ascii="Arial" w:eastAsia="Arial" w:hAnsi="Arial" w:cs="Arial"/>
          <w:color w:val="262626"/>
        </w:rPr>
        <w:t xml:space="preserve"> and</w:t>
      </w:r>
      <w:r>
        <w:rPr>
          <w:rFonts w:ascii="Arial" w:eastAsia="Arial" w:hAnsi="Arial" w:cs="Arial"/>
          <w:color w:val="262626"/>
        </w:rPr>
        <w:t xml:space="preserve"> cultural festivals, while still resisting Indigenous assertions of sovereignty, law, or land reclamation. Deloria (2003) further articulates that Indigenous relationships to land are not metaphorical. They are legal, spiritual, and bodily, where disconnection from land is not merely a cultural loss but a form of spiritual severing. In this</w:t>
      </w:r>
      <w:r w:rsidR="00E40CD6">
        <w:rPr>
          <w:rFonts w:ascii="Arial" w:eastAsia="Arial" w:hAnsi="Arial" w:cs="Arial"/>
          <w:color w:val="262626"/>
        </w:rPr>
        <w:t>,</w:t>
      </w:r>
      <w:r>
        <w:rPr>
          <w:rFonts w:ascii="Arial" w:eastAsia="Arial" w:hAnsi="Arial" w:cs="Arial"/>
          <w:color w:val="262626"/>
        </w:rPr>
        <w:t xml:space="preserve"> settler projects </w:t>
      </w:r>
      <w:r>
        <w:rPr>
          <w:rFonts w:ascii="Arial" w:eastAsia="Arial" w:hAnsi="Arial" w:cs="Arial"/>
          <w:color w:val="262626"/>
        </w:rPr>
        <w:t>that pollute, privatise, or mythologise the land are thus direct assaults on Seminole and Miccosukee knowledge systems. Through transforming sacred sites into infrastructure for tourism and commerce, the settler severs Indigenous futurity from the land itself.</w:t>
      </w:r>
    </w:p>
    <w:p w14:paraId="4EC0C2F4" w14:textId="77777777" w:rsidR="009F0C56" w:rsidRDefault="00653842">
      <w:pPr>
        <w:pBdr>
          <w:top w:val="nil"/>
          <w:left w:val="nil"/>
          <w:bottom w:val="nil"/>
          <w:right w:val="nil"/>
          <w:between w:val="nil"/>
        </w:pBdr>
        <w:spacing w:line="240" w:lineRule="auto"/>
        <w:rPr>
          <w:rFonts w:ascii="Arial" w:eastAsia="Arial" w:hAnsi="Arial" w:cs="Arial"/>
          <w:color w:val="262626"/>
        </w:rPr>
      </w:pPr>
      <w:r>
        <w:rPr>
          <w:rFonts w:ascii="Arial" w:eastAsia="Arial" w:hAnsi="Arial" w:cs="Arial"/>
          <w:color w:val="262626"/>
        </w:rPr>
        <w:t>Yet, amid these structures of domination, resistance persists. Seminole and Miccosukee communities assert presence through Indigenous-led museums, language programs, cultural events, and legal advocacy. These initiatives challenge settler narratives that confine Indigeneity to the past or symbolic forms of recognition (West 2008). They demonstrate that the Seminole and Miccosukee are not passive recipients of settler recognition but are sovereign nations reclaiming authorship over their stories, spaces, and</w:t>
      </w:r>
      <w:r>
        <w:rPr>
          <w:rFonts w:ascii="Arial" w:eastAsia="Arial" w:hAnsi="Arial" w:cs="Arial"/>
          <w:color w:val="262626"/>
        </w:rPr>
        <w:t xml:space="preserve"> futures. Ultimately, this chapter reveals that the settler project targets not only Indigenous bodies but the very grounds of Indigenous being. The themes of time, commodification, and homogenisation, as explored in earlier chapters, coalesce in the struggle over land. Settler colonialism is not just a territorial project; it is a representational and ontological one, seeking to control how land is seen, understood, and lived. Yet, resistance to this control is also rooted in the land. Through memory, pres</w:t>
      </w:r>
      <w:r>
        <w:rPr>
          <w:rFonts w:ascii="Arial" w:eastAsia="Arial" w:hAnsi="Arial" w:cs="Arial"/>
          <w:color w:val="262626"/>
        </w:rPr>
        <w:t>ence, and collective struggle, Seminole and Miccosukee communities affirm that the fight is not just for territory, but for the right to define what land means and for whom (Miccosukee 2025, Seminole 2025).</w:t>
      </w:r>
    </w:p>
    <w:p w14:paraId="5403F82F" w14:textId="77777777" w:rsidR="009F0C56" w:rsidRDefault="009F0C56">
      <w:pPr>
        <w:spacing w:before="280" w:after="280" w:line="240" w:lineRule="auto"/>
        <w:rPr>
          <w:rFonts w:ascii="Arial" w:eastAsia="Arial" w:hAnsi="Arial" w:cs="Arial"/>
        </w:rPr>
      </w:pPr>
    </w:p>
    <w:p w14:paraId="37551258" w14:textId="77777777" w:rsidR="009F0C56" w:rsidRDefault="009F0C56">
      <w:pPr>
        <w:spacing w:before="280" w:after="280" w:line="240" w:lineRule="auto"/>
        <w:rPr>
          <w:rFonts w:ascii="Arial" w:eastAsia="Arial" w:hAnsi="Arial" w:cs="Arial"/>
        </w:rPr>
      </w:pPr>
    </w:p>
    <w:p w14:paraId="55AD89B1" w14:textId="77777777" w:rsidR="009F0C56" w:rsidRDefault="00653842">
      <w:pPr>
        <w:rPr>
          <w:rFonts w:ascii="Arial" w:eastAsia="Arial" w:hAnsi="Arial" w:cs="Arial"/>
          <w:color w:val="0F4761"/>
          <w:sz w:val="40"/>
          <w:szCs w:val="40"/>
          <w:u w:val="single"/>
        </w:rPr>
      </w:pPr>
      <w:r>
        <w:br w:type="page"/>
      </w:r>
    </w:p>
    <w:p w14:paraId="7D882F54" w14:textId="77777777" w:rsidR="009F0C56" w:rsidRDefault="00653842">
      <w:pPr>
        <w:pStyle w:val="Heading1"/>
        <w:rPr>
          <w:rFonts w:ascii="Arial" w:eastAsia="Arial" w:hAnsi="Arial" w:cs="Arial"/>
          <w:u w:val="single"/>
        </w:rPr>
      </w:pPr>
      <w:bookmarkStart w:id="165" w:name="_Toc240966064"/>
      <w:r>
        <w:rPr>
          <w:rFonts w:ascii="Arial" w:eastAsia="Arial" w:hAnsi="Arial" w:cs="Arial"/>
          <w:u w:val="single"/>
        </w:rPr>
        <w:lastRenderedPageBreak/>
        <w:t>10.0 Conclusions: representations a settler colonial power structure.</w:t>
      </w:r>
      <w:bookmarkEnd w:id="165"/>
      <w:r>
        <w:rPr>
          <w:rFonts w:ascii="Arial" w:eastAsia="Arial" w:hAnsi="Arial" w:cs="Arial"/>
          <w:u w:val="single"/>
        </w:rPr>
        <w:t xml:space="preserve"> </w:t>
      </w:r>
    </w:p>
    <w:p w14:paraId="6C8C9629" w14:textId="77777777" w:rsidR="009F0C56" w:rsidRDefault="009F0C56">
      <w:pPr>
        <w:rPr>
          <w:rFonts w:ascii="Arial" w:eastAsia="Arial" w:hAnsi="Arial" w:cs="Arial"/>
        </w:rPr>
      </w:pPr>
    </w:p>
    <w:p w14:paraId="68698B6B" w14:textId="77777777" w:rsidR="009F0C56" w:rsidRDefault="00653842">
      <w:pPr>
        <w:pStyle w:val="Heading2"/>
        <w:rPr>
          <w:rFonts w:ascii="Arial" w:eastAsia="Arial" w:hAnsi="Arial" w:cs="Arial"/>
        </w:rPr>
      </w:pPr>
      <w:bookmarkStart w:id="166" w:name="_Toc240966065"/>
      <w:r>
        <w:rPr>
          <w:rFonts w:ascii="Arial" w:eastAsia="Arial" w:hAnsi="Arial" w:cs="Arial"/>
        </w:rPr>
        <w:t>10.1 Introduction to the research and key findings</w:t>
      </w:r>
      <w:bookmarkEnd w:id="166"/>
    </w:p>
    <w:p w14:paraId="341670B2"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Through the data collected and presented across the empirical chapters, and through analysing the existing literature and visual media, it becomes apparent that while many studies address sustainability, community participation, and cultural resilience, they have overlooked how settler institutions curate and control representations of Indigeneity. In this, clear gaps have been presented and identified in understanding the racial, economic, and epistemic dimensions of Indigenous representations of the Semin</w:t>
      </w:r>
      <w:r>
        <w:rPr>
          <w:rFonts w:ascii="Arial" w:eastAsia="Arial" w:hAnsi="Arial" w:cs="Arial"/>
          <w:color w:val="000000"/>
        </w:rPr>
        <w:t>ole and Miccosukee. Through identifying these gaps, this thesis has established the foundation for this project, which will explore them in depth in the analysis sections that follow.</w:t>
      </w:r>
    </w:p>
    <w:p w14:paraId="5BEE3AEC" w14:textId="1206A1BE"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In acknowledging this, it is noted that this thesis contributes to critical settler colonial studies and tourism research</w:t>
      </w:r>
      <w:r>
        <w:rPr>
          <w:rFonts w:ascii="Arial" w:eastAsia="Arial" w:hAnsi="Arial" w:cs="Arial"/>
          <w:color w:val="000000"/>
        </w:rPr>
        <w:t xml:space="preserve"> through analysing the performance and representation of Indigeneity across South Florida, one of the United States’ most commercially visible regions. The area’s dense interaction between tourists, locals, and the Seminole and Miccosukee nations provides a unique context for examining how Indigenous identities are constructed, mediated, and commodified within a landscape shaped by settler colonial power.</w:t>
      </w:r>
    </w:p>
    <w:p w14:paraId="5D575CE7"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This, alongside visual geography and decolonial ethnography as key methodological tools, meant I approached the research as a critical researcher and as a tourist. This dual position enabled a more nuanced engagement with Indigenous representation, allowing me to see how visual and spatial practices shape the circulation of Indigenous identity within South Florida’s settler colonial framework. In this, these methodological approaches, combined with a theoretical grounding in settler colonialism and Indigeno</w:t>
      </w:r>
      <w:r>
        <w:rPr>
          <w:rFonts w:ascii="Arial" w:eastAsia="Arial" w:hAnsi="Arial" w:cs="Arial"/>
          <w:color w:val="000000"/>
        </w:rPr>
        <w:t>us studies, form what I believe to be an original contribution to the field, in offering one of the first critical analyses of South Florida’s Indigenous representations as instruments of settler colonial assimilation, erasure, and control.</w:t>
      </w:r>
    </w:p>
    <w:p w14:paraId="7B93FCB4" w14:textId="0912A836"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In this, the study's use of tourism and the visual landscape as analytical frameworks </w:t>
      </w:r>
      <w:r w:rsidR="00F44422">
        <w:rPr>
          <w:rFonts w:ascii="Arial" w:eastAsia="Arial" w:hAnsi="Arial" w:cs="Arial"/>
          <w:color w:val="000000"/>
        </w:rPr>
        <w:t>provide</w:t>
      </w:r>
      <w:r>
        <w:rPr>
          <w:rFonts w:ascii="Arial" w:eastAsia="Arial" w:hAnsi="Arial" w:cs="Arial"/>
          <w:color w:val="000000"/>
        </w:rPr>
        <w:t xml:space="preserve"> a novel contribution to tourism studies. Through applying visual media analysis alongside decolonial textual critique, I developed a system for categorising and synthesising large quantities of visual data, enabling clear comparative insights into how settler colonial powers manipulate Indigenous imagery. This approach exposes a neglected dimension in tourism scholarship. One that needs further interrogation, not only into how Indigenous representations are displayed but also </w:t>
      </w:r>
      <w:r w:rsidR="00E40CD6">
        <w:rPr>
          <w:rFonts w:ascii="Arial" w:eastAsia="Arial" w:hAnsi="Arial" w:cs="Arial"/>
          <w:color w:val="000000"/>
        </w:rPr>
        <w:t xml:space="preserve">into </w:t>
      </w:r>
      <w:r>
        <w:rPr>
          <w:rFonts w:ascii="Arial" w:eastAsia="Arial" w:hAnsi="Arial" w:cs="Arial"/>
          <w:color w:val="000000"/>
        </w:rPr>
        <w:t xml:space="preserve">the architects and distributors of these visual landscapes. </w:t>
      </w:r>
    </w:p>
    <w:p w14:paraId="77529014"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In addition, drawing on Barker’s (2021) theory of bricolage, I identify an underexplored intersection between Indigenous representation and tourism studies, opening new directions for analysing how Indigenous identities are visually and textually constructed within settler contexts.</w:t>
      </w:r>
    </w:p>
    <w:p w14:paraId="356E57DC"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The theoretical and methodological framework of this thesis guided the analysis of primary data to address the following research questions:</w:t>
      </w:r>
    </w:p>
    <w:p w14:paraId="652D71DB" w14:textId="77777777" w:rsidR="009F0C56" w:rsidRDefault="00653842">
      <w:pPr>
        <w:numPr>
          <w:ilvl w:val="0"/>
          <w:numId w:val="1"/>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lastRenderedPageBreak/>
        <w:t>How are Indigenous identities and histories constructed, mediated, and circulated within South Florida’s settler-colonial landscape?</w:t>
      </w:r>
    </w:p>
    <w:p w14:paraId="1B75BDB8" w14:textId="77777777" w:rsidR="009F0C56" w:rsidRDefault="00653842">
      <w:pPr>
        <w:numPr>
          <w:ilvl w:val="0"/>
          <w:numId w:val="1"/>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Who controls Indigenous narratives, and how are they used as instruments of power?</w:t>
      </w:r>
    </w:p>
    <w:p w14:paraId="0EFC098C" w14:textId="77777777" w:rsidR="009F0C56" w:rsidRDefault="00653842">
      <w:pPr>
        <w:numPr>
          <w:ilvl w:val="0"/>
          <w:numId w:val="1"/>
        </w:numPr>
        <w:pBdr>
          <w:top w:val="nil"/>
          <w:left w:val="nil"/>
          <w:bottom w:val="nil"/>
          <w:right w:val="nil"/>
          <w:between w:val="nil"/>
        </w:pBdr>
        <w:spacing w:line="240" w:lineRule="auto"/>
        <w:rPr>
          <w:rFonts w:ascii="Arial" w:eastAsia="Arial" w:hAnsi="Arial" w:cs="Arial"/>
          <w:i/>
          <w:iCs/>
          <w:color w:val="000000"/>
        </w:rPr>
      </w:pPr>
      <w:r>
        <w:rPr>
          <w:rFonts w:ascii="Arial" w:eastAsia="Arial" w:hAnsi="Arial" w:cs="Arial"/>
          <w:i/>
          <w:iCs/>
          <w:color w:val="000000"/>
        </w:rPr>
        <w:t>How do settler colonial representations of ‘the Indian’ assimilate and erase Indigenous contemporary being?</w:t>
      </w:r>
    </w:p>
    <w:p w14:paraId="76070132"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The first three empirical chapters respond primarily to the first question, while the chapter on historization addresses issues of representational control, looking at the idea of time and Indigenous communities being folkorised. This all aided the final chapter, which worked primarily on </w:t>
      </w:r>
      <w:r>
        <w:rPr>
          <w:rFonts w:ascii="Arial" w:eastAsia="Arial" w:hAnsi="Arial" w:cs="Arial"/>
          <w:color w:val="0A0A0A"/>
          <w:highlight w:val="white"/>
        </w:rPr>
        <w:t>territorialization </w:t>
      </w:r>
      <w:r>
        <w:rPr>
          <w:rFonts w:ascii="Arial" w:eastAsia="Arial" w:hAnsi="Arial" w:cs="Arial"/>
          <w:color w:val="000000"/>
        </w:rPr>
        <w:t xml:space="preserve">and land, demonstrating how Indigenous representations function as mechanisms of settler colonial sustainability and power maintenance. In this, the last research question was an accumulative process of analysis undertaken to explore and highlight the patterns of erasure and assimilation that occur through settler colonial Indian representations in dismantling contemporary Indigenous beings.  </w:t>
      </w:r>
    </w:p>
    <w:p w14:paraId="05C5C3FE" w14:textId="76476D55" w:rsidR="009F0C56" w:rsidRDefault="00653842">
      <w:pPr>
        <w:rPr>
          <w:rFonts w:ascii="Arial" w:eastAsia="Arial" w:hAnsi="Arial" w:cs="Arial"/>
        </w:rPr>
      </w:pPr>
      <w:r>
        <w:rPr>
          <w:rFonts w:ascii="Arial" w:eastAsia="Arial" w:hAnsi="Arial" w:cs="Arial"/>
        </w:rPr>
        <w:t xml:space="preserve">The four empirical chapters demonstrate that homogenisation, commodification, historization, and territorialization are not isolated representational problems. They create a process through which settler colonial society constructs Indigenous difference, makes it consumable, while relocating it into the past, and reifying its understanding of Indigenous presence in space. In this, this thesis argues that settler colonial Indian representations should be understood as a form of colonial power. </w:t>
      </w:r>
      <w:r w:rsidR="00E40CD6">
        <w:rPr>
          <w:rFonts w:ascii="Arial" w:eastAsia="Arial" w:hAnsi="Arial" w:cs="Arial"/>
        </w:rPr>
        <w:t>It</w:t>
      </w:r>
      <w:r>
        <w:rPr>
          <w:rFonts w:ascii="Arial" w:eastAsia="Arial" w:hAnsi="Arial" w:cs="Arial"/>
        </w:rPr>
        <w:t xml:space="preserve"> continually produces images, meanings, temporalities, and spatial arrangements through which settler society can appear inclusive of Indigeneity while maintaining asymmetrical control over Indigenous sovereignty, contemporary presence, and representation.</w:t>
      </w:r>
    </w:p>
    <w:p w14:paraId="0EFC9F40" w14:textId="091E9A5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In this, the fieldwork spans several sites, including settler institutions, academic spaces, capitalist enterprises, and Indigenous-run locations. These varied research locations reveal how Indigenous imagery has been and is being manipulated and domesticated by settler actors to produce a homogenised “Indian” figure. One that upholds rather than challenges colonial hierarchies. </w:t>
      </w:r>
      <w:r w:rsidR="00E40CD6">
        <w:rPr>
          <w:rFonts w:ascii="Arial" w:eastAsia="Arial" w:hAnsi="Arial" w:cs="Arial"/>
          <w:color w:val="000000"/>
        </w:rPr>
        <w:t>The</w:t>
      </w:r>
      <w:r>
        <w:rPr>
          <w:rFonts w:ascii="Arial" w:eastAsia="Arial" w:hAnsi="Arial" w:cs="Arial"/>
          <w:color w:val="000000"/>
        </w:rPr>
        <w:t xml:space="preserve"> assimilation of Indigenous iconography and spirituality by settler society is not a progressive form of inclusivity but a form of colonial control. Through statues, texts, language, and architecture, these assimilative acts serve three key functions:</w:t>
      </w:r>
    </w:p>
    <w:p w14:paraId="0C7601AA" w14:textId="77777777" w:rsidR="009F0C56" w:rsidRDefault="00653842">
      <w:pPr>
        <w:numPr>
          <w:ilvl w:val="0"/>
          <w:numId w:val="2"/>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To construct a homogenised Indigenous figure that performs inclusivity while masking ongoing colonial domination.</w:t>
      </w:r>
    </w:p>
    <w:p w14:paraId="262A9F11" w14:textId="77777777" w:rsidR="009F0C56" w:rsidRDefault="00653842">
      <w:pPr>
        <w:numPr>
          <w:ilvl w:val="0"/>
          <w:numId w:val="2"/>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To facilitate erasure by excluding Indigenous ontologies, identities, and epistemologies that resist colonial aesthetics.</w:t>
      </w:r>
    </w:p>
    <w:p w14:paraId="4C250D84" w14:textId="77777777" w:rsidR="009F0C56" w:rsidRDefault="00653842">
      <w:pPr>
        <w:numPr>
          <w:ilvl w:val="0"/>
          <w:numId w:val="2"/>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To undermine Seminole and Miccosukee sovereignty, effacing their presence as contemporary political and cultural agents within the landscape.</w:t>
      </w:r>
    </w:p>
    <w:p w14:paraId="44845F96"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The following section outlines the thesis’s key contributions to scholarship and identifies areas for future research before concluding with final reflections.</w:t>
      </w:r>
    </w:p>
    <w:p w14:paraId="2553E725" w14:textId="77777777" w:rsidR="009F0C56" w:rsidRDefault="009F0C56"/>
    <w:p w14:paraId="1ED72E44" w14:textId="77777777" w:rsidR="009F0C56" w:rsidRDefault="00653842">
      <w:pPr>
        <w:pStyle w:val="Heading3"/>
        <w:rPr>
          <w:sz w:val="32"/>
          <w:szCs w:val="32"/>
        </w:rPr>
      </w:pPr>
      <w:bookmarkStart w:id="167" w:name="_Toc240966066"/>
      <w:r>
        <w:rPr>
          <w:sz w:val="32"/>
          <w:szCs w:val="32"/>
        </w:rPr>
        <w:lastRenderedPageBreak/>
        <w:t>10.2 Academic contributions: a fight for representations</w:t>
      </w:r>
      <w:bookmarkEnd w:id="167"/>
      <w:r>
        <w:rPr>
          <w:sz w:val="32"/>
          <w:szCs w:val="32"/>
        </w:rPr>
        <w:t xml:space="preserve"> </w:t>
      </w:r>
    </w:p>
    <w:p w14:paraId="4016A68B" w14:textId="77777777" w:rsidR="009F0C56" w:rsidRDefault="00653842">
      <w:pPr>
        <w:rPr>
          <w:rFonts w:ascii="Arial" w:eastAsia="Arial" w:hAnsi="Arial" w:cs="Arial"/>
        </w:rPr>
      </w:pPr>
      <w:r>
        <w:rPr>
          <w:rFonts w:ascii="Arial" w:eastAsia="Arial" w:hAnsi="Arial" w:cs="Arial"/>
        </w:rPr>
        <w:t xml:space="preserve">As noted, this section will present the contributions of this thesis’s investigation to the existing literature in the field and how it is placed within these debates. To frame this, three key sites of contribution will be discussed: theory, methodology and empirics. </w:t>
      </w:r>
    </w:p>
    <w:p w14:paraId="3FFFF30B" w14:textId="77777777" w:rsidR="009F0C56" w:rsidRDefault="00653842">
      <w:pPr>
        <w:pStyle w:val="Heading3"/>
        <w:rPr>
          <w:sz w:val="32"/>
          <w:szCs w:val="32"/>
        </w:rPr>
      </w:pPr>
      <w:bookmarkStart w:id="168" w:name="_Toc240966067"/>
      <w:r>
        <w:rPr>
          <w:sz w:val="32"/>
          <w:szCs w:val="32"/>
        </w:rPr>
        <w:t>10.3 Empirical contributions</w:t>
      </w:r>
      <w:bookmarkEnd w:id="168"/>
      <w:r>
        <w:rPr>
          <w:sz w:val="32"/>
          <w:szCs w:val="32"/>
        </w:rPr>
        <w:t xml:space="preserve"> </w:t>
      </w:r>
    </w:p>
    <w:p w14:paraId="591BD0F3" w14:textId="5B68AF8A"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This thesis's empirical contribution lies in examining settler tourism in South Florida as an ongoing form of colonial control. Through exploring the intersection of sustainable and Indigenous tourism and representations, this thesis uncovered a paradox: </w:t>
      </w:r>
      <w:r>
        <w:rPr>
          <w:rFonts w:ascii="Arial" w:eastAsia="Arial" w:hAnsi="Arial" w:cs="Arial"/>
          <w:color w:val="000000"/>
        </w:rPr>
        <w:t xml:space="preserve">industries claiming to foster cultural respect and environmental care are also reasserting settler-colonial hierarchies and epistemic dominance. This was analysed through extensive visual, textual, and spatial analysis. </w:t>
      </w:r>
      <w:r w:rsidR="00E40CD6">
        <w:rPr>
          <w:rFonts w:ascii="Arial" w:eastAsia="Arial" w:hAnsi="Arial" w:cs="Arial"/>
          <w:color w:val="000000"/>
        </w:rPr>
        <w:t>The</w:t>
      </w:r>
      <w:r>
        <w:rPr>
          <w:rFonts w:ascii="Arial" w:eastAsia="Arial" w:hAnsi="Arial" w:cs="Arial"/>
          <w:color w:val="000000"/>
        </w:rPr>
        <w:t xml:space="preserve"> study </w:t>
      </w:r>
      <w:r w:rsidR="00E40CD6">
        <w:rPr>
          <w:rFonts w:ascii="Arial" w:eastAsia="Arial" w:hAnsi="Arial" w:cs="Arial"/>
          <w:color w:val="000000"/>
        </w:rPr>
        <w:t>highlights</w:t>
      </w:r>
      <w:r>
        <w:rPr>
          <w:rFonts w:ascii="Arial" w:eastAsia="Arial" w:hAnsi="Arial" w:cs="Arial"/>
          <w:color w:val="000000"/>
        </w:rPr>
        <w:t xml:space="preserve"> how Indigenous representations act as a subtle yet widespread mechanism through which settler society manages, commodifies, and shapes Indigenous identities, especially those of the Seminole and Miccosukee nations. </w:t>
      </w:r>
    </w:p>
    <w:p w14:paraId="1B2BDFF5"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The choice of Florida as a research site is intentional; although settler colonialism has been deeply analysed in countries like Canada, Australia, and New Zealand, its embedded logics within the US South's tourism economy, particularly South Florida, are less studied (Pasternak 2020). Florida uniquely combines settler modernity, environmental spectacle, and Indigenous representation. As a globally shaped tourism landscape, it is highly visible yet epistemically obscure: Indigenous presence is frequently in</w:t>
      </w:r>
      <w:r>
        <w:rPr>
          <w:rFonts w:ascii="Arial" w:eastAsia="Arial" w:hAnsi="Arial" w:cs="Arial"/>
          <w:color w:val="000000"/>
        </w:rPr>
        <w:t xml:space="preserve">voked in imagery but largely excluded from political and economic structures (Burrow 2018). </w:t>
      </w:r>
    </w:p>
    <w:p w14:paraId="7D3B8022" w14:textId="0E7C206C"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Thus, the Seminole and Miccosukee are caught in a dual position; they are vital to Florida’s tourism identity, but remain marginalised and representationally manipulated within the developmental and cultural discourses. In this, empirically, this thesis reveals how Indigenous representations through the likes of tourism paradoxically </w:t>
      </w:r>
      <w:r w:rsidR="00E40CD6">
        <w:rPr>
          <w:rFonts w:ascii="Arial" w:eastAsia="Arial" w:hAnsi="Arial" w:cs="Arial"/>
          <w:color w:val="000000"/>
        </w:rPr>
        <w:t>enable</w:t>
      </w:r>
      <w:r>
        <w:rPr>
          <w:rFonts w:ascii="Arial" w:eastAsia="Arial" w:hAnsi="Arial" w:cs="Arial"/>
          <w:color w:val="000000"/>
        </w:rPr>
        <w:t xml:space="preserve"> Indigenous visibility and erasure. Although hailed as an ethical and restorative model, it often requires Indigenous participation to legitimise authenticity, but this inclusion tends to entail the selective use of Indigenous knowledge, symbols, and ontologies for settler consumption, such as the dream catcher. This cyclical exploitation prompts Indigenous communities to share only what fits settler ideals of spirituality, nature, and timelessness, turning tourism into a process of containment rather than </w:t>
      </w:r>
      <w:r>
        <w:rPr>
          <w:rFonts w:ascii="Arial" w:eastAsia="Arial" w:hAnsi="Arial" w:cs="Arial"/>
          <w:color w:val="000000"/>
        </w:rPr>
        <w:t xml:space="preserve">empowerment, maintaining settler control under moral pretences of care and conservation. </w:t>
      </w:r>
    </w:p>
    <w:p w14:paraId="6EAF9927"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In this, the study’s findings, based on site observations, image analysis, and textual artefacts like travel literature, signage, and museum displays, reveal how representations of the Seminole and Miccosukee are curated to uphold settler fantasies of reconciliation and eco-modernity. These visual and discursive portrayals obscure Indigenous sovereignty and reinforce a settler narrative of progress, where cultural commodification appears as coexistence (Laing 2021). Therefore, in focusing on South Florida, </w:t>
      </w:r>
      <w:r>
        <w:rPr>
          <w:rFonts w:ascii="Arial" w:eastAsia="Arial" w:hAnsi="Arial" w:cs="Arial"/>
          <w:color w:val="000000"/>
        </w:rPr>
        <w:t xml:space="preserve">this thesis offers a novel empirical view of how settler colonialism persists through tourism in highly urbanised, globalised, and economically reliant environments. It invites critical reflection on the ethics of tourism, illustrating how even progressive discourses can mask enduring colonial power through moral, environmental, and aesthetic frameworks of sustainability. </w:t>
      </w:r>
    </w:p>
    <w:p w14:paraId="6193504C" w14:textId="124975CC"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lastRenderedPageBreak/>
        <w:t xml:space="preserve">This work, therefore, connects empirical observation with theoretical insight, showing how settler colonial representations, romanticised aesthetic processes, and the spatial politics of urban decolonisation intersect materially in South Florida. Overall, it demonstrates that settler colonialism persists not only through policies or violence but through everyday visual, cultural, and economic practices of </w:t>
      </w:r>
      <w:r w:rsidR="00E40CD6">
        <w:rPr>
          <w:rFonts w:ascii="Arial" w:eastAsia="Arial" w:hAnsi="Arial" w:cs="Arial"/>
          <w:color w:val="000000"/>
        </w:rPr>
        <w:t>representation</w:t>
      </w:r>
      <w:r>
        <w:rPr>
          <w:rFonts w:ascii="Arial" w:eastAsia="Arial" w:hAnsi="Arial" w:cs="Arial"/>
          <w:color w:val="000000"/>
        </w:rPr>
        <w:t xml:space="preserve"> that influence perceptions and governance of Indigeneity in settler consciousness and unconsciousness.</w:t>
      </w:r>
    </w:p>
    <w:p w14:paraId="6B7C596F" w14:textId="77777777" w:rsidR="009F0C56" w:rsidRDefault="00653842">
      <w:pPr>
        <w:pStyle w:val="Heading3"/>
        <w:rPr>
          <w:sz w:val="32"/>
          <w:szCs w:val="32"/>
        </w:rPr>
      </w:pPr>
      <w:bookmarkStart w:id="169" w:name="_Toc240966068"/>
      <w:r>
        <w:rPr>
          <w:sz w:val="32"/>
          <w:szCs w:val="32"/>
        </w:rPr>
        <w:t>10.4 Methodological contributions</w:t>
      </w:r>
      <w:bookmarkEnd w:id="169"/>
      <w:r>
        <w:rPr>
          <w:sz w:val="32"/>
          <w:szCs w:val="32"/>
        </w:rPr>
        <w:t xml:space="preserve"> </w:t>
      </w:r>
    </w:p>
    <w:p w14:paraId="1C7FF1C2" w14:textId="3B06D581"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This study positions visual geography as a key methodological and analytical tool in decolonial research, as it enables a detailed examination of how settler colonial power is created, circulated, and naturalised through images, landscapes, and spatial designs. In this, visual geography as a methodological contribution works </w:t>
      </w:r>
      <w:r w:rsidR="00E40CD6">
        <w:rPr>
          <w:rFonts w:ascii="Arial" w:eastAsia="Arial" w:hAnsi="Arial" w:cs="Arial"/>
          <w:color w:val="000000"/>
        </w:rPr>
        <w:t>by</w:t>
      </w:r>
      <w:r>
        <w:rPr>
          <w:rFonts w:ascii="Arial" w:eastAsia="Arial" w:hAnsi="Arial" w:cs="Arial"/>
          <w:color w:val="000000"/>
        </w:rPr>
        <w:t xml:space="preserve"> allowing the researcher to analyse not just what is depicted on the surface level of the image, but also the underlying epistemic structures that determine visibility, how certain subjects, places, and narratives are made legible within settler imaginaries, while others are concealed or erased (Rose 2015). </w:t>
      </w:r>
    </w:p>
    <w:p w14:paraId="736A71D2"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Through this context, the visual field is not neutral; it functions as a colonial archive where representation acts as a mechanism of governance and control. When combining visual geography with settler colonial theory, this thesis highlights imagery as a vital site of power. Photographs, tourism ads, museum displays, and architectural motifs are seen as active agents in reinforcing colonial hierarchies. They do not simply portray Indigenous life; they shape its perception within settler epistemologies (Ros</w:t>
      </w:r>
      <w:r>
        <w:rPr>
          <w:rFonts w:ascii="Arial" w:eastAsia="Arial" w:hAnsi="Arial" w:cs="Arial"/>
          <w:color w:val="000000"/>
        </w:rPr>
        <w:t xml:space="preserve">e 1996). </w:t>
      </w:r>
    </w:p>
    <w:p w14:paraId="559D7707"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To explore and critique these visual structures, I employed a categorisation approach, dividing imagery into three broad types: heritage images (depictions of historical Indigeneity or preservationist stories), touristic marketing (commercial uses of Indigenous symbols or landscapes), and urban memorialisation (public artworks, statues, and design features within city spaces). These categories were structured through visual sampling and interpretive coding during fieldwork. In this, the images were gathered</w:t>
      </w:r>
      <w:r>
        <w:rPr>
          <w:rFonts w:ascii="Arial" w:eastAsia="Arial" w:hAnsi="Arial" w:cs="Arial"/>
          <w:color w:val="000000"/>
        </w:rPr>
        <w:t xml:space="preserve"> from various sources, such as museum archives, public displays, tourism brochures, and on-site photography, to trace representation patterns across physical and mediated spaces. </w:t>
      </w:r>
    </w:p>
    <w:p w14:paraId="14EC3D8F" w14:textId="33031140"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Following this, all categories were analysed for their semiotic makeup, spatial placement, and discursive framing, </w:t>
      </w:r>
      <w:r>
        <w:rPr>
          <w:rFonts w:ascii="Arial" w:eastAsia="Arial" w:hAnsi="Arial" w:cs="Arial"/>
          <w:color w:val="000000"/>
        </w:rPr>
        <w:t xml:space="preserve">helping to map how different visual forms contribute to a cohesive settler colonial aesthetics of power (Oxman 2010). Through this, utilising visual geography through a decolonial lens, this approach revealed how visual representations of Indigeneity function as a political technology, </w:t>
      </w:r>
      <w:r>
        <w:rPr>
          <w:rFonts w:ascii="Arial" w:eastAsia="Arial" w:hAnsi="Arial" w:cs="Arial"/>
          <w:color w:val="000000"/>
        </w:rPr>
        <w:t>supporting settler legitimacy through the guise of cultural appreciation. Thus, highlighting how the aesthetics of inclusion, sustainability, and heritage can mask ongoing colonial exclusions of culture, identity, epistemology and ontology. Consequently, this framework redefines visual geography as a decolonial way of seeing, challenging settler colonial optical regimes and opening new paths for representing Indigenous presence, sovereignty, and futurity beyond the settler gaze of mythology (Oxman 2010).</w:t>
      </w:r>
    </w:p>
    <w:p w14:paraId="46024DA6" w14:textId="77777777" w:rsidR="009F0C56" w:rsidRDefault="009F0C56">
      <w:pPr>
        <w:rPr>
          <w:rFonts w:ascii="Arial" w:eastAsia="Arial" w:hAnsi="Arial" w:cs="Arial"/>
        </w:rPr>
      </w:pPr>
    </w:p>
    <w:p w14:paraId="6169A3B5" w14:textId="77777777" w:rsidR="009F0C56" w:rsidRDefault="00653842">
      <w:pPr>
        <w:pStyle w:val="Heading3"/>
        <w:rPr>
          <w:sz w:val="32"/>
          <w:szCs w:val="32"/>
        </w:rPr>
      </w:pPr>
      <w:bookmarkStart w:id="170" w:name="_Toc240966069"/>
      <w:r>
        <w:rPr>
          <w:sz w:val="32"/>
          <w:szCs w:val="32"/>
        </w:rPr>
        <w:lastRenderedPageBreak/>
        <w:t>10.5 Theoretical contributions</w:t>
      </w:r>
      <w:bookmarkEnd w:id="170"/>
      <w:r>
        <w:rPr>
          <w:sz w:val="32"/>
          <w:szCs w:val="32"/>
        </w:rPr>
        <w:t xml:space="preserve"> </w:t>
      </w:r>
    </w:p>
    <w:p w14:paraId="2CBA3EC2"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A major theoretical contribution of this thesis lies in expanding settler colonial theory to include the complex and interconnected relations between tourism and the representation of Indigeneity. This intervention has been essential in uncovering the often-hidden barriers and epistemic borders that settler society constructs to diminish Seminole and Miccosukee agency as independent, sovereign actors. </w:t>
      </w:r>
    </w:p>
    <w:p w14:paraId="00065074"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While previous scholarship on Indigenous tourism has examined economic participation and social relations, this study progresses the discipline by illustrating that settler colonial structures go beyond material and economic dimensions. In this, I argue that fundamentally, an epistemological shift occurs through Indigenous representations that function in shaping the frameworks through which Indigenous identities are viewed, represented, and interpreted within South Florida’s cultural and touristic landscap</w:t>
      </w:r>
      <w:r>
        <w:rPr>
          <w:rFonts w:ascii="Arial" w:eastAsia="Arial" w:hAnsi="Arial" w:cs="Arial"/>
          <w:color w:val="000000"/>
        </w:rPr>
        <w:t>e. Therefore, this thesis theorises how colonial epistemologies of power mediate and manipulate Indigenous representation, as seen in visual and spatial sites such as the imagery along Alligator Alley, where distorted caricatures of Indigeneity circulate as aesthetic symbols of regional identity. In this, these images operate to highlight how settler colonialism functions not only through land and labour but also through the symbolic, in producing and reproducing Indigenous figures in methods that uphold se</w:t>
      </w:r>
      <w:r>
        <w:rPr>
          <w:rFonts w:ascii="Arial" w:eastAsia="Arial" w:hAnsi="Arial" w:cs="Arial"/>
          <w:color w:val="000000"/>
        </w:rPr>
        <w:t xml:space="preserve">ttler legitimacy and moral authority. </w:t>
      </w:r>
    </w:p>
    <w:p w14:paraId="0D49198E"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To engage with these dynamics ethically, it was necessary first to understand who the Seminole and Miccosukee are, not as abstract subjects of study, but as sovereign nations whose epistemologies, histories, and ontologies must be acknowledged on their own terms. In this, my approach aimed to critically reflect on my own positionality as a settler researcher and to examine how my engagement with South Florida’s representations of Indigeneity is inherently mediated through settler-colonial discourse. Within </w:t>
      </w:r>
      <w:r>
        <w:rPr>
          <w:rFonts w:ascii="Arial" w:eastAsia="Arial" w:hAnsi="Arial" w:cs="Arial"/>
          <w:color w:val="000000"/>
        </w:rPr>
        <w:t xml:space="preserve">this framework, the term “Indian” became a key theoretical tool, functioning as a colonial adjective that reveals how settler society constructs Indigeneity through representational violence and misrecognition. </w:t>
      </w:r>
    </w:p>
    <w:p w14:paraId="486624E5"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This is most clearly demonstrated in cultural symbols such as the settler-built Chickee huts and statues that adorn tourist sites across South Florida. These artefacts, while referencing Indigenous aesthetics, are stripped of cultural specificity and epistemological depth. They serve as empty signifiers of the Seminole and Miccosukee while being reimagined within a settler visual economy. Allowing such representations to enable a production of what this thesis theorises as the “settler Indian”, a malleable,</w:t>
      </w:r>
      <w:r>
        <w:rPr>
          <w:rFonts w:ascii="Arial" w:eastAsia="Arial" w:hAnsi="Arial" w:cs="Arial"/>
          <w:color w:val="000000"/>
        </w:rPr>
        <w:t xml:space="preserve"> depoliticised figure of Indigeneity that can be safely incorporated into settler narratives of heritage, sustainability, and reconciliation. </w:t>
      </w:r>
    </w:p>
    <w:p w14:paraId="11A23131"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Through this construction, Indigeneity is domesticated and rendered harmless, its sovereignty replaced by symbolic inclusion that ultimately reinforces settler authority. Thus, by exposing these processes, this thesis offers a theoretical framework to understand how settler colonialism persists through cultural and representational economies. It underscores the need to move beyond superficial analyses of inclusion or visibility toward a deeper understanding of how epistemic power dictates the terms under wh</w:t>
      </w:r>
      <w:r>
        <w:rPr>
          <w:rFonts w:ascii="Arial" w:eastAsia="Arial" w:hAnsi="Arial" w:cs="Arial"/>
          <w:color w:val="000000"/>
        </w:rPr>
        <w:t>ich Indigenous presence is acknowledged, displayed, and controlled.</w:t>
      </w:r>
    </w:p>
    <w:p w14:paraId="1645D775" w14:textId="03E282A8"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The second theoretical contribution that this thesis presents is the development of Romantic Bricolage, an original extension of Barker’s (2021) concept of </w:t>
      </w:r>
      <w:r>
        <w:rPr>
          <w:rFonts w:ascii="Arial" w:eastAsia="Arial" w:hAnsi="Arial" w:cs="Arial"/>
          <w:i/>
          <w:iCs/>
          <w:color w:val="000000"/>
        </w:rPr>
        <w:t>settler bricolage</w:t>
      </w:r>
      <w:r>
        <w:rPr>
          <w:rFonts w:ascii="Arial" w:eastAsia="Arial" w:hAnsi="Arial" w:cs="Arial"/>
          <w:color w:val="000000"/>
        </w:rPr>
        <w:t xml:space="preserve">. Whereas settler bricolage describes how settler societies collect and </w:t>
      </w:r>
      <w:r>
        <w:rPr>
          <w:rFonts w:ascii="Arial" w:eastAsia="Arial" w:hAnsi="Arial" w:cs="Arial"/>
          <w:color w:val="000000"/>
        </w:rPr>
        <w:lastRenderedPageBreak/>
        <w:t xml:space="preserve">rearrange fragments of Indigenous culture into coherent narratives that serve settler identity, Romantic Bricolage identifies a specifically </w:t>
      </w:r>
      <w:r>
        <w:rPr>
          <w:rFonts w:ascii="Arial" w:eastAsia="Arial" w:hAnsi="Arial" w:cs="Arial"/>
          <w:i/>
          <w:iCs/>
          <w:color w:val="000000"/>
        </w:rPr>
        <w:t>aesthetic and affective mode</w:t>
      </w:r>
      <w:r>
        <w:rPr>
          <w:rFonts w:ascii="Arial" w:eastAsia="Arial" w:hAnsi="Arial" w:cs="Arial"/>
          <w:color w:val="000000"/>
        </w:rPr>
        <w:t xml:space="preserve"> of that process. It names the romanticising tendency through which settler society reconstructs Indigeneity into an idealised and sentimentalised image, one that satisfies settler desires for authenticity, innocence, and belonging while erasing the political and epistemic presence of living Indigenous nations in this drawing and expanding </w:t>
      </w:r>
      <w:r w:rsidR="00E40CD6">
        <w:rPr>
          <w:rFonts w:ascii="Arial" w:eastAsia="Arial" w:hAnsi="Arial" w:cs="Arial"/>
          <w:color w:val="000000"/>
        </w:rPr>
        <w:t xml:space="preserve">on </w:t>
      </w:r>
      <w:r>
        <w:rPr>
          <w:rFonts w:ascii="Arial" w:eastAsia="Arial" w:hAnsi="Arial" w:cs="Arial"/>
          <w:color w:val="000000"/>
        </w:rPr>
        <w:t xml:space="preserve">the likes of Aldred's work on Plastic Shamans as well. </w:t>
      </w:r>
    </w:p>
    <w:p w14:paraId="10674EE4"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Romantic Bricolage operates as a representational tool of settler colonialism, in assembling cultural signifiers, such as feathers, beadwork, Chickee huts, statues, dreamcatchers, and spiritual motifs, into consumable symbols that appear reverential but function to neutralise Indigenous sovereignty. In this, I identify how Romantic bricolage functions in transforming Indigenous identity into an aesthetic object, one that reassures the moral legitimacy of settler society by recoding colonial violence as cult</w:t>
      </w:r>
      <w:r>
        <w:rPr>
          <w:rFonts w:ascii="Arial" w:eastAsia="Arial" w:hAnsi="Arial" w:cs="Arial"/>
          <w:color w:val="000000"/>
        </w:rPr>
        <w:t xml:space="preserve">ural admiration. This process performs what Fanon (2001) calls </w:t>
      </w:r>
      <w:r>
        <w:rPr>
          <w:rFonts w:ascii="Arial" w:eastAsia="Arial" w:hAnsi="Arial" w:cs="Arial"/>
          <w:i/>
          <w:iCs/>
          <w:color w:val="000000"/>
        </w:rPr>
        <w:t>the fetishism of the native</w:t>
      </w:r>
      <w:r>
        <w:rPr>
          <w:rFonts w:ascii="Arial" w:eastAsia="Arial" w:hAnsi="Arial" w:cs="Arial"/>
          <w:color w:val="000000"/>
        </w:rPr>
        <w:t xml:space="preserve">, whereby the colonial subject is not simply erased but reconstituted as an exotic figure of spiritual and ecological purity. </w:t>
      </w:r>
    </w:p>
    <w:p w14:paraId="664A3AD2"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In this, Romantic Bricolage, in this sense, is a continuation of colonial desire through the language of appreciation. Unlike Barker’s analysis, which focuses on the larger spatial/global context, this thesis positions Romantic Bricolage within the distinct socio-economic and cultural landscape of South Florida, a region defined by tourism, spectacle, and urban mythmaking. Here, the Seminole and Miccosukee are rendered simultaneously hyper-visible and invisible, where they are viewed as present everywhere a</w:t>
      </w:r>
      <w:r>
        <w:rPr>
          <w:rFonts w:ascii="Arial" w:eastAsia="Arial" w:hAnsi="Arial" w:cs="Arial"/>
          <w:color w:val="000000"/>
        </w:rPr>
        <w:t>s cultural imagery yet absent as sovereign nations. Thus, Romantic Bricolage in this context manifests through books, tourism brochures, museum displays, and roadside monuments that visually construct Indigeneity as a vanished past. Sepia-toned photographs, aged textures, and nostalgic narratives of “the last of the Indians” create an aura of temporal distance, positioning Indigenous peoples as relics of a premodern world. This aesthetic, while seemingly benign, functions as an epistemological barrier; it t</w:t>
      </w:r>
      <w:r>
        <w:rPr>
          <w:rFonts w:ascii="Arial" w:eastAsia="Arial" w:hAnsi="Arial" w:cs="Arial"/>
          <w:color w:val="000000"/>
        </w:rPr>
        <w:t xml:space="preserve">emporally freezes Indigeneity in time and denies its contemporaneity, effectively severing the Seminole and Miccosukee peoples from the political and ontological present landscape of South Florida (Mignolo, 2007; Tuck &amp; Yang, 2012). </w:t>
      </w:r>
    </w:p>
    <w:p w14:paraId="48BF7AC2" w14:textId="5A1618DA"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This thesis identifies such visual and textual assemblages as examples of Romantic Bricolage in action: a process through which settler society constructs a harmonious relationship with an imagined, docile Indigeneity while obscuring the material realities of dispossession, exploitation, and ongoing colonial control. The Chickee huts and statues analysed in this research </w:t>
      </w:r>
      <w:r w:rsidR="00F44422">
        <w:rPr>
          <w:rFonts w:ascii="Arial" w:eastAsia="Arial" w:hAnsi="Arial" w:cs="Arial"/>
          <w:color w:val="000000"/>
        </w:rPr>
        <w:t>exemplifies</w:t>
      </w:r>
      <w:r>
        <w:rPr>
          <w:rFonts w:ascii="Arial" w:eastAsia="Arial" w:hAnsi="Arial" w:cs="Arial"/>
          <w:color w:val="000000"/>
        </w:rPr>
        <w:t xml:space="preserve"> this mechanism. Originally rooted in Indigenous architectural and spiritual practices, these structures are now repurposed by the tourism industry as exotic commodities and decorative motifs, emptied of epistemic meaning, with symbols that signify cultural recognition now operating within a colonial grammar that denies Indigenous self-definition. </w:t>
      </w:r>
    </w:p>
    <w:p w14:paraId="74D5309A"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From this framework arises a complementary concept unique to this thesis: the Indigenous folklorised</w:t>
      </w:r>
      <w:r>
        <w:rPr>
          <w:rFonts w:ascii="Arial" w:eastAsia="Arial" w:hAnsi="Arial" w:cs="Arial"/>
          <w:b/>
          <w:bCs/>
          <w:color w:val="000000"/>
        </w:rPr>
        <w:t xml:space="preserve">. </w:t>
      </w:r>
      <w:r>
        <w:rPr>
          <w:rFonts w:ascii="Arial" w:eastAsia="Arial" w:hAnsi="Arial" w:cs="Arial"/>
          <w:color w:val="000000"/>
        </w:rPr>
        <w:t xml:space="preserve">The </w:t>
      </w:r>
      <w:r>
        <w:rPr>
          <w:rFonts w:ascii="Arial" w:eastAsia="Arial" w:hAnsi="Arial" w:cs="Arial"/>
          <w:i/>
          <w:iCs/>
          <w:color w:val="000000"/>
        </w:rPr>
        <w:t>folklorised</w:t>
      </w:r>
      <w:r>
        <w:rPr>
          <w:rFonts w:ascii="Arial" w:eastAsia="Arial" w:hAnsi="Arial" w:cs="Arial"/>
          <w:color w:val="000000"/>
        </w:rPr>
        <w:t xml:space="preserve"> names represent the representational condition produced by Romantic Bricolage, wherein Indigenous epistemologies, ontologies, and cosmologies are reduced to the level of quaint folklore. In this process, Indigeneity becomes detached from its political and philosophical depth and re-inscribed within settler discourse as mythic, primitive, or mystical. </w:t>
      </w:r>
    </w:p>
    <w:p w14:paraId="31B672C4"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lastRenderedPageBreak/>
        <w:t xml:space="preserve">The </w:t>
      </w:r>
      <w:r>
        <w:rPr>
          <w:rFonts w:ascii="Arial" w:eastAsia="Arial" w:hAnsi="Arial" w:cs="Arial"/>
          <w:i/>
          <w:iCs/>
          <w:color w:val="000000"/>
        </w:rPr>
        <w:t>Indigenous folklorised</w:t>
      </w:r>
      <w:r>
        <w:rPr>
          <w:rFonts w:ascii="Arial" w:eastAsia="Arial" w:hAnsi="Arial" w:cs="Arial"/>
          <w:color w:val="000000"/>
        </w:rPr>
        <w:t xml:space="preserve"> is therefore not simply a cultural stereotype; it is an epistemological construct that transforms living Indigenous knowledge systems into consumable mythologies. The folklorised emerges when settler representations cast Indigeneity as a bygone event, or as something to be admired, collected, or mourned, but not engaged with in the present. It is a form of temporal and ontological displacement</w:t>
      </w:r>
      <w:r>
        <w:rPr>
          <w:rFonts w:ascii="Arial" w:eastAsia="Arial" w:hAnsi="Arial" w:cs="Arial"/>
          <w:b/>
          <w:bCs/>
          <w:color w:val="000000"/>
        </w:rPr>
        <w:t>,</w:t>
      </w:r>
      <w:r>
        <w:rPr>
          <w:rFonts w:ascii="Arial" w:eastAsia="Arial" w:hAnsi="Arial" w:cs="Arial"/>
          <w:color w:val="000000"/>
        </w:rPr>
        <w:t xml:space="preserve"> through which the settler imagination confines Indigenous peoples to the past while occupying their lands in the present (Simpson 2017). This process is visible across the empirical materials studied in this thesis: historical coffee-table books that depict Indigenous peoples as mystical nature dwellers; bronze statues that evoke the “noble savage” trope; and touristic signage that treats the Seminole and Miccosukee as static symbols of Floridian heritage rather than active agents of sovereignty (Grosman 2</w:t>
      </w:r>
      <w:r>
        <w:rPr>
          <w:rFonts w:ascii="Arial" w:eastAsia="Arial" w:hAnsi="Arial" w:cs="Arial"/>
          <w:color w:val="000000"/>
        </w:rPr>
        <w:t xml:space="preserve">011). These are not mere aesthetic choices but </w:t>
      </w:r>
      <w:r>
        <w:rPr>
          <w:rFonts w:ascii="Arial" w:eastAsia="Arial" w:hAnsi="Arial" w:cs="Arial"/>
          <w:i/>
          <w:iCs/>
          <w:color w:val="000000"/>
        </w:rPr>
        <w:t>epistemic practices</w:t>
      </w:r>
      <w:r>
        <w:rPr>
          <w:rFonts w:ascii="Arial" w:eastAsia="Arial" w:hAnsi="Arial" w:cs="Arial"/>
          <w:color w:val="000000"/>
        </w:rPr>
        <w:t xml:space="preserve"> that sustain settler authority by defining the boundaries of visibility, authenticity, and political possibility. </w:t>
      </w:r>
    </w:p>
    <w:p w14:paraId="3F5D958E" w14:textId="6AD735DF"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In naming and theorising the </w:t>
      </w:r>
      <w:r>
        <w:rPr>
          <w:rFonts w:ascii="Arial" w:eastAsia="Arial" w:hAnsi="Arial" w:cs="Arial"/>
          <w:i/>
          <w:iCs/>
          <w:color w:val="000000"/>
        </w:rPr>
        <w:t>Indigenous folklorised</w:t>
      </w:r>
      <w:r>
        <w:rPr>
          <w:rFonts w:ascii="Arial" w:eastAsia="Arial" w:hAnsi="Arial" w:cs="Arial"/>
          <w:color w:val="000000"/>
        </w:rPr>
        <w:t>, this thesis contributes a new conceptual tool for decolonial analysis, one that exposes how settler representations domesticate Indigenous presence by reconstituting it as myth. The folklorised figure functions as a mechanism of epistemic control: it allows settler societies to engage with Indigeneity only through the safe distance of nostalgia and admiration. In doing so, it forecloses genuine relationality and prevents meaningful recognition of Indigenous nations such as the Seminole and Miccosukee as c</w:t>
      </w:r>
      <w:r>
        <w:rPr>
          <w:rFonts w:ascii="Arial" w:eastAsia="Arial" w:hAnsi="Arial" w:cs="Arial"/>
          <w:color w:val="000000"/>
        </w:rPr>
        <w:t>ontemporary political actors with their own ontological frameworks. As was noted through the empirical chapters with the likes of the book</w:t>
      </w:r>
      <w:r>
        <w:rPr>
          <w:rFonts w:ascii="Arial" w:eastAsia="Arial" w:hAnsi="Arial" w:cs="Arial"/>
          <w:color w:val="000000"/>
        </w:rPr>
        <w:t xml:space="preserve"> Dreamcatcher, as well as the Indian statue and</w:t>
      </w:r>
      <w:r w:rsidR="00E40CD6">
        <w:rPr>
          <w:rFonts w:ascii="Arial" w:eastAsia="Arial" w:hAnsi="Arial" w:cs="Arial"/>
          <w:color w:val="000000"/>
        </w:rPr>
        <w:t>,</w:t>
      </w:r>
      <w:r>
        <w:rPr>
          <w:rFonts w:ascii="Arial" w:eastAsia="Arial" w:hAnsi="Arial" w:cs="Arial"/>
          <w:color w:val="000000"/>
        </w:rPr>
        <w:t xml:space="preserve"> more coercively</w:t>
      </w:r>
      <w:r w:rsidR="00E40CD6">
        <w:rPr>
          <w:rFonts w:ascii="Arial" w:eastAsia="Arial" w:hAnsi="Arial" w:cs="Arial"/>
          <w:color w:val="000000"/>
        </w:rPr>
        <w:t>,</w:t>
      </w:r>
      <w:r>
        <w:rPr>
          <w:rFonts w:ascii="Arial" w:eastAsia="Arial" w:hAnsi="Arial" w:cs="Arial"/>
          <w:color w:val="000000"/>
        </w:rPr>
        <w:t xml:space="preserve"> through the image of the alligator in the Everglades, all epistemologically functioning through settler discourse to create a mystified Indigenous figure. Through this, the theoretical importance of </w:t>
      </w:r>
      <w:r>
        <w:rPr>
          <w:rFonts w:ascii="Arial" w:eastAsia="Arial" w:hAnsi="Arial" w:cs="Arial"/>
          <w:i/>
          <w:iCs/>
          <w:color w:val="000000"/>
        </w:rPr>
        <w:t>the Indigenous folklorised</w:t>
      </w:r>
      <w:r>
        <w:rPr>
          <w:rFonts w:ascii="Arial" w:eastAsia="Arial" w:hAnsi="Arial" w:cs="Arial"/>
          <w:color w:val="000000"/>
        </w:rPr>
        <w:t xml:space="preserve"> is found in its ability to bridge representation, affect, and epistemology within decolonial critique (BlackDeer 2024). In this, the idea of folklorised expands existing discussions of cultural appropriation and symbolic violence by revealing the </w:t>
      </w:r>
      <w:r>
        <w:rPr>
          <w:rFonts w:ascii="Arial" w:eastAsia="Arial" w:hAnsi="Arial" w:cs="Arial"/>
          <w:i/>
          <w:iCs/>
          <w:color w:val="000000"/>
        </w:rPr>
        <w:t>temporal politics</w:t>
      </w:r>
      <w:r>
        <w:rPr>
          <w:rFonts w:ascii="Arial" w:eastAsia="Arial" w:hAnsi="Arial" w:cs="Arial"/>
          <w:color w:val="000000"/>
        </w:rPr>
        <w:t xml:space="preserve"> of settler representation and the way in which time itself is weaponised to render Indigenous existence in the past tense. </w:t>
      </w:r>
    </w:p>
    <w:p w14:paraId="043F45F3"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Romantic Bricolage is, therefore, not only a process of aesthetics but a colonial strategy of </w:t>
      </w:r>
      <w:r>
        <w:rPr>
          <w:rFonts w:ascii="Arial" w:eastAsia="Arial" w:hAnsi="Arial" w:cs="Arial"/>
          <w:i/>
          <w:iCs/>
          <w:color w:val="000000"/>
        </w:rPr>
        <w:t>temporal governance</w:t>
      </w:r>
      <w:r>
        <w:rPr>
          <w:rFonts w:ascii="Arial" w:eastAsia="Arial" w:hAnsi="Arial" w:cs="Arial"/>
          <w:color w:val="000000"/>
        </w:rPr>
        <w:t xml:space="preserve"> that disciplines Indigenous presence through the sentimental logic of folklore. In combination, Romantic Bricolage and the Indigenous Folklorised provide a powerful decolonial framework for analysing how settler societies sustain their moral and ontological authority through the aesthetics of admiration (Tomiak 2017). They show that colonial domination persists not only through material dispossession but through the cultural and affective infrastructures that make such dispossession appear natural, benign,</w:t>
      </w:r>
      <w:r>
        <w:rPr>
          <w:rFonts w:ascii="Arial" w:eastAsia="Arial" w:hAnsi="Arial" w:cs="Arial"/>
          <w:color w:val="000000"/>
        </w:rPr>
        <w:t xml:space="preserve"> or even beautiful. This thesis, therefore, positions Romantic Bricolage as a critical tool for dismantling those infrastructures, urging future scholarship to interrogate how representation, nostalgia, and romanticism collaborate in the ongoing production of settler innocence.</w:t>
      </w:r>
    </w:p>
    <w:p w14:paraId="0A6B3B32"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This thesis makes a new conceptual contribution by exploring how settler colonial power manifests in urban areas like South Florida, advancing decolonial discussions. Drawing on the work of Dorries, Hugill, and Tomiak (2022), it frames settler colonial urbanism as a key site where space, representation, and knowledge intersect to uphold colonial hierarchies disguised as progress and inclusion.</w:t>
      </w:r>
    </w:p>
    <w:p w14:paraId="4ECA9E51"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lastRenderedPageBreak/>
        <w:t>Cities such as Miami are therefore not neutral modern spaces but active sites of settler control, where ideas of erasure, commodification, and symbolic appropriation are embedded in architecture, planning, and aesthetics. While signs of Seminole and Miccosukee presence, like street names, the Miami Circle, or cultural displays, are visible, they often operate within a settler logic of recognition that, as Coulthard (2014) and Simpson (2017) argue, functions more as containment than genuine acknowledgement o</w:t>
      </w:r>
      <w:r>
        <w:rPr>
          <w:rFonts w:ascii="Arial" w:eastAsia="Arial" w:hAnsi="Arial" w:cs="Arial"/>
          <w:color w:val="000000"/>
        </w:rPr>
        <w:t xml:space="preserve">f Indigenous sovereignty. </w:t>
      </w:r>
    </w:p>
    <w:p w14:paraId="4E286942" w14:textId="098BF4B3"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In this way, in South Florida, recognition of Indigenous communities becomes performative, a way for the city to appear sensitive by acknowledging Indigenous heritage while dismissing its political and territorial realities. This symbolic inclusion masks ongoing dispossession, erasure, and development encroachment on Indigenous sites like burial grounds (Tomiak 2017). Analysing hyper-urbanised spaces like Miami shows that recognition can serve as a settler-colonial act of power, maintaining colonial dominan</w:t>
      </w:r>
      <w:r>
        <w:rPr>
          <w:rFonts w:ascii="Arial" w:eastAsia="Arial" w:hAnsi="Arial" w:cs="Arial"/>
          <w:color w:val="000000"/>
        </w:rPr>
        <w:t xml:space="preserve">ce under the guise of progress. </w:t>
      </w:r>
      <w:r w:rsidR="00E40CD6">
        <w:rPr>
          <w:rFonts w:ascii="Arial" w:eastAsia="Arial" w:hAnsi="Arial" w:cs="Arial"/>
          <w:color w:val="000000"/>
        </w:rPr>
        <w:t>Scholars</w:t>
      </w:r>
      <w:r>
        <w:rPr>
          <w:rFonts w:ascii="Arial" w:eastAsia="Arial" w:hAnsi="Arial" w:cs="Arial"/>
          <w:color w:val="000000"/>
        </w:rPr>
        <w:t xml:space="preserve"> like Weiss (2022) believe and argue that Indigenous archaeological sites are viewed as obstacles to capitalism/progress rather than as centres of Indigenous memory and sovereignty. </w:t>
      </w:r>
    </w:p>
    <w:p w14:paraId="7F5AEF06"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Such perspectives reveal that settler urban development tends to suppress Indigenous epistemologies, equating progress with excluding or sanitising Indigenous presence. Thus, integrating decolonial theory into urban studies, this work extends the critique of settler colonialism beyond rural and historical contexts to dense, modern cities like South Florida, demonstrating that urbanisation is both spatial and symbolic colonisation, using Indigenous symbols to legitimise settler claims while marginalising Ind</w:t>
      </w:r>
      <w:r>
        <w:rPr>
          <w:rFonts w:ascii="Arial" w:eastAsia="Arial" w:hAnsi="Arial" w:cs="Arial"/>
          <w:color w:val="000000"/>
        </w:rPr>
        <w:t>igenous nations, as can be noted through the images in the research, especially that of the statue. In this, this style of research is significant for decolonial scholarship, because it challenges the idea that recognition and inclusion are inherently progressive, exposing them as forms of colonial management, what Tuck and Yang (2012) call “moves to innocence”, that allow settler societies to appear reconciled with colonial guilt without giving up power. The contribution’s importance lies in challenging th</w:t>
      </w:r>
      <w:r>
        <w:rPr>
          <w:rFonts w:ascii="Arial" w:eastAsia="Arial" w:hAnsi="Arial" w:cs="Arial"/>
          <w:color w:val="000000"/>
        </w:rPr>
        <w:t xml:space="preserve">e notion of “progress” as a universal goal, showing it often functions as a settler myth of inevitability based on development, urbanisation, and symbolic recognition. </w:t>
      </w:r>
    </w:p>
    <w:p w14:paraId="5E90C884"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This calls for reimagining progress through Indigenous epistemologies rooted in relationality, reciprocity, and land. Inspired by decolonial thinkers like Mignolo (2007) and Santos (2018), it advocates for a pluriversal approach to knowledge and development. The thesis reveals that urban “progress” often reproduces colonial time, space, and logics, and underscores that decolonisation in urban settler spaces cannot rely on recognition alone. Instead, it demands redefining what counts as progress, knowledge, </w:t>
      </w:r>
      <w:r>
        <w:rPr>
          <w:rFonts w:ascii="Arial" w:eastAsia="Arial" w:hAnsi="Arial" w:cs="Arial"/>
          <w:color w:val="000000"/>
        </w:rPr>
        <w:t>and modernity. Thus, by using South Florida as an example of persistent colonial power within development aesthetics, the work begins to dismantle the idea of progress as inevitable and instead promotes multiple, coexisting paths grounded in Indigenous sovereignty, epistemic diversity, and reimagined relationships between land, people, and urban environments.</w:t>
      </w:r>
    </w:p>
    <w:p w14:paraId="73695C39" w14:textId="77777777" w:rsidR="009F0C56" w:rsidRDefault="00653842">
      <w:pPr>
        <w:pStyle w:val="Heading3"/>
        <w:rPr>
          <w:sz w:val="32"/>
          <w:szCs w:val="32"/>
        </w:rPr>
      </w:pPr>
      <w:bookmarkStart w:id="171" w:name="_Toc240966070"/>
      <w:r>
        <w:rPr>
          <w:sz w:val="32"/>
          <w:szCs w:val="32"/>
        </w:rPr>
        <w:t>10.6 Potential areas for future research</w:t>
      </w:r>
      <w:bookmarkEnd w:id="171"/>
      <w:r>
        <w:rPr>
          <w:sz w:val="32"/>
          <w:szCs w:val="32"/>
        </w:rPr>
        <w:t xml:space="preserve"> </w:t>
      </w:r>
    </w:p>
    <w:p w14:paraId="2C03E29B" w14:textId="77777777" w:rsidR="009F0C56" w:rsidRDefault="00653842">
      <w:pPr>
        <w:rPr>
          <w:rFonts w:ascii="Arial" w:eastAsia="Arial" w:hAnsi="Arial" w:cs="Arial"/>
        </w:rPr>
      </w:pPr>
      <w:r>
        <w:rPr>
          <w:rFonts w:ascii="Arial" w:eastAsia="Arial" w:hAnsi="Arial" w:cs="Arial"/>
        </w:rPr>
        <w:t xml:space="preserve">This thesis highlights the urgent need for additional research in settler colonial studies, especially at the nexus of urbanisation, tourism, and Indigenous sovereignty. While much of the existing scholarship examines settler colonialism mainly in rural </w:t>
      </w:r>
      <w:r>
        <w:rPr>
          <w:rFonts w:ascii="Arial" w:eastAsia="Arial" w:hAnsi="Arial" w:cs="Arial"/>
        </w:rPr>
        <w:lastRenderedPageBreak/>
        <w:t xml:space="preserve">contexts and historical dispossession, less focus has been given to how colonial power persists in urban and tourism settings. This gap hampers understanding of Indigenous positions within and restrictions imposed by the economic and symbolic systems of modern cities. </w:t>
      </w:r>
    </w:p>
    <w:p w14:paraId="2C191D5D" w14:textId="471425C3" w:rsidR="009F0C56" w:rsidRDefault="00653842">
      <w:pPr>
        <w:rPr>
          <w:rFonts w:ascii="Arial" w:eastAsia="Arial" w:hAnsi="Arial" w:cs="Arial"/>
        </w:rPr>
      </w:pPr>
      <w:r>
        <w:rPr>
          <w:rFonts w:ascii="Arial" w:eastAsia="Arial" w:hAnsi="Arial" w:cs="Arial"/>
        </w:rPr>
        <w:t>Traditional theories often portray Indigenous peoples as residing outside urban areas, such as in reservations or wilderness, assuming cities are solely settler domains. However, as research in South Florida shows, urban areas are also colonial constructs, reinforcing settler projects through development, heritage, and sustainability discourses. Cities like Miami serve as active colonial governance sites, memorialising Indigenous histories while erasing Indigenous sovereignty, with tourism functioning as bo</w:t>
      </w:r>
      <w:r>
        <w:rPr>
          <w:rFonts w:ascii="Arial" w:eastAsia="Arial" w:hAnsi="Arial" w:cs="Arial"/>
        </w:rPr>
        <w:t>th a cultural and economic mechanism to sustain settler legitimacy, building on the work of previous scholars mentioned</w:t>
      </w:r>
      <w:r w:rsidR="00E40CD6">
        <w:rPr>
          <w:rFonts w:ascii="Arial" w:eastAsia="Arial" w:hAnsi="Arial" w:cs="Arial"/>
        </w:rPr>
        <w:t>,</w:t>
      </w:r>
      <w:r>
        <w:rPr>
          <w:rFonts w:ascii="Arial" w:eastAsia="Arial" w:hAnsi="Arial" w:cs="Arial"/>
        </w:rPr>
        <w:t xml:space="preserve"> such as Dorries et al 2022).</w:t>
      </w:r>
    </w:p>
    <w:p w14:paraId="5A885672"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This argument goes beyond the U.S. alone. Globally, Indigenous and Adivasi communities are becoming increasingly involved in urban and tourism-driven economies, from North and Latin America to India, Australia, and Southeast Asia. As urbanisation accelerates under global capitalism, these communities are often incorporated into tourism as cultural performers, heritage guardians, or ecological stewards (Dee 2025). While such roles are sometimes presented as empowerment, they often hide deeper exploitation, w</w:t>
      </w:r>
      <w:r>
        <w:rPr>
          <w:rFonts w:ascii="Arial" w:eastAsia="Arial" w:hAnsi="Arial" w:cs="Arial"/>
          <w:color w:val="000000"/>
        </w:rPr>
        <w:t>ith Indigenous knowledge, labour, and representation being extracted and turned into commodities.</w:t>
      </w:r>
    </w:p>
    <w:p w14:paraId="3B692F34"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Despite this widespread pattern, the links between tourism, urbanisation, and settler colonial power are still poorly understood. Future research needs to move beyond rural perspectives and explore how Indigeneity is reshaped within global urban systems, how it is perceived, shared, and limited in city architectures and economies. Understanding this is crucial for addressing Indigenous sovereignty and visibility today. As the world becomes more urban and connected, Indigenous self-determination will be foug</w:t>
      </w:r>
      <w:r>
        <w:rPr>
          <w:rFonts w:ascii="Arial" w:eastAsia="Arial" w:hAnsi="Arial" w:cs="Arial"/>
          <w:color w:val="000000"/>
        </w:rPr>
        <w:t>ht not just on traditional lands, but also within cities, cultural industries, and international tourism networks (Mamers 2020). To genuinely advance decolonial scholarship, scholars must investigate how cities act as new sites of colonial control and how Indigenous nations maintain presence, agency, and future within these spaces. Exploring these issues is no longer optional; it is vital for imagining truly decolonised, diverse, and sovereign urban futures.</w:t>
      </w:r>
    </w:p>
    <w:p w14:paraId="4D44A4EC" w14:textId="77777777" w:rsidR="009F0C56" w:rsidRDefault="009F0C56"/>
    <w:p w14:paraId="5D77D311" w14:textId="77777777" w:rsidR="009F0C56" w:rsidRDefault="00653842">
      <w:pPr>
        <w:pStyle w:val="Heading3"/>
        <w:rPr>
          <w:sz w:val="32"/>
          <w:szCs w:val="32"/>
        </w:rPr>
      </w:pPr>
      <w:bookmarkStart w:id="172" w:name="_Toc240966071"/>
      <w:r>
        <w:rPr>
          <w:sz w:val="32"/>
          <w:szCs w:val="32"/>
        </w:rPr>
        <w:t>10.7 Final Conclusions</w:t>
      </w:r>
      <w:bookmarkEnd w:id="172"/>
      <w:r>
        <w:rPr>
          <w:sz w:val="32"/>
          <w:szCs w:val="32"/>
        </w:rPr>
        <w:t xml:space="preserve"> </w:t>
      </w:r>
    </w:p>
    <w:p w14:paraId="58E90B24"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This thesis has aimed to examine how settler colonialism continues operating through the intertwined frameworks of representation, tourism, and urbanisation in South Florida. By analysing the visual, spatial, and epistemological infrastructures that uphold settler power, the research reveals how seemingly harmless practices, such as sustainable tourism, heritage preservation, and urban recognition, serve as colonial technologies of control. Through an in-depth engagement with the Seminole and Miccosukee nat</w:t>
      </w:r>
      <w:r>
        <w:rPr>
          <w:rFonts w:ascii="Arial" w:eastAsia="Arial" w:hAnsi="Arial" w:cs="Arial"/>
          <w:color w:val="000000"/>
        </w:rPr>
        <w:t xml:space="preserve">ions, this study shows how these communities are persistently portrayed as cultural symbols yet remain invisible as sovereign actors. </w:t>
      </w:r>
    </w:p>
    <w:p w14:paraId="7F5D475B" w14:textId="460C1A2F"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lastRenderedPageBreak/>
        <w:t xml:space="preserve">A key part of this project has been the identification of three main theoretical contributions. First, it broadens the understanding of settler epistemic structures, illustrating how knowledge and representation are used to justify colonial presence under the pretence of sustainability and progress. Second, the introduction of Romantic Bricolage and the related concept of the Indigenous folklorised demonstrates how settler societies assemble fractured Indigenous signifiers into </w:t>
      </w:r>
      <w:r w:rsidR="00E40CD6">
        <w:rPr>
          <w:rFonts w:ascii="Arial" w:eastAsia="Arial" w:hAnsi="Arial" w:cs="Arial"/>
          <w:color w:val="000000"/>
        </w:rPr>
        <w:t>aestheticised</w:t>
      </w:r>
      <w:r>
        <w:rPr>
          <w:rFonts w:ascii="Arial" w:eastAsia="Arial" w:hAnsi="Arial" w:cs="Arial"/>
          <w:color w:val="000000"/>
        </w:rPr>
        <w:t xml:space="preserve"> narratives that romanticise and depoliticise Indigeneity (Barker 2021). These processes convert living cultures into consumable myths that sustain settler innocence and moral authority (Oxman 2010). Lastly, the exploration of decolonial urbanism in South Florida challenges the rural bias of settler colonial studies, showing that the city itself is a site of colonial governance, where recognition, preservation, and tourism combine to reaffirm settler legitimacy while marginalising Indigenous agency (Veracin</w:t>
      </w:r>
      <w:r>
        <w:rPr>
          <w:rFonts w:ascii="Arial" w:eastAsia="Arial" w:hAnsi="Arial" w:cs="Arial"/>
          <w:color w:val="000000"/>
        </w:rPr>
        <w:t xml:space="preserve">i 2010). </w:t>
      </w:r>
    </w:p>
    <w:p w14:paraId="388761C0" w14:textId="460E7C0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Empirically, this thesis presents a critical case study of Miami and South Florida, areas seldom examined through a decolonial lens. It reveals how Indigenous signifiers, such as the Miami Circle, Chickee huts, and public art, function as symbols of inclusion while concealing deeper patterns of exclusion. The region’s unique mixture of tourism, environmentalism, and cosmopolitan identity makes it a powerful microcosm of late settler modernity, where colonial logics are not relics of the past but are reartic</w:t>
      </w:r>
      <w:r>
        <w:rPr>
          <w:rFonts w:ascii="Arial" w:eastAsia="Arial" w:hAnsi="Arial" w:cs="Arial"/>
          <w:color w:val="000000"/>
        </w:rPr>
        <w:t>ulated through global capitalism, urban development, and cultural consumption (Aldred 2000). The significance of this research lies not only in its local insights but also in its global implications. As cities worldwide continue expanding, Indigenous peoples are increasingly woven into urban and touristic economies (Dorries et al</w:t>
      </w:r>
      <w:r w:rsidR="00E40CD6">
        <w:rPr>
          <w:rFonts w:ascii="Arial" w:eastAsia="Arial" w:hAnsi="Arial" w:cs="Arial"/>
          <w:color w:val="000000"/>
        </w:rPr>
        <w:t>.</w:t>
      </w:r>
      <w:r>
        <w:rPr>
          <w:rFonts w:ascii="Arial" w:eastAsia="Arial" w:hAnsi="Arial" w:cs="Arial"/>
          <w:color w:val="000000"/>
        </w:rPr>
        <w:t xml:space="preserve"> 2022). However, the colonial nature of these relationships remains critically under-theorised. Through positioning South Florida within a broader decolonial framework, this thesis opens new avenues for understanding how Indigenous sovereignty and visibility are negotiated in the contemporary urban landscape. </w:t>
      </w:r>
    </w:p>
    <w:p w14:paraId="3CBDC79C" w14:textId="77777777" w:rsidR="009F0C56" w:rsidRDefault="00653842">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Ultimately, it advocates for a profound rethinking of progress, sustainability, and recognition. It argues that decolonisation must go beyond inclusion within settler systems to dismantle the epistemic, aesthetic, and spatial frameworks that sustain them. The analysis presented here is merely the beginning: further research is urgently needed to trace how these dynamics unfold across other global urban centres. Only through such work can we start imagining genuinely plural, sovereign, and decolonial futures</w:t>
      </w:r>
      <w:r>
        <w:rPr>
          <w:rFonts w:ascii="Arial" w:eastAsia="Arial" w:hAnsi="Arial" w:cs="Arial"/>
          <w:color w:val="000000"/>
        </w:rPr>
        <w:t xml:space="preserve"> within the modern city.</w:t>
      </w:r>
    </w:p>
    <w:p w14:paraId="579F82BD" w14:textId="77777777" w:rsidR="009F0C56" w:rsidRDefault="009F0C56"/>
    <w:p w14:paraId="1D67690D" w14:textId="77777777" w:rsidR="009F0C56" w:rsidRDefault="009F0C56"/>
    <w:p w14:paraId="2335C9C7" w14:textId="77777777" w:rsidR="009F0C56" w:rsidRDefault="009F0C56"/>
    <w:p w14:paraId="618A97A8" w14:textId="77777777" w:rsidR="009F0C56" w:rsidRDefault="009F0C56"/>
    <w:p w14:paraId="1CE8E2FF" w14:textId="77777777" w:rsidR="009F0C56" w:rsidRDefault="009F0C56"/>
    <w:p w14:paraId="2D5917BF" w14:textId="77777777" w:rsidR="009F0C56" w:rsidRDefault="009F0C56"/>
    <w:p w14:paraId="4DF0BC53" w14:textId="77777777" w:rsidR="009F0C56" w:rsidRDefault="009F0C56"/>
    <w:p w14:paraId="27759000" w14:textId="77777777" w:rsidR="009F0C56" w:rsidRDefault="00653842">
      <w:pPr>
        <w:pStyle w:val="Heading1"/>
        <w:rPr>
          <w:rFonts w:ascii="Arial" w:eastAsia="Arial" w:hAnsi="Arial" w:cs="Arial"/>
        </w:rPr>
      </w:pPr>
      <w:bookmarkStart w:id="173" w:name="_Toc240966072"/>
      <w:r>
        <w:rPr>
          <w:rFonts w:ascii="Arial" w:eastAsia="Arial" w:hAnsi="Arial" w:cs="Arial"/>
        </w:rPr>
        <w:lastRenderedPageBreak/>
        <w:t>References</w:t>
      </w:r>
      <w:bookmarkEnd w:id="173"/>
      <w:r>
        <w:rPr>
          <w:rFonts w:ascii="Arial" w:eastAsia="Arial" w:hAnsi="Arial" w:cs="Arial"/>
        </w:rPr>
        <w:t xml:space="preserve"> </w:t>
      </w:r>
    </w:p>
    <w:p w14:paraId="64220D4A" w14:textId="77777777" w:rsidR="009F0C56" w:rsidRDefault="009F0C56"/>
    <w:p w14:paraId="0964C00E" w14:textId="77777777" w:rsidR="009F0C56" w:rsidRDefault="00653842">
      <w:pPr>
        <w:rPr>
          <w:rFonts w:ascii="Arial" w:eastAsia="Arial" w:hAnsi="Arial" w:cs="Arial"/>
          <w:color w:val="000000"/>
          <w:sz w:val="22"/>
          <w:szCs w:val="22"/>
          <w:highlight w:val="white"/>
        </w:rPr>
      </w:pPr>
      <w:r>
        <w:rPr>
          <w:rFonts w:ascii="Arial" w:eastAsia="Arial" w:hAnsi="Arial" w:cs="Arial"/>
          <w:color w:val="000000"/>
          <w:sz w:val="22"/>
          <w:szCs w:val="22"/>
          <w:highlight w:val="white"/>
        </w:rPr>
        <w:t xml:space="preserve">Ahmed, S. (2024) Institutional Racism: Colonialism, Epistemic Injustice and Cumulative Trauma (1st ed.). Routledge. </w:t>
      </w:r>
      <w:hyperlink r:id="rId39">
        <w:r>
          <w:rPr>
            <w:rFonts w:ascii="Arial" w:eastAsia="Arial" w:hAnsi="Arial" w:cs="Arial"/>
            <w:color w:val="467886"/>
            <w:sz w:val="22"/>
            <w:szCs w:val="22"/>
            <w:highlight w:val="white"/>
            <w:u w:val="single"/>
          </w:rPr>
          <w:t>https://doi.org/10.4324/9781003187073</w:t>
        </w:r>
      </w:hyperlink>
    </w:p>
    <w:p w14:paraId="79288956" w14:textId="77777777" w:rsidR="009F0C56" w:rsidRDefault="009F0C56">
      <w:pPr>
        <w:rPr>
          <w:rFonts w:ascii="Arial" w:eastAsia="Arial" w:hAnsi="Arial" w:cs="Arial"/>
          <w:sz w:val="22"/>
          <w:szCs w:val="22"/>
        </w:rPr>
      </w:pPr>
    </w:p>
    <w:p w14:paraId="2329A78C" w14:textId="77777777" w:rsidR="009F0C56" w:rsidRDefault="00653842">
      <w:pPr>
        <w:spacing w:after="0" w:line="240" w:lineRule="auto"/>
        <w:rPr>
          <w:rFonts w:ascii="Arial" w:eastAsia="Arial" w:hAnsi="Arial" w:cs="Arial"/>
          <w:color w:val="000000"/>
          <w:sz w:val="22"/>
          <w:szCs w:val="22"/>
          <w:highlight w:val="white"/>
        </w:rPr>
      </w:pPr>
      <w:r>
        <w:rPr>
          <w:rFonts w:ascii="Arial" w:eastAsia="Arial" w:hAnsi="Arial" w:cs="Arial"/>
          <w:color w:val="000000"/>
          <w:sz w:val="22"/>
          <w:szCs w:val="22"/>
          <w:highlight w:val="white"/>
        </w:rPr>
        <w:t>Aldred, L. (1993) “NO MORE CIGAR STORE INDIANS”: ETHNOGRAPHIC AND HISTORICAL REPRESENTATION BY AND OF THE WACCAMAW-SIOUAN PEOPLES AND THEIR SOCIO-ECONOMIC, LEGAL, AND POLITICAL CONSEQUENCES. </w:t>
      </w:r>
      <w:r>
        <w:rPr>
          <w:rFonts w:ascii="Arial" w:eastAsia="Arial" w:hAnsi="Arial" w:cs="Arial"/>
          <w:i/>
          <w:iCs/>
          <w:color w:val="000000"/>
          <w:sz w:val="22"/>
          <w:szCs w:val="22"/>
          <w:highlight w:val="white"/>
        </w:rPr>
        <w:t>Dialectical Anthropology</w:t>
      </w:r>
      <w:r>
        <w:rPr>
          <w:rFonts w:ascii="Arial" w:eastAsia="Arial" w:hAnsi="Arial" w:cs="Arial"/>
          <w:color w:val="000000"/>
          <w:sz w:val="22"/>
          <w:szCs w:val="22"/>
          <w:highlight w:val="white"/>
        </w:rPr>
        <w:t>, </w:t>
      </w:r>
      <w:r>
        <w:rPr>
          <w:rFonts w:ascii="Arial" w:eastAsia="Arial" w:hAnsi="Arial" w:cs="Arial"/>
          <w:i/>
          <w:iCs/>
          <w:color w:val="000000"/>
          <w:sz w:val="22"/>
          <w:szCs w:val="22"/>
          <w:highlight w:val="white"/>
        </w:rPr>
        <w:t>18</w:t>
      </w:r>
      <w:r>
        <w:rPr>
          <w:rFonts w:ascii="Arial" w:eastAsia="Arial" w:hAnsi="Arial" w:cs="Arial"/>
          <w:color w:val="000000"/>
          <w:sz w:val="22"/>
          <w:szCs w:val="22"/>
          <w:highlight w:val="white"/>
        </w:rPr>
        <w:t xml:space="preserve">(2), 207–244. </w:t>
      </w:r>
      <w:hyperlink r:id="rId40">
        <w:r>
          <w:rPr>
            <w:rFonts w:ascii="Arial" w:eastAsia="Arial" w:hAnsi="Arial" w:cs="Arial"/>
            <w:color w:val="467886"/>
            <w:sz w:val="22"/>
            <w:szCs w:val="22"/>
            <w:highlight w:val="white"/>
            <w:u w:val="single"/>
          </w:rPr>
          <w:t>http://www.jstor.org/stable/29790536</w:t>
        </w:r>
      </w:hyperlink>
      <w:r>
        <w:rPr>
          <w:rFonts w:ascii="Arial" w:eastAsia="Arial" w:hAnsi="Arial" w:cs="Arial"/>
          <w:color w:val="000000"/>
          <w:sz w:val="22"/>
          <w:szCs w:val="22"/>
          <w:highlight w:val="white"/>
        </w:rPr>
        <w:t xml:space="preserve"> </w:t>
      </w:r>
    </w:p>
    <w:p w14:paraId="100D70B7" w14:textId="77777777" w:rsidR="009F0C56" w:rsidRDefault="009F0C56">
      <w:pPr>
        <w:spacing w:after="0" w:line="240" w:lineRule="auto"/>
        <w:rPr>
          <w:rFonts w:ascii="Arial" w:eastAsia="Arial" w:hAnsi="Arial" w:cs="Arial"/>
          <w:color w:val="000000"/>
          <w:sz w:val="22"/>
          <w:szCs w:val="22"/>
          <w:highlight w:val="white"/>
        </w:rPr>
      </w:pPr>
    </w:p>
    <w:p w14:paraId="6EA9E190" w14:textId="77777777" w:rsidR="009F0C56" w:rsidRDefault="009F0C56">
      <w:pPr>
        <w:spacing w:after="0" w:line="240" w:lineRule="auto"/>
        <w:rPr>
          <w:rFonts w:ascii="Arial" w:eastAsia="Arial" w:hAnsi="Arial" w:cs="Arial"/>
          <w:color w:val="000000"/>
          <w:sz w:val="22"/>
          <w:szCs w:val="22"/>
          <w:highlight w:val="white"/>
        </w:rPr>
      </w:pPr>
    </w:p>
    <w:p w14:paraId="063F3D4A" w14:textId="29200C5E" w:rsidR="009F0C56" w:rsidRDefault="00653842">
      <w:pPr>
        <w:shd w:val="clear" w:color="auto" w:fill="FFFFFF"/>
        <w:spacing w:after="280" w:line="240" w:lineRule="auto"/>
        <w:rPr>
          <w:rFonts w:ascii="Arial" w:eastAsia="Arial" w:hAnsi="Arial" w:cs="Arial"/>
          <w:color w:val="000000"/>
          <w:sz w:val="22"/>
          <w:szCs w:val="22"/>
          <w:highlight w:val="white"/>
        </w:rPr>
      </w:pPr>
      <w:r>
        <w:rPr>
          <w:rFonts w:ascii="Arial" w:eastAsia="Arial" w:hAnsi="Arial" w:cs="Arial"/>
          <w:color w:val="000000"/>
          <w:sz w:val="22"/>
          <w:szCs w:val="22"/>
          <w:highlight w:val="white"/>
        </w:rPr>
        <w:t xml:space="preserve">Aldred, L. (2000) “Plastic Shamans and Astroturf Sun Dances: New Age </w:t>
      </w:r>
      <w:r w:rsidR="00E40CD6">
        <w:rPr>
          <w:rFonts w:ascii="Arial" w:eastAsia="Arial" w:hAnsi="Arial" w:cs="Arial"/>
          <w:color w:val="000000"/>
          <w:sz w:val="22"/>
          <w:szCs w:val="22"/>
          <w:highlight w:val="white"/>
        </w:rPr>
        <w:t>Commercialisation</w:t>
      </w:r>
      <w:r>
        <w:rPr>
          <w:rFonts w:ascii="Arial" w:eastAsia="Arial" w:hAnsi="Arial" w:cs="Arial"/>
          <w:color w:val="000000"/>
          <w:sz w:val="22"/>
          <w:szCs w:val="22"/>
          <w:highlight w:val="white"/>
        </w:rPr>
        <w:t xml:space="preserve"> of Native American Spirituality.” </w:t>
      </w:r>
      <w:r>
        <w:rPr>
          <w:rFonts w:ascii="Arial" w:eastAsia="Arial" w:hAnsi="Arial" w:cs="Arial"/>
          <w:i/>
          <w:iCs/>
          <w:color w:val="000000"/>
          <w:sz w:val="22"/>
          <w:szCs w:val="22"/>
          <w:highlight w:val="white"/>
        </w:rPr>
        <w:t>American Indian Quarterly</w:t>
      </w:r>
      <w:r>
        <w:rPr>
          <w:rFonts w:ascii="Arial" w:eastAsia="Arial" w:hAnsi="Arial" w:cs="Arial"/>
          <w:color w:val="000000"/>
          <w:sz w:val="22"/>
          <w:szCs w:val="22"/>
          <w:highlight w:val="white"/>
        </w:rPr>
        <w:t xml:space="preserve"> 24, no. 3 (2000): 329–52. </w:t>
      </w:r>
      <w:hyperlink r:id="rId41">
        <w:r>
          <w:rPr>
            <w:rFonts w:ascii="Arial" w:eastAsia="Arial" w:hAnsi="Arial" w:cs="Arial"/>
            <w:color w:val="467886"/>
            <w:sz w:val="22"/>
            <w:szCs w:val="22"/>
            <w:highlight w:val="white"/>
            <w:u w:val="single"/>
          </w:rPr>
          <w:t>http://www.jstor.org/stable/1185908</w:t>
        </w:r>
      </w:hyperlink>
      <w:r>
        <w:rPr>
          <w:rFonts w:ascii="Arial" w:eastAsia="Arial" w:hAnsi="Arial" w:cs="Arial"/>
          <w:color w:val="000000"/>
          <w:sz w:val="22"/>
          <w:szCs w:val="22"/>
          <w:highlight w:val="white"/>
        </w:rPr>
        <w:t>.</w:t>
      </w:r>
    </w:p>
    <w:p w14:paraId="431EE99E" w14:textId="77777777" w:rsidR="009F0C56" w:rsidRDefault="009F0C56">
      <w:pPr>
        <w:shd w:val="clear" w:color="auto" w:fill="FFFFFF"/>
        <w:spacing w:after="280" w:line="240" w:lineRule="auto"/>
        <w:rPr>
          <w:rFonts w:ascii="Arial" w:eastAsia="Arial" w:hAnsi="Arial" w:cs="Arial"/>
          <w:color w:val="000000"/>
          <w:sz w:val="22"/>
          <w:szCs w:val="22"/>
          <w:highlight w:val="white"/>
        </w:rPr>
      </w:pPr>
    </w:p>
    <w:p w14:paraId="13F532E9" w14:textId="77777777" w:rsidR="009F0C56" w:rsidRDefault="00653842">
      <w:pPr>
        <w:rPr>
          <w:rFonts w:ascii="Arial" w:eastAsia="Arial" w:hAnsi="Arial" w:cs="Arial"/>
          <w:sz w:val="22"/>
          <w:szCs w:val="22"/>
        </w:rPr>
      </w:pPr>
      <w:r>
        <w:rPr>
          <w:rFonts w:ascii="Arial" w:eastAsia="Arial" w:hAnsi="Arial" w:cs="Arial"/>
          <w:color w:val="333333"/>
          <w:sz w:val="22"/>
          <w:szCs w:val="22"/>
        </w:rPr>
        <w:t>Allen, D., and J. P. Brasher (2019) “ChangetheDamnName: MTSU student activism against Forrest Hall, white supremacy, and a reparative approach to heritage preservation”. The Activist History Review. </w:t>
      </w:r>
      <w:hyperlink r:id="rId42">
        <w:r>
          <w:rPr>
            <w:rFonts w:ascii="Arial" w:eastAsia="Arial" w:hAnsi="Arial" w:cs="Arial"/>
            <w:color w:val="10147E"/>
            <w:sz w:val="22"/>
            <w:szCs w:val="22"/>
            <w:u w:val="single"/>
          </w:rPr>
          <w:t>https://activisthistory.com/2019/11/22/changethedamnname-mtsu-student-activism-against-forrest-hall-white-supremacy-and-a-reparative-approach-to-heritage-preservation/</w:t>
        </w:r>
      </w:hyperlink>
      <w:hyperlink r:id="rId43">
        <w:r>
          <w:rPr>
            <w:rFonts w:ascii="Arial" w:eastAsia="Arial" w:hAnsi="Arial" w:cs="Arial"/>
            <w:color w:val="10147E"/>
            <w:sz w:val="22"/>
            <w:szCs w:val="22"/>
          </w:rPr>
          <w:t>(open in a new window)</w:t>
        </w:r>
      </w:hyperlink>
    </w:p>
    <w:p w14:paraId="40AEC653" w14:textId="77777777" w:rsidR="009F0C56" w:rsidRDefault="009F0C56">
      <w:pPr>
        <w:rPr>
          <w:rFonts w:ascii="Arial" w:eastAsia="Arial" w:hAnsi="Arial" w:cs="Arial"/>
          <w:sz w:val="22"/>
          <w:szCs w:val="22"/>
        </w:rPr>
      </w:pPr>
    </w:p>
    <w:p w14:paraId="0BFB220A" w14:textId="77777777" w:rsidR="009F0C56" w:rsidRDefault="00653842">
      <w:pPr>
        <w:shd w:val="clear" w:color="auto" w:fill="FFFFFF"/>
        <w:spacing w:after="0" w:line="240" w:lineRule="auto"/>
        <w:rPr>
          <w:rFonts w:ascii="Arial" w:eastAsia="Arial" w:hAnsi="Arial" w:cs="Arial"/>
          <w:sz w:val="22"/>
          <w:szCs w:val="22"/>
        </w:rPr>
      </w:pPr>
      <w:r>
        <w:rPr>
          <w:rFonts w:ascii="Arial" w:eastAsia="Arial" w:hAnsi="Arial" w:cs="Arial"/>
          <w:color w:val="333333"/>
          <w:sz w:val="22"/>
          <w:szCs w:val="22"/>
          <w:highlight w:val="white"/>
        </w:rPr>
        <w:t>Aníbal Quijano. 2007. “COLONIALITY AND MODERNITY/RATIONALITY”, Cultural Studies, 21:2-3, 168-178, DOI: </w:t>
      </w:r>
      <w:hyperlink r:id="rId44">
        <w:r>
          <w:rPr>
            <w:rFonts w:ascii="Arial" w:eastAsia="Arial" w:hAnsi="Arial" w:cs="Arial"/>
            <w:color w:val="333333"/>
            <w:sz w:val="22"/>
            <w:szCs w:val="22"/>
            <w:highlight w:val="white"/>
            <w:u w:val="single"/>
          </w:rPr>
          <w:t>10.1080/09502380601164353</w:t>
        </w:r>
      </w:hyperlink>
    </w:p>
    <w:p w14:paraId="3C55A2D7" w14:textId="77777777" w:rsidR="009F0C56" w:rsidRDefault="009F0C56">
      <w:pPr>
        <w:shd w:val="clear" w:color="auto" w:fill="FFFFFF"/>
        <w:spacing w:after="0" w:line="240" w:lineRule="auto"/>
        <w:rPr>
          <w:rFonts w:ascii="Arial" w:eastAsia="Arial" w:hAnsi="Arial" w:cs="Arial"/>
          <w:sz w:val="22"/>
          <w:szCs w:val="22"/>
        </w:rPr>
      </w:pPr>
    </w:p>
    <w:p w14:paraId="3C54D757" w14:textId="77777777" w:rsidR="009F0C56" w:rsidRDefault="009F0C56">
      <w:pPr>
        <w:shd w:val="clear" w:color="auto" w:fill="FFFFFF"/>
        <w:spacing w:after="0" w:line="240" w:lineRule="auto"/>
        <w:rPr>
          <w:rFonts w:ascii="Arial" w:eastAsia="Arial" w:hAnsi="Arial" w:cs="Arial"/>
          <w:sz w:val="22"/>
          <w:szCs w:val="22"/>
        </w:rPr>
      </w:pPr>
    </w:p>
    <w:p w14:paraId="1DD5F827" w14:textId="77777777" w:rsidR="009F0C56" w:rsidRDefault="00653842">
      <w:pPr>
        <w:rPr>
          <w:rFonts w:ascii="Arial" w:eastAsia="Arial" w:hAnsi="Arial" w:cs="Arial"/>
          <w:color w:val="000000"/>
          <w:sz w:val="22"/>
          <w:szCs w:val="22"/>
          <w:highlight w:val="white"/>
        </w:rPr>
      </w:pPr>
      <w:r>
        <w:rPr>
          <w:rFonts w:ascii="Arial" w:eastAsia="Arial" w:hAnsi="Arial" w:cs="Arial"/>
          <w:color w:val="000000"/>
          <w:sz w:val="22"/>
          <w:szCs w:val="22"/>
          <w:highlight w:val="white"/>
        </w:rPr>
        <w:t xml:space="preserve">Atleo, C., &amp; Boron, J. (2022). Land is life: Indigenous relationships to territory and navigating settler colonial property regimes in Canada. Land, 11(5), 609. </w:t>
      </w:r>
      <w:hyperlink r:id="rId45">
        <w:r>
          <w:rPr>
            <w:rFonts w:ascii="Arial" w:eastAsia="Arial" w:hAnsi="Arial" w:cs="Arial"/>
            <w:color w:val="467886"/>
            <w:sz w:val="22"/>
            <w:szCs w:val="22"/>
            <w:highlight w:val="white"/>
            <w:u w:val="single"/>
          </w:rPr>
          <w:t>https://doi.org/10.3390/land11050609</w:t>
        </w:r>
      </w:hyperlink>
      <w:r>
        <w:rPr>
          <w:rFonts w:ascii="Arial" w:eastAsia="Arial" w:hAnsi="Arial" w:cs="Arial"/>
          <w:color w:val="000000"/>
          <w:sz w:val="22"/>
          <w:szCs w:val="22"/>
          <w:highlight w:val="white"/>
        </w:rPr>
        <w:t>.</w:t>
      </w:r>
    </w:p>
    <w:p w14:paraId="349DB7F3" w14:textId="77777777" w:rsidR="009F0C56" w:rsidRDefault="009F0C56">
      <w:pPr>
        <w:rPr>
          <w:rFonts w:ascii="Arial" w:eastAsia="Arial" w:hAnsi="Arial" w:cs="Arial"/>
          <w:color w:val="000000"/>
          <w:sz w:val="22"/>
          <w:szCs w:val="22"/>
          <w:highlight w:val="white"/>
        </w:rPr>
      </w:pPr>
    </w:p>
    <w:p w14:paraId="21A6BF91" w14:textId="77777777" w:rsidR="009F0C56" w:rsidRDefault="00653842">
      <w:pPr>
        <w:rPr>
          <w:rFonts w:ascii="Arial" w:eastAsia="Arial" w:hAnsi="Arial" w:cs="Arial"/>
          <w:color w:val="333333"/>
          <w:sz w:val="22"/>
          <w:szCs w:val="22"/>
          <w:highlight w:val="white"/>
        </w:rPr>
      </w:pPr>
      <w:r>
        <w:rPr>
          <w:rFonts w:ascii="Arial" w:eastAsia="Arial" w:hAnsi="Arial" w:cs="Arial"/>
          <w:color w:val="000000"/>
          <w:sz w:val="22"/>
          <w:szCs w:val="22"/>
          <w:highlight w:val="white"/>
        </w:rPr>
        <w:t>Barbara B. S (1996) Textual Analysis in Advertising Research: Construction and Deconstruction of Meanings, Journal of Advertising, 25:3, 61-73, DOI: </w:t>
      </w:r>
      <w:hyperlink r:id="rId46">
        <w:r>
          <w:rPr>
            <w:rFonts w:ascii="Arial" w:eastAsia="Arial" w:hAnsi="Arial" w:cs="Arial"/>
            <w:color w:val="333333"/>
            <w:sz w:val="22"/>
            <w:szCs w:val="22"/>
            <w:highlight w:val="white"/>
            <w:u w:val="single"/>
          </w:rPr>
          <w:t>10.1080/00913367.1996.10673507</w:t>
        </w:r>
      </w:hyperlink>
      <w:r>
        <w:rPr>
          <w:rFonts w:ascii="Arial" w:eastAsia="Arial" w:hAnsi="Arial" w:cs="Arial"/>
          <w:color w:val="333333"/>
          <w:sz w:val="22"/>
          <w:szCs w:val="22"/>
          <w:highlight w:val="white"/>
        </w:rPr>
        <w:t xml:space="preserve"> </w:t>
      </w:r>
    </w:p>
    <w:p w14:paraId="150FF2CC" w14:textId="77777777" w:rsidR="009F0C56" w:rsidRDefault="009F0C56">
      <w:pPr>
        <w:rPr>
          <w:rFonts w:ascii="Arial" w:eastAsia="Arial" w:hAnsi="Arial" w:cs="Arial"/>
          <w:color w:val="333333"/>
          <w:sz w:val="22"/>
          <w:szCs w:val="22"/>
          <w:highlight w:val="white"/>
        </w:rPr>
      </w:pPr>
    </w:p>
    <w:p w14:paraId="1FE23CC6" w14:textId="77777777" w:rsidR="009F0C56" w:rsidRDefault="00653842">
      <w:pPr>
        <w:rPr>
          <w:rFonts w:ascii="Arial" w:eastAsia="Arial" w:hAnsi="Arial" w:cs="Arial"/>
          <w:sz w:val="22"/>
          <w:szCs w:val="22"/>
        </w:rPr>
      </w:pPr>
      <w:r>
        <w:rPr>
          <w:rFonts w:ascii="Arial" w:eastAsia="Arial" w:hAnsi="Arial" w:cs="Arial"/>
          <w:sz w:val="22"/>
          <w:szCs w:val="22"/>
        </w:rPr>
        <w:t>Barker, A. (2021). Making and Breaking Five Centuries of Colonization in North America. Canada. UBC Publishing House.</w:t>
      </w:r>
    </w:p>
    <w:p w14:paraId="45424867" w14:textId="77777777" w:rsidR="009F0C56" w:rsidRDefault="009F0C56">
      <w:pPr>
        <w:rPr>
          <w:rFonts w:ascii="Arial" w:eastAsia="Arial" w:hAnsi="Arial" w:cs="Arial"/>
          <w:sz w:val="22"/>
          <w:szCs w:val="22"/>
        </w:rPr>
      </w:pPr>
    </w:p>
    <w:p w14:paraId="1AE07468" w14:textId="77777777" w:rsidR="009F0C56" w:rsidRDefault="00653842">
      <w:pPr>
        <w:rPr>
          <w:rFonts w:ascii="Arial" w:eastAsia="Arial" w:hAnsi="Arial" w:cs="Arial"/>
          <w:color w:val="333333"/>
          <w:sz w:val="22"/>
          <w:szCs w:val="22"/>
          <w:highlight w:val="white"/>
        </w:rPr>
      </w:pPr>
      <w:r>
        <w:rPr>
          <w:rFonts w:ascii="Arial" w:eastAsia="Arial" w:hAnsi="Arial" w:cs="Arial"/>
          <w:color w:val="333333"/>
          <w:sz w:val="22"/>
          <w:szCs w:val="22"/>
          <w:highlight w:val="white"/>
        </w:rPr>
        <w:t>Barker, A. J., &amp; Pickerill, J. (2024). Geographies of collective responsibility: decolonising universities through place-based praxis. </w:t>
      </w:r>
      <w:r>
        <w:rPr>
          <w:rFonts w:ascii="Arial" w:eastAsia="Arial" w:hAnsi="Arial" w:cs="Arial"/>
          <w:i/>
          <w:iCs/>
          <w:color w:val="333333"/>
          <w:sz w:val="22"/>
          <w:szCs w:val="22"/>
          <w:highlight w:val="white"/>
        </w:rPr>
        <w:t>Journal of Geography in Higher Education</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48</w:t>
      </w:r>
      <w:r>
        <w:rPr>
          <w:rFonts w:ascii="Arial" w:eastAsia="Arial" w:hAnsi="Arial" w:cs="Arial"/>
          <w:color w:val="333333"/>
          <w:sz w:val="22"/>
          <w:szCs w:val="22"/>
          <w:highlight w:val="white"/>
        </w:rPr>
        <w:t xml:space="preserve">(4), 575–596. </w:t>
      </w:r>
      <w:hyperlink r:id="rId47">
        <w:r>
          <w:rPr>
            <w:rFonts w:ascii="Arial" w:eastAsia="Arial" w:hAnsi="Arial" w:cs="Arial"/>
            <w:color w:val="467886"/>
            <w:sz w:val="22"/>
            <w:szCs w:val="22"/>
            <w:highlight w:val="white"/>
            <w:u w:val="single"/>
          </w:rPr>
          <w:t>https://doi.org/10.1080/03098265.2023.2263741</w:t>
        </w:r>
      </w:hyperlink>
    </w:p>
    <w:p w14:paraId="2FDE7D38" w14:textId="77777777" w:rsidR="009F0C56" w:rsidRDefault="009F0C56">
      <w:pPr>
        <w:rPr>
          <w:rFonts w:ascii="Arial" w:eastAsia="Arial" w:hAnsi="Arial" w:cs="Arial"/>
          <w:color w:val="333333"/>
          <w:sz w:val="22"/>
          <w:szCs w:val="22"/>
          <w:highlight w:val="white"/>
        </w:rPr>
      </w:pPr>
    </w:p>
    <w:p w14:paraId="0576931B" w14:textId="77777777" w:rsidR="009F0C56" w:rsidRDefault="00653842">
      <w:pPr>
        <w:rPr>
          <w:rFonts w:ascii="Arial" w:eastAsia="Arial" w:hAnsi="Arial" w:cs="Arial"/>
          <w:sz w:val="22"/>
          <w:szCs w:val="22"/>
        </w:rPr>
      </w:pPr>
      <w:r>
        <w:rPr>
          <w:rFonts w:ascii="Arial" w:eastAsia="Arial" w:hAnsi="Arial" w:cs="Arial"/>
          <w:color w:val="333333"/>
          <w:sz w:val="22"/>
          <w:szCs w:val="22"/>
        </w:rPr>
        <w:t xml:space="preserve">Barker, Pickerill, J. (2012). Making and breaking settler spaces. Antipode. Website. Available from: </w:t>
      </w:r>
      <w:hyperlink r:id="rId48">
        <w:r>
          <w:rPr>
            <w:rFonts w:ascii="Arial" w:eastAsia="Arial" w:hAnsi="Arial" w:cs="Arial"/>
            <w:color w:val="467886"/>
            <w:sz w:val="22"/>
            <w:szCs w:val="22"/>
            <w:u w:val="single"/>
          </w:rPr>
          <w:t>https://www.ubcpress.ca/making-and-breaking-settler-space Pg. 1711-1712</w:t>
        </w:r>
      </w:hyperlink>
    </w:p>
    <w:p w14:paraId="30F62A68" w14:textId="77777777" w:rsidR="009F0C56" w:rsidRDefault="009F0C56">
      <w:pPr>
        <w:rPr>
          <w:rFonts w:ascii="Arial" w:eastAsia="Arial" w:hAnsi="Arial" w:cs="Arial"/>
          <w:sz w:val="22"/>
          <w:szCs w:val="22"/>
        </w:rPr>
      </w:pPr>
    </w:p>
    <w:p w14:paraId="6EC5A913" w14:textId="77777777" w:rsidR="009F0C56" w:rsidRDefault="00653842">
      <w:pPr>
        <w:rPr>
          <w:rFonts w:ascii="Arial" w:eastAsia="Arial" w:hAnsi="Arial" w:cs="Arial"/>
          <w:sz w:val="22"/>
          <w:szCs w:val="22"/>
        </w:rPr>
      </w:pPr>
      <w:r>
        <w:rPr>
          <w:rFonts w:ascii="Arial" w:eastAsia="Arial" w:hAnsi="Arial" w:cs="Arial"/>
          <w:sz w:val="22"/>
          <w:szCs w:val="22"/>
        </w:rPr>
        <w:t xml:space="preserve">Barthes, R. (2009). Mythologies. London. Vintage Books London.   </w:t>
      </w:r>
    </w:p>
    <w:p w14:paraId="2FF4412E" w14:textId="77777777" w:rsidR="009F0C56" w:rsidRDefault="009F0C56">
      <w:pPr>
        <w:rPr>
          <w:rFonts w:ascii="Arial" w:eastAsia="Arial" w:hAnsi="Arial" w:cs="Arial"/>
          <w:sz w:val="22"/>
          <w:szCs w:val="22"/>
        </w:rPr>
      </w:pPr>
    </w:p>
    <w:p w14:paraId="48753E2E" w14:textId="1BBA93C4" w:rsidR="009F0C56" w:rsidRDefault="00653842">
      <w:pPr>
        <w:rPr>
          <w:rFonts w:ascii="Arial" w:eastAsia="Arial" w:hAnsi="Arial" w:cs="Arial"/>
          <w:color w:val="333333"/>
          <w:sz w:val="22"/>
          <w:szCs w:val="22"/>
          <w:highlight w:val="white"/>
        </w:rPr>
      </w:pPr>
      <w:r>
        <w:rPr>
          <w:rFonts w:ascii="Arial" w:eastAsia="Arial" w:hAnsi="Arial" w:cs="Arial"/>
          <w:color w:val="333333"/>
          <w:sz w:val="22"/>
          <w:szCs w:val="22"/>
          <w:highlight w:val="white"/>
        </w:rPr>
        <w:t>Baudrillard J. (1994). </w:t>
      </w:r>
      <w:r>
        <w:rPr>
          <w:rFonts w:ascii="Arial" w:eastAsia="Arial" w:hAnsi="Arial" w:cs="Arial"/>
          <w:i/>
          <w:iCs/>
          <w:color w:val="333333"/>
          <w:sz w:val="22"/>
          <w:szCs w:val="22"/>
          <w:highlight w:val="white"/>
        </w:rPr>
        <w:t>The Precession of Simulacra. (Trans. Ann Arbor)</w:t>
      </w:r>
      <w:r>
        <w:rPr>
          <w:rFonts w:ascii="Arial" w:eastAsia="Arial" w:hAnsi="Arial" w:cs="Arial"/>
          <w:color w:val="333333"/>
          <w:sz w:val="22"/>
          <w:szCs w:val="22"/>
          <w:highlight w:val="white"/>
        </w:rPr>
        <w:t xml:space="preserve">. Michigan: University of Michigan Press. </w:t>
      </w:r>
    </w:p>
    <w:p w14:paraId="54DF3497" w14:textId="77777777" w:rsidR="009F0C56" w:rsidRDefault="009F0C56">
      <w:pPr>
        <w:rPr>
          <w:rFonts w:ascii="Arial" w:eastAsia="Arial" w:hAnsi="Arial" w:cs="Arial"/>
          <w:color w:val="333333"/>
          <w:sz w:val="22"/>
          <w:szCs w:val="22"/>
          <w:highlight w:val="white"/>
        </w:rPr>
      </w:pPr>
    </w:p>
    <w:p w14:paraId="11F16272" w14:textId="77777777" w:rsidR="009F0C56" w:rsidRDefault="00653842">
      <w:pPr>
        <w:rPr>
          <w:rFonts w:ascii="Arial" w:eastAsia="Arial" w:hAnsi="Arial" w:cs="Arial"/>
          <w:sz w:val="22"/>
          <w:szCs w:val="22"/>
          <w:highlight w:val="white"/>
        </w:rPr>
      </w:pPr>
      <w:r>
        <w:rPr>
          <w:rFonts w:ascii="Arial" w:eastAsia="Arial" w:hAnsi="Arial" w:cs="Arial"/>
          <w:sz w:val="22"/>
          <w:szCs w:val="22"/>
          <w:highlight w:val="white"/>
        </w:rPr>
        <w:t>Berg, L. D. (2015). Banal Naming, Neoliberalism, and Landscapes of Dispossession. </w:t>
      </w:r>
      <w:r>
        <w:rPr>
          <w:rFonts w:ascii="Arial" w:eastAsia="Arial" w:hAnsi="Arial" w:cs="Arial"/>
          <w:i/>
          <w:iCs/>
          <w:sz w:val="22"/>
          <w:szCs w:val="22"/>
          <w:highlight w:val="white"/>
        </w:rPr>
        <w:t>ACME: An International Journal for Critical Geographies</w:t>
      </w:r>
      <w:r>
        <w:rPr>
          <w:rFonts w:ascii="Arial" w:eastAsia="Arial" w:hAnsi="Arial" w:cs="Arial"/>
          <w:sz w:val="22"/>
          <w:szCs w:val="22"/>
          <w:highlight w:val="white"/>
        </w:rPr>
        <w:t>, </w:t>
      </w:r>
      <w:r>
        <w:rPr>
          <w:rFonts w:ascii="Arial" w:eastAsia="Arial" w:hAnsi="Arial" w:cs="Arial"/>
          <w:i/>
          <w:iCs/>
          <w:sz w:val="22"/>
          <w:szCs w:val="22"/>
          <w:highlight w:val="white"/>
        </w:rPr>
        <w:t>10</w:t>
      </w:r>
      <w:r>
        <w:rPr>
          <w:rFonts w:ascii="Arial" w:eastAsia="Arial" w:hAnsi="Arial" w:cs="Arial"/>
          <w:sz w:val="22"/>
          <w:szCs w:val="22"/>
          <w:highlight w:val="white"/>
        </w:rPr>
        <w:t xml:space="preserve">(1), 13–22. </w:t>
      </w:r>
      <w:hyperlink r:id="rId49">
        <w:r>
          <w:rPr>
            <w:rFonts w:ascii="Arial" w:eastAsia="Arial" w:hAnsi="Arial" w:cs="Arial"/>
            <w:color w:val="467886"/>
            <w:sz w:val="22"/>
            <w:szCs w:val="22"/>
            <w:highlight w:val="white"/>
            <w:u w:val="single"/>
          </w:rPr>
          <w:t>https://doi.org/10.14288/acme.v10i1.881</w:t>
        </w:r>
      </w:hyperlink>
      <w:r>
        <w:rPr>
          <w:rFonts w:ascii="Arial" w:eastAsia="Arial" w:hAnsi="Arial" w:cs="Arial"/>
          <w:sz w:val="22"/>
          <w:szCs w:val="22"/>
          <w:highlight w:val="white"/>
        </w:rPr>
        <w:t xml:space="preserve"> </w:t>
      </w:r>
    </w:p>
    <w:p w14:paraId="745A5DDE" w14:textId="77777777" w:rsidR="009F0C56" w:rsidRDefault="009F0C56">
      <w:pPr>
        <w:rPr>
          <w:rFonts w:ascii="Arial" w:eastAsia="Arial" w:hAnsi="Arial" w:cs="Arial"/>
          <w:sz w:val="22"/>
          <w:szCs w:val="22"/>
          <w:highlight w:val="white"/>
        </w:rPr>
      </w:pPr>
    </w:p>
    <w:p w14:paraId="49CFFF2A" w14:textId="23AC42D2" w:rsidR="009F0C56" w:rsidRDefault="00653842">
      <w:pPr>
        <w:shd w:val="clear" w:color="auto" w:fill="FFFFFF"/>
        <w:spacing w:after="0" w:line="240" w:lineRule="auto"/>
        <w:rPr>
          <w:rFonts w:ascii="Arial" w:eastAsia="Arial" w:hAnsi="Arial" w:cs="Arial"/>
          <w:sz w:val="22"/>
          <w:szCs w:val="22"/>
        </w:rPr>
      </w:pPr>
      <w:r>
        <w:rPr>
          <w:rFonts w:ascii="Arial" w:eastAsia="Arial" w:hAnsi="Arial" w:cs="Arial"/>
          <w:sz w:val="22"/>
          <w:szCs w:val="22"/>
        </w:rPr>
        <w:t>Bin,</w:t>
      </w:r>
      <w:r>
        <w:rPr>
          <w:rFonts w:ascii="Arial" w:eastAsia="Arial" w:hAnsi="Arial" w:cs="Arial"/>
          <w:sz w:val="22"/>
          <w:szCs w:val="22"/>
        </w:rPr>
        <w:t xml:space="preserve">. (2018). ‘So called dispossession by accumulation.’ Sage Publisher. Vol 44 75-88. Accessed on: 15/08/2022 Available from: </w:t>
      </w:r>
      <w:hyperlink r:id="rId50">
        <w:r>
          <w:rPr>
            <w:rFonts w:ascii="Arial" w:eastAsia="Arial" w:hAnsi="Arial" w:cs="Arial"/>
            <w:color w:val="0000FF"/>
            <w:sz w:val="22"/>
            <w:szCs w:val="22"/>
            <w:u w:val="single"/>
          </w:rPr>
          <w:t>0896920516651687.pdf</w:t>
        </w:r>
      </w:hyperlink>
      <w:r>
        <w:rPr>
          <w:rFonts w:ascii="Arial" w:eastAsia="Arial" w:hAnsi="Arial" w:cs="Arial"/>
          <w:sz w:val="22"/>
          <w:szCs w:val="22"/>
        </w:rPr>
        <w:t xml:space="preserve"> </w:t>
      </w:r>
    </w:p>
    <w:p w14:paraId="4B7CCF4A" w14:textId="77777777" w:rsidR="009F0C56" w:rsidRDefault="009F0C56">
      <w:pPr>
        <w:shd w:val="clear" w:color="auto" w:fill="FFFFFF"/>
        <w:spacing w:after="0" w:line="240" w:lineRule="auto"/>
        <w:rPr>
          <w:rFonts w:ascii="Arial" w:eastAsia="Arial" w:hAnsi="Arial" w:cs="Arial"/>
          <w:sz w:val="22"/>
          <w:szCs w:val="22"/>
        </w:rPr>
      </w:pPr>
    </w:p>
    <w:p w14:paraId="0E292C58" w14:textId="77777777" w:rsidR="009F0C56" w:rsidRDefault="009F0C56">
      <w:pPr>
        <w:shd w:val="clear" w:color="auto" w:fill="FFFFFF"/>
        <w:spacing w:after="0" w:line="240" w:lineRule="auto"/>
        <w:rPr>
          <w:rFonts w:ascii="Arial" w:eastAsia="Arial" w:hAnsi="Arial" w:cs="Arial"/>
          <w:sz w:val="22"/>
          <w:szCs w:val="22"/>
        </w:rPr>
      </w:pPr>
    </w:p>
    <w:p w14:paraId="5C96D301" w14:textId="77777777" w:rsidR="009F0C56" w:rsidRDefault="00653842">
      <w:pPr>
        <w:spacing w:after="0" w:line="240" w:lineRule="auto"/>
        <w:rPr>
          <w:rFonts w:ascii="Arial" w:eastAsia="Arial" w:hAnsi="Arial" w:cs="Arial"/>
          <w:sz w:val="22"/>
          <w:szCs w:val="22"/>
        </w:rPr>
      </w:pPr>
      <w:r>
        <w:rPr>
          <w:rFonts w:ascii="Arial" w:eastAsia="Arial" w:hAnsi="Arial" w:cs="Arial"/>
          <w:sz w:val="22"/>
          <w:szCs w:val="22"/>
        </w:rPr>
        <w:t xml:space="preserve">BlackDeer, A. A. (2024). An Indigenous scholar’s journey towards decolonizing social work. </w:t>
      </w:r>
      <w:r>
        <w:rPr>
          <w:rFonts w:ascii="Arial" w:eastAsia="Arial" w:hAnsi="Arial" w:cs="Arial"/>
          <w:i/>
          <w:iCs/>
          <w:sz w:val="22"/>
          <w:szCs w:val="22"/>
        </w:rPr>
        <w:t>Qualitative Social Work</w:t>
      </w:r>
      <w:r>
        <w:rPr>
          <w:rFonts w:ascii="Arial" w:eastAsia="Arial" w:hAnsi="Arial" w:cs="Arial"/>
          <w:sz w:val="22"/>
          <w:szCs w:val="22"/>
        </w:rPr>
        <w:t xml:space="preserve">, </w:t>
      </w:r>
      <w:r>
        <w:rPr>
          <w:rFonts w:ascii="Arial" w:eastAsia="Arial" w:hAnsi="Arial" w:cs="Arial"/>
          <w:i/>
          <w:iCs/>
          <w:sz w:val="22"/>
          <w:szCs w:val="22"/>
        </w:rPr>
        <w:t>24</w:t>
      </w:r>
      <w:r>
        <w:rPr>
          <w:rFonts w:ascii="Arial" w:eastAsia="Arial" w:hAnsi="Arial" w:cs="Arial"/>
          <w:sz w:val="22"/>
          <w:szCs w:val="22"/>
        </w:rPr>
        <w:t xml:space="preserve">(2-3), 133-137. </w:t>
      </w:r>
      <w:hyperlink r:id="rId51">
        <w:r>
          <w:rPr>
            <w:rFonts w:ascii="Arial" w:eastAsia="Arial" w:hAnsi="Arial" w:cs="Arial"/>
            <w:color w:val="0000FF"/>
            <w:sz w:val="22"/>
            <w:szCs w:val="22"/>
            <w:u w:val="single"/>
          </w:rPr>
          <w:t>https://doi.org/10.1177/14733250241268730</w:t>
        </w:r>
      </w:hyperlink>
      <w:r>
        <w:rPr>
          <w:rFonts w:ascii="Arial" w:eastAsia="Arial" w:hAnsi="Arial" w:cs="Arial"/>
          <w:sz w:val="22"/>
          <w:szCs w:val="22"/>
        </w:rPr>
        <w:t xml:space="preserve"> </w:t>
      </w:r>
    </w:p>
    <w:p w14:paraId="2129BF8E" w14:textId="77777777" w:rsidR="009F0C56" w:rsidRDefault="009F0C56">
      <w:pPr>
        <w:spacing w:after="0" w:line="240" w:lineRule="auto"/>
        <w:rPr>
          <w:rFonts w:ascii="Arial" w:eastAsia="Arial" w:hAnsi="Arial" w:cs="Arial"/>
          <w:sz w:val="22"/>
          <w:szCs w:val="22"/>
        </w:rPr>
      </w:pPr>
    </w:p>
    <w:p w14:paraId="59A67D88" w14:textId="77777777" w:rsidR="009F0C56" w:rsidRDefault="009F0C56">
      <w:pPr>
        <w:spacing w:after="0" w:line="240" w:lineRule="auto"/>
        <w:rPr>
          <w:rFonts w:ascii="Arial" w:eastAsia="Arial" w:hAnsi="Arial" w:cs="Arial"/>
          <w:sz w:val="22"/>
          <w:szCs w:val="22"/>
        </w:rPr>
      </w:pPr>
    </w:p>
    <w:p w14:paraId="632AA72A" w14:textId="77777777" w:rsidR="009F0C56" w:rsidRDefault="00653842">
      <w:pPr>
        <w:rPr>
          <w:rFonts w:ascii="Arial" w:eastAsia="Arial" w:hAnsi="Arial" w:cs="Arial"/>
          <w:color w:val="0A0A0A"/>
          <w:sz w:val="22"/>
          <w:szCs w:val="22"/>
          <w:highlight w:val="white"/>
        </w:rPr>
      </w:pPr>
      <w:r>
        <w:rPr>
          <w:rFonts w:ascii="Arial" w:eastAsia="Arial" w:hAnsi="Arial" w:cs="Arial"/>
          <w:color w:val="0A0A0A"/>
          <w:sz w:val="22"/>
          <w:szCs w:val="22"/>
          <w:highlight w:val="white"/>
        </w:rPr>
        <w:t>Blackhawk, N. "Native American Reversal of Fortune: American Indian Colonialism and Its Aftermath." </w:t>
      </w:r>
      <w:r>
        <w:rPr>
          <w:rFonts w:ascii="Arial" w:eastAsia="Arial" w:hAnsi="Arial" w:cs="Arial"/>
          <w:i/>
          <w:iCs/>
          <w:color w:val="0A0A0A"/>
          <w:sz w:val="22"/>
          <w:szCs w:val="22"/>
          <w:highlight w:val="white"/>
        </w:rPr>
        <w:t>American Quarterly</w:t>
      </w:r>
      <w:r>
        <w:rPr>
          <w:rFonts w:ascii="Arial" w:eastAsia="Arial" w:hAnsi="Arial" w:cs="Arial"/>
          <w:color w:val="0A0A0A"/>
          <w:sz w:val="22"/>
          <w:szCs w:val="22"/>
          <w:highlight w:val="white"/>
        </w:rPr>
        <w:t>, vol. 59 no. 1, 2007, p. 211-218. </w:t>
      </w:r>
      <w:r>
        <w:rPr>
          <w:rFonts w:ascii="Arial" w:eastAsia="Arial" w:hAnsi="Arial" w:cs="Arial"/>
          <w:i/>
          <w:iCs/>
          <w:color w:val="0A0A0A"/>
          <w:sz w:val="22"/>
          <w:szCs w:val="22"/>
          <w:highlight w:val="white"/>
        </w:rPr>
        <w:t>Project MUSE</w:t>
      </w:r>
      <w:r>
        <w:rPr>
          <w:rFonts w:ascii="Arial" w:eastAsia="Arial" w:hAnsi="Arial" w:cs="Arial"/>
          <w:color w:val="0A0A0A"/>
          <w:sz w:val="22"/>
          <w:szCs w:val="22"/>
          <w:highlight w:val="white"/>
        </w:rPr>
        <w:t>, </w:t>
      </w:r>
      <w:hyperlink r:id="rId52">
        <w:r>
          <w:rPr>
            <w:rFonts w:ascii="Arial" w:eastAsia="Arial" w:hAnsi="Arial" w:cs="Arial"/>
            <w:color w:val="3262A4"/>
            <w:sz w:val="22"/>
            <w:szCs w:val="22"/>
            <w:highlight w:val="white"/>
            <w:u w:val="single"/>
          </w:rPr>
          <w:t>https://dx.doi.org/10.1353/aq.2007.0019</w:t>
        </w:r>
      </w:hyperlink>
      <w:r>
        <w:rPr>
          <w:rFonts w:ascii="Arial" w:eastAsia="Arial" w:hAnsi="Arial" w:cs="Arial"/>
          <w:color w:val="0A0A0A"/>
          <w:sz w:val="22"/>
          <w:szCs w:val="22"/>
          <w:highlight w:val="white"/>
        </w:rPr>
        <w:t>.</w:t>
      </w:r>
    </w:p>
    <w:p w14:paraId="765BF183" w14:textId="77777777" w:rsidR="009F0C56" w:rsidRDefault="009F0C56">
      <w:pPr>
        <w:rPr>
          <w:rFonts w:ascii="Arial" w:eastAsia="Arial" w:hAnsi="Arial" w:cs="Arial"/>
          <w:color w:val="0A0A0A"/>
          <w:sz w:val="22"/>
          <w:szCs w:val="22"/>
          <w:highlight w:val="white"/>
        </w:rPr>
      </w:pPr>
    </w:p>
    <w:p w14:paraId="404D2713" w14:textId="77777777" w:rsidR="009F0C56" w:rsidRDefault="00653842">
      <w:pPr>
        <w:spacing w:after="0" w:line="240" w:lineRule="auto"/>
      </w:pPr>
      <w:r>
        <w:rPr>
          <w:rFonts w:ascii="Arial" w:eastAsia="Arial" w:hAnsi="Arial" w:cs="Arial"/>
          <w:sz w:val="22"/>
          <w:szCs w:val="22"/>
        </w:rPr>
        <w:t xml:space="preserve">Bohensky, E. L., &amp; Maru, Y. (2011). Indigenous Knowledge, Science, and Resilience: What Have We Learned from a Decade of International Literature on “Integration”? </w:t>
      </w:r>
      <w:r>
        <w:rPr>
          <w:rFonts w:ascii="Arial" w:eastAsia="Arial" w:hAnsi="Arial" w:cs="Arial"/>
          <w:i/>
          <w:iCs/>
          <w:sz w:val="22"/>
          <w:szCs w:val="22"/>
        </w:rPr>
        <w:t>Ecology and Society</w:t>
      </w:r>
      <w:r>
        <w:rPr>
          <w:rFonts w:ascii="Arial" w:eastAsia="Arial" w:hAnsi="Arial" w:cs="Arial"/>
          <w:sz w:val="22"/>
          <w:szCs w:val="22"/>
        </w:rPr>
        <w:t xml:space="preserve">, </w:t>
      </w:r>
      <w:r>
        <w:rPr>
          <w:rFonts w:ascii="Arial" w:eastAsia="Arial" w:hAnsi="Arial" w:cs="Arial"/>
          <w:i/>
          <w:iCs/>
          <w:sz w:val="22"/>
          <w:szCs w:val="22"/>
        </w:rPr>
        <w:t>16</w:t>
      </w:r>
      <w:r>
        <w:rPr>
          <w:rFonts w:ascii="Arial" w:eastAsia="Arial" w:hAnsi="Arial" w:cs="Arial"/>
          <w:sz w:val="22"/>
          <w:szCs w:val="22"/>
        </w:rPr>
        <w:t xml:space="preserve">(4). </w:t>
      </w:r>
      <w:hyperlink r:id="rId53">
        <w:r>
          <w:rPr>
            <w:rFonts w:ascii="Arial" w:eastAsia="Arial" w:hAnsi="Arial" w:cs="Arial"/>
            <w:color w:val="467886"/>
            <w:sz w:val="22"/>
            <w:szCs w:val="22"/>
            <w:u w:val="single"/>
          </w:rPr>
          <w:t>http://www.jstor.org/stable/26268978</w:t>
        </w:r>
      </w:hyperlink>
    </w:p>
    <w:p w14:paraId="6AE0E0BC" w14:textId="77777777" w:rsidR="009F0C56" w:rsidRDefault="009F0C56">
      <w:pPr>
        <w:spacing w:after="0" w:line="240" w:lineRule="auto"/>
      </w:pPr>
    </w:p>
    <w:p w14:paraId="501A8E86" w14:textId="77777777" w:rsidR="009F0C56" w:rsidRDefault="009F0C56">
      <w:pPr>
        <w:spacing w:after="0" w:line="240" w:lineRule="auto"/>
        <w:rPr>
          <w:rFonts w:ascii="Arial" w:eastAsia="Arial" w:hAnsi="Arial" w:cs="Arial"/>
        </w:rPr>
      </w:pPr>
    </w:p>
    <w:p w14:paraId="25DA78D5" w14:textId="77777777" w:rsidR="009F0C56" w:rsidRDefault="00653842">
      <w:pPr>
        <w:rPr>
          <w:rFonts w:ascii="Arial" w:eastAsia="Arial" w:hAnsi="Arial" w:cs="Arial"/>
          <w:color w:val="000000"/>
          <w:sz w:val="22"/>
          <w:szCs w:val="22"/>
          <w:highlight w:val="white"/>
        </w:rPr>
      </w:pPr>
      <w:r>
        <w:rPr>
          <w:rFonts w:ascii="Arial" w:eastAsia="Arial" w:hAnsi="Arial" w:cs="Arial"/>
          <w:color w:val="000000"/>
          <w:sz w:val="22"/>
          <w:szCs w:val="22"/>
          <w:highlight w:val="white"/>
        </w:rPr>
        <w:t>Boyd, M. F., &amp; Harris, J. W. (1951). The Seminole War: Its Background and Onset. </w:t>
      </w:r>
      <w:r>
        <w:rPr>
          <w:rFonts w:ascii="Arial" w:eastAsia="Arial" w:hAnsi="Arial" w:cs="Arial"/>
          <w:i/>
          <w:iCs/>
          <w:color w:val="000000"/>
          <w:sz w:val="22"/>
          <w:szCs w:val="22"/>
          <w:highlight w:val="white"/>
        </w:rPr>
        <w:t>The Florida Historical Quarterly</w:t>
      </w:r>
      <w:r>
        <w:rPr>
          <w:rFonts w:ascii="Arial" w:eastAsia="Arial" w:hAnsi="Arial" w:cs="Arial"/>
          <w:color w:val="000000"/>
          <w:sz w:val="22"/>
          <w:szCs w:val="22"/>
          <w:highlight w:val="white"/>
        </w:rPr>
        <w:t>, </w:t>
      </w:r>
      <w:r>
        <w:rPr>
          <w:rFonts w:ascii="Arial" w:eastAsia="Arial" w:hAnsi="Arial" w:cs="Arial"/>
          <w:i/>
          <w:iCs/>
          <w:color w:val="000000"/>
          <w:sz w:val="22"/>
          <w:szCs w:val="22"/>
          <w:highlight w:val="white"/>
        </w:rPr>
        <w:t>30</w:t>
      </w:r>
      <w:r>
        <w:rPr>
          <w:rFonts w:ascii="Arial" w:eastAsia="Arial" w:hAnsi="Arial" w:cs="Arial"/>
          <w:color w:val="000000"/>
          <w:sz w:val="22"/>
          <w:szCs w:val="22"/>
          <w:highlight w:val="white"/>
        </w:rPr>
        <w:t xml:space="preserve">(1), 3–115. </w:t>
      </w:r>
      <w:hyperlink r:id="rId54">
        <w:r>
          <w:rPr>
            <w:rFonts w:ascii="Arial" w:eastAsia="Arial" w:hAnsi="Arial" w:cs="Arial"/>
            <w:color w:val="467886"/>
            <w:sz w:val="22"/>
            <w:szCs w:val="22"/>
            <w:highlight w:val="white"/>
            <w:u w:val="single"/>
          </w:rPr>
          <w:t>http://www.jstor.org/stable/30138833</w:t>
        </w:r>
      </w:hyperlink>
      <w:r>
        <w:rPr>
          <w:rFonts w:ascii="Arial" w:eastAsia="Arial" w:hAnsi="Arial" w:cs="Arial"/>
          <w:color w:val="000000"/>
          <w:sz w:val="22"/>
          <w:szCs w:val="22"/>
          <w:highlight w:val="white"/>
        </w:rPr>
        <w:t xml:space="preserve"> </w:t>
      </w:r>
    </w:p>
    <w:p w14:paraId="495A482A" w14:textId="77777777" w:rsidR="009F0C56" w:rsidRDefault="009F0C56">
      <w:pPr>
        <w:spacing w:after="0" w:line="240" w:lineRule="auto"/>
        <w:rPr>
          <w:rFonts w:ascii="Arial" w:eastAsia="Arial" w:hAnsi="Arial" w:cs="Arial"/>
          <w:sz w:val="22"/>
          <w:szCs w:val="22"/>
        </w:rPr>
      </w:pPr>
    </w:p>
    <w:p w14:paraId="278F435C" w14:textId="77777777" w:rsidR="009F0C56" w:rsidRDefault="009F0C56">
      <w:pPr>
        <w:spacing w:after="0" w:line="240" w:lineRule="auto"/>
        <w:rPr>
          <w:rFonts w:ascii="Arial" w:eastAsia="Arial" w:hAnsi="Arial" w:cs="Arial"/>
          <w:sz w:val="22"/>
          <w:szCs w:val="22"/>
        </w:rPr>
      </w:pPr>
    </w:p>
    <w:p w14:paraId="3E17DA91" w14:textId="77777777" w:rsidR="009F0C56" w:rsidRDefault="00653842">
      <w:pPr>
        <w:rPr>
          <w:rFonts w:ascii="Arial" w:eastAsia="Arial" w:hAnsi="Arial" w:cs="Arial"/>
          <w:color w:val="000000"/>
          <w:sz w:val="22"/>
          <w:szCs w:val="22"/>
          <w:highlight w:val="white"/>
        </w:rPr>
      </w:pPr>
      <w:r>
        <w:rPr>
          <w:rFonts w:ascii="Arial" w:eastAsia="Arial" w:hAnsi="Arial" w:cs="Arial"/>
          <w:color w:val="000000"/>
          <w:sz w:val="22"/>
          <w:szCs w:val="22"/>
          <w:highlight w:val="white"/>
        </w:rPr>
        <w:t>Bossy, I., Frank A. (2021) “Charting a Path toward an Indigenous History of Florida.” </w:t>
      </w:r>
      <w:r>
        <w:rPr>
          <w:rFonts w:ascii="Arial" w:eastAsia="Arial" w:hAnsi="Arial" w:cs="Arial"/>
          <w:i/>
          <w:iCs/>
          <w:color w:val="000000"/>
          <w:sz w:val="22"/>
          <w:szCs w:val="22"/>
          <w:highlight w:val="white"/>
        </w:rPr>
        <w:t>The Florida Historical Quarterly</w:t>
      </w:r>
      <w:r>
        <w:rPr>
          <w:rFonts w:ascii="Arial" w:eastAsia="Arial" w:hAnsi="Arial" w:cs="Arial"/>
          <w:color w:val="000000"/>
          <w:sz w:val="22"/>
          <w:szCs w:val="22"/>
          <w:highlight w:val="white"/>
        </w:rPr>
        <w:t xml:space="preserve"> 100, no. 1 (2021): 1–22. </w:t>
      </w:r>
      <w:hyperlink r:id="rId55">
        <w:r>
          <w:rPr>
            <w:rFonts w:ascii="Arial" w:eastAsia="Arial" w:hAnsi="Arial" w:cs="Arial"/>
            <w:color w:val="467886"/>
            <w:sz w:val="22"/>
            <w:szCs w:val="22"/>
            <w:highlight w:val="white"/>
            <w:u w:val="single"/>
          </w:rPr>
          <w:t>https://www.jstor.org/stable/27139416</w:t>
        </w:r>
      </w:hyperlink>
      <w:r>
        <w:rPr>
          <w:rFonts w:ascii="Arial" w:eastAsia="Arial" w:hAnsi="Arial" w:cs="Arial"/>
          <w:color w:val="000000"/>
          <w:sz w:val="22"/>
          <w:szCs w:val="22"/>
          <w:highlight w:val="white"/>
        </w:rPr>
        <w:t>.</w:t>
      </w:r>
    </w:p>
    <w:p w14:paraId="3428C4B8" w14:textId="77777777" w:rsidR="009F0C56" w:rsidRDefault="009F0C56">
      <w:pPr>
        <w:rPr>
          <w:rFonts w:ascii="Arial" w:eastAsia="Arial" w:hAnsi="Arial" w:cs="Arial"/>
          <w:color w:val="000000"/>
          <w:sz w:val="22"/>
          <w:szCs w:val="22"/>
          <w:highlight w:val="white"/>
        </w:rPr>
      </w:pPr>
    </w:p>
    <w:p w14:paraId="1B0F8ABB" w14:textId="77777777" w:rsidR="009F0C56" w:rsidRDefault="00653842">
      <w:pPr>
        <w:rPr>
          <w:rFonts w:ascii="Arial" w:eastAsia="Arial" w:hAnsi="Arial" w:cs="Arial"/>
          <w:sz w:val="22"/>
          <w:szCs w:val="22"/>
        </w:rPr>
      </w:pPr>
      <w:r>
        <w:rPr>
          <w:rFonts w:ascii="Arial" w:eastAsia="Arial" w:hAnsi="Arial" w:cs="Arial"/>
          <w:color w:val="1C1D1E"/>
          <w:sz w:val="22"/>
          <w:szCs w:val="22"/>
          <w:highlight w:val="white"/>
        </w:rPr>
        <w:t>Bowra, A., Mashford-Pringle, A. and Poland, B. (2021), Indigenous learning on Turtle Island: A review of the literature on land-based learning. The Canadian Geographer / Le Géographe canadien, 65: 132-140. </w:t>
      </w:r>
      <w:hyperlink r:id="rId56">
        <w:r>
          <w:rPr>
            <w:rFonts w:ascii="Arial" w:eastAsia="Arial" w:hAnsi="Arial" w:cs="Arial"/>
            <w:color w:val="123D80"/>
            <w:sz w:val="22"/>
            <w:szCs w:val="22"/>
            <w:highlight w:val="white"/>
            <w:u w:val="single"/>
          </w:rPr>
          <w:t>https://doi.org/10.1111/cag.12659</w:t>
        </w:r>
      </w:hyperlink>
    </w:p>
    <w:p w14:paraId="3E49F124" w14:textId="77777777" w:rsidR="009F0C56" w:rsidRDefault="009F0C56">
      <w:pPr>
        <w:rPr>
          <w:rFonts w:ascii="Arial" w:eastAsia="Arial" w:hAnsi="Arial" w:cs="Arial"/>
          <w:sz w:val="22"/>
          <w:szCs w:val="22"/>
        </w:rPr>
      </w:pPr>
    </w:p>
    <w:p w14:paraId="35B4B750" w14:textId="77777777" w:rsidR="009F0C56" w:rsidRDefault="00653842">
      <w:pPr>
        <w:rPr>
          <w:rFonts w:ascii="Arial" w:eastAsia="Arial" w:hAnsi="Arial" w:cs="Arial"/>
          <w:color w:val="333333"/>
          <w:sz w:val="22"/>
          <w:szCs w:val="22"/>
          <w:highlight w:val="white"/>
        </w:rPr>
      </w:pPr>
      <w:r>
        <w:rPr>
          <w:rFonts w:ascii="Arial" w:eastAsia="Arial" w:hAnsi="Arial" w:cs="Arial"/>
          <w:color w:val="333333"/>
          <w:sz w:val="22"/>
          <w:szCs w:val="22"/>
          <w:highlight w:val="white"/>
        </w:rPr>
        <w:lastRenderedPageBreak/>
        <w:t>Brasher, J. P. (2021). The crisis of Confederate memory in the interior of São Paulo, Brazil. </w:t>
      </w:r>
      <w:r>
        <w:rPr>
          <w:rFonts w:ascii="Arial" w:eastAsia="Arial" w:hAnsi="Arial" w:cs="Arial"/>
          <w:i/>
          <w:iCs/>
          <w:color w:val="333333"/>
          <w:sz w:val="22"/>
          <w:szCs w:val="22"/>
          <w:highlight w:val="white"/>
        </w:rPr>
        <w:t>Memory Studies</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14</w:t>
      </w:r>
      <w:r>
        <w:rPr>
          <w:rFonts w:ascii="Arial" w:eastAsia="Arial" w:hAnsi="Arial" w:cs="Arial"/>
          <w:color w:val="333333"/>
          <w:sz w:val="22"/>
          <w:szCs w:val="22"/>
          <w:highlight w:val="white"/>
        </w:rPr>
        <w:t>(6), 1314-1332. </w:t>
      </w:r>
      <w:hyperlink r:id="rId57">
        <w:r>
          <w:rPr>
            <w:rFonts w:ascii="Arial" w:eastAsia="Arial" w:hAnsi="Arial" w:cs="Arial"/>
            <w:color w:val="046FF8"/>
            <w:sz w:val="22"/>
            <w:szCs w:val="22"/>
            <w:highlight w:val="white"/>
            <w:u w:val="single"/>
          </w:rPr>
          <w:t>https://doi.org/10.1177/17506980211054336</w:t>
        </w:r>
      </w:hyperlink>
      <w:r>
        <w:rPr>
          <w:rFonts w:ascii="Arial" w:eastAsia="Arial" w:hAnsi="Arial" w:cs="Arial"/>
          <w:color w:val="333333"/>
          <w:sz w:val="22"/>
          <w:szCs w:val="22"/>
          <w:highlight w:val="white"/>
        </w:rPr>
        <w:t> </w:t>
      </w:r>
    </w:p>
    <w:p w14:paraId="70E94B9B" w14:textId="77777777" w:rsidR="009F0C56" w:rsidRDefault="009F0C56">
      <w:pPr>
        <w:rPr>
          <w:rFonts w:ascii="Arial" w:eastAsia="Arial" w:hAnsi="Arial" w:cs="Arial"/>
          <w:color w:val="333333"/>
          <w:sz w:val="22"/>
          <w:szCs w:val="22"/>
          <w:highlight w:val="white"/>
        </w:rPr>
      </w:pPr>
    </w:p>
    <w:p w14:paraId="41066774" w14:textId="200C6779"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Bruyneel, K.</w:t>
      </w:r>
      <w:r>
        <w:rPr>
          <w:rFonts w:ascii="Arial" w:eastAsia="Arial" w:hAnsi="Arial" w:cs="Arial"/>
          <w:color w:val="000000"/>
          <w:sz w:val="22"/>
          <w:szCs w:val="22"/>
        </w:rPr>
        <w:t xml:space="preserve"> (2021). </w:t>
      </w:r>
      <w:r>
        <w:rPr>
          <w:rFonts w:ascii="Arial" w:eastAsia="Arial" w:hAnsi="Arial" w:cs="Arial"/>
          <w:i/>
          <w:iCs/>
          <w:color w:val="000000"/>
          <w:sz w:val="22"/>
          <w:szCs w:val="22"/>
        </w:rPr>
        <w:t>Settler Memory: The Disavowal of Indigeneity and the Politics of Race in the United States</w:t>
      </w:r>
      <w:r>
        <w:rPr>
          <w:rFonts w:ascii="Arial" w:eastAsia="Arial" w:hAnsi="Arial" w:cs="Arial"/>
          <w:color w:val="000000"/>
          <w:sz w:val="22"/>
          <w:szCs w:val="22"/>
        </w:rPr>
        <w:t>. Chapel Hill: University of North Carolina Press.</w:t>
      </w:r>
    </w:p>
    <w:p w14:paraId="2DBBA795" w14:textId="77777777" w:rsidR="009F0C56" w:rsidRDefault="009F0C56">
      <w:pPr>
        <w:pBdr>
          <w:top w:val="nil"/>
          <w:left w:val="nil"/>
          <w:bottom w:val="nil"/>
          <w:right w:val="nil"/>
          <w:between w:val="nil"/>
        </w:pBdr>
        <w:spacing w:line="240" w:lineRule="auto"/>
        <w:rPr>
          <w:rFonts w:ascii="Arial" w:eastAsia="Arial" w:hAnsi="Arial" w:cs="Arial"/>
          <w:color w:val="000000"/>
          <w:sz w:val="22"/>
          <w:szCs w:val="22"/>
        </w:rPr>
      </w:pPr>
    </w:p>
    <w:p w14:paraId="1318BBD3" w14:textId="77777777" w:rsidR="009F0C56" w:rsidRDefault="00653842">
      <w:pPr>
        <w:spacing w:after="0" w:line="240" w:lineRule="auto"/>
        <w:rPr>
          <w:rFonts w:ascii="Arial" w:eastAsia="Arial" w:hAnsi="Arial" w:cs="Arial"/>
          <w:sz w:val="22"/>
          <w:szCs w:val="22"/>
        </w:rPr>
      </w:pPr>
      <w:r>
        <w:rPr>
          <w:rFonts w:ascii="Arial" w:eastAsia="Arial" w:hAnsi="Arial" w:cs="Arial"/>
          <w:sz w:val="22"/>
          <w:szCs w:val="22"/>
        </w:rPr>
        <w:t xml:space="preserve">Burrows, E. (2018). Indigenous media producers’ perspectives on objectivity, balancing community responsibilities and journalistic obligations. </w:t>
      </w:r>
      <w:r>
        <w:rPr>
          <w:rFonts w:ascii="Arial" w:eastAsia="Arial" w:hAnsi="Arial" w:cs="Arial"/>
          <w:i/>
          <w:iCs/>
          <w:sz w:val="22"/>
          <w:szCs w:val="22"/>
        </w:rPr>
        <w:t>Media, Culture &amp; Society</w:t>
      </w:r>
      <w:r>
        <w:rPr>
          <w:rFonts w:ascii="Arial" w:eastAsia="Arial" w:hAnsi="Arial" w:cs="Arial"/>
          <w:sz w:val="22"/>
          <w:szCs w:val="22"/>
        </w:rPr>
        <w:t xml:space="preserve">, </w:t>
      </w:r>
      <w:r>
        <w:rPr>
          <w:rFonts w:ascii="Arial" w:eastAsia="Arial" w:hAnsi="Arial" w:cs="Arial"/>
          <w:i/>
          <w:iCs/>
          <w:sz w:val="22"/>
          <w:szCs w:val="22"/>
        </w:rPr>
        <w:t>40</w:t>
      </w:r>
      <w:r>
        <w:rPr>
          <w:rFonts w:ascii="Arial" w:eastAsia="Arial" w:hAnsi="Arial" w:cs="Arial"/>
          <w:sz w:val="22"/>
          <w:szCs w:val="22"/>
        </w:rPr>
        <w:t xml:space="preserve">(8), 1117-1134. </w:t>
      </w:r>
      <w:hyperlink r:id="rId58">
        <w:r>
          <w:rPr>
            <w:rFonts w:ascii="Arial" w:eastAsia="Arial" w:hAnsi="Arial" w:cs="Arial"/>
            <w:color w:val="0000FF"/>
            <w:sz w:val="22"/>
            <w:szCs w:val="22"/>
            <w:u w:val="single"/>
          </w:rPr>
          <w:t>https://doi.org/10.1177/0163443718764807</w:t>
        </w:r>
      </w:hyperlink>
      <w:r>
        <w:rPr>
          <w:rFonts w:ascii="Arial" w:eastAsia="Arial" w:hAnsi="Arial" w:cs="Arial"/>
          <w:sz w:val="22"/>
          <w:szCs w:val="22"/>
        </w:rPr>
        <w:t xml:space="preserve"> </w:t>
      </w:r>
    </w:p>
    <w:p w14:paraId="36EA4613" w14:textId="77777777" w:rsidR="009F0C56" w:rsidRDefault="009F0C56">
      <w:pPr>
        <w:spacing w:line="259" w:lineRule="auto"/>
        <w:rPr>
          <w:rFonts w:ascii="Arial" w:eastAsia="Arial" w:hAnsi="Arial" w:cs="Arial"/>
          <w:color w:val="222222"/>
          <w:sz w:val="22"/>
          <w:szCs w:val="22"/>
          <w:highlight w:val="white"/>
        </w:rPr>
      </w:pPr>
    </w:p>
    <w:p w14:paraId="548F1820" w14:textId="77777777" w:rsidR="009F0C56" w:rsidRDefault="009F0C56">
      <w:pPr>
        <w:spacing w:line="259" w:lineRule="auto"/>
        <w:rPr>
          <w:rFonts w:ascii="Arial" w:eastAsia="Arial" w:hAnsi="Arial" w:cs="Arial"/>
          <w:color w:val="222222"/>
          <w:sz w:val="22"/>
          <w:szCs w:val="22"/>
          <w:highlight w:val="white"/>
        </w:rPr>
      </w:pPr>
    </w:p>
    <w:p w14:paraId="109D5992" w14:textId="5205BE67" w:rsidR="009F0C56" w:rsidRDefault="00653842">
      <w:pPr>
        <w:spacing w:line="259" w:lineRule="auto"/>
        <w:rPr>
          <w:rFonts w:ascii="Arial" w:eastAsia="Arial" w:hAnsi="Arial" w:cs="Arial"/>
          <w:sz w:val="22"/>
          <w:szCs w:val="22"/>
        </w:rPr>
      </w:pPr>
      <w:r>
        <w:rPr>
          <w:rFonts w:ascii="Arial" w:eastAsia="Arial" w:hAnsi="Arial" w:cs="Arial"/>
          <w:color w:val="222222"/>
          <w:sz w:val="22"/>
          <w:szCs w:val="22"/>
          <w:highlight w:val="white"/>
        </w:rPr>
        <w:t>Butler</w:t>
      </w:r>
      <w:r w:rsidR="00F44422">
        <w:rPr>
          <w:rFonts w:ascii="Arial" w:eastAsia="Arial" w:hAnsi="Arial" w:cs="Arial"/>
          <w:color w:val="222222"/>
          <w:sz w:val="22"/>
          <w:szCs w:val="22"/>
          <w:highlight w:val="white"/>
        </w:rPr>
        <w:t>,</w:t>
      </w:r>
      <w:r>
        <w:rPr>
          <w:rFonts w:ascii="Arial" w:eastAsia="Arial" w:hAnsi="Arial" w:cs="Arial"/>
          <w:color w:val="222222"/>
          <w:sz w:val="22"/>
          <w:szCs w:val="22"/>
          <w:highlight w:val="white"/>
        </w:rPr>
        <w:t xml:space="preserve"> R. (2018)</w:t>
      </w:r>
      <w:r w:rsidR="00F44422">
        <w:rPr>
          <w:rFonts w:ascii="Arial" w:eastAsia="Arial" w:hAnsi="Arial" w:cs="Arial"/>
          <w:color w:val="222222"/>
          <w:sz w:val="22"/>
          <w:szCs w:val="22"/>
          <w:highlight w:val="white"/>
        </w:rPr>
        <w:t>.</w:t>
      </w:r>
      <w:r>
        <w:rPr>
          <w:rFonts w:ascii="Arial" w:eastAsia="Arial" w:hAnsi="Arial" w:cs="Arial"/>
          <w:color w:val="222222"/>
          <w:sz w:val="22"/>
          <w:szCs w:val="22"/>
          <w:highlight w:val="white"/>
        </w:rPr>
        <w:t xml:space="preserve"> Sustainable Tourism in Sensitive Environments: A Wolf in Sheep’s Clothing? </w:t>
      </w:r>
      <w:r>
        <w:rPr>
          <w:rFonts w:ascii="Arial" w:eastAsia="Arial" w:hAnsi="Arial" w:cs="Arial"/>
          <w:i/>
          <w:iCs/>
          <w:color w:val="222222"/>
          <w:sz w:val="22"/>
          <w:szCs w:val="22"/>
          <w:highlight w:val="white"/>
        </w:rPr>
        <w:t>Sustainability</w:t>
      </w:r>
      <w:r w:rsidR="00F44422">
        <w:rPr>
          <w:rFonts w:ascii="Arial" w:eastAsia="Arial" w:hAnsi="Arial" w:cs="Arial"/>
          <w:color w:val="222222"/>
          <w:sz w:val="22"/>
          <w:szCs w:val="22"/>
          <w:highlight w:val="white"/>
        </w:rPr>
        <w:t>,</w:t>
      </w:r>
      <w:r>
        <w:rPr>
          <w:rFonts w:ascii="Arial" w:eastAsia="Arial" w:hAnsi="Arial" w:cs="Arial"/>
          <w:color w:val="222222"/>
          <w:sz w:val="22"/>
          <w:szCs w:val="22"/>
          <w:highlight w:val="white"/>
        </w:rPr>
        <w:t xml:space="preserve"> 10(6)</w:t>
      </w:r>
      <w:r w:rsidR="00F44422">
        <w:rPr>
          <w:rFonts w:ascii="Arial" w:eastAsia="Arial" w:hAnsi="Arial" w:cs="Arial"/>
          <w:color w:val="222222"/>
          <w:sz w:val="22"/>
          <w:szCs w:val="22"/>
          <w:highlight w:val="white"/>
        </w:rPr>
        <w:t xml:space="preserve">, </w:t>
      </w:r>
      <w:r>
        <w:rPr>
          <w:rFonts w:ascii="Arial" w:eastAsia="Arial" w:hAnsi="Arial" w:cs="Arial"/>
          <w:color w:val="222222"/>
          <w:sz w:val="22"/>
          <w:szCs w:val="22"/>
          <w:highlight w:val="white"/>
        </w:rPr>
        <w:t xml:space="preserve">1789. </w:t>
      </w:r>
      <w:hyperlink r:id="rId59">
        <w:r>
          <w:rPr>
            <w:rFonts w:ascii="Arial" w:eastAsia="Arial" w:hAnsi="Arial" w:cs="Arial"/>
            <w:color w:val="467886"/>
            <w:sz w:val="22"/>
            <w:szCs w:val="22"/>
            <w:highlight w:val="white"/>
            <w:u w:val="single"/>
          </w:rPr>
          <w:t>https://doi.org/10.3390/su10061789</w:t>
        </w:r>
      </w:hyperlink>
    </w:p>
    <w:p w14:paraId="7F81F6A0" w14:textId="77777777" w:rsidR="009F0C56" w:rsidRDefault="009F0C56">
      <w:pPr>
        <w:spacing w:line="259" w:lineRule="auto"/>
        <w:rPr>
          <w:rFonts w:ascii="Arial" w:eastAsia="Arial" w:hAnsi="Arial" w:cs="Arial"/>
          <w:sz w:val="22"/>
          <w:szCs w:val="22"/>
        </w:rPr>
      </w:pPr>
    </w:p>
    <w:p w14:paraId="37DF47FE" w14:textId="77777777" w:rsidR="009F0C56" w:rsidRDefault="00653842">
      <w:pPr>
        <w:rPr>
          <w:rFonts w:ascii="Arial" w:eastAsia="Arial" w:hAnsi="Arial" w:cs="Arial"/>
          <w:color w:val="333333"/>
          <w:sz w:val="22"/>
          <w:szCs w:val="22"/>
          <w:highlight w:val="white"/>
        </w:rPr>
      </w:pPr>
      <w:r>
        <w:rPr>
          <w:rFonts w:ascii="Arial" w:eastAsia="Arial" w:hAnsi="Arial" w:cs="Arial"/>
          <w:color w:val="333333"/>
          <w:sz w:val="22"/>
          <w:szCs w:val="22"/>
          <w:highlight w:val="white"/>
        </w:rPr>
        <w:t>Butler, R. (2022). COVID-19 and its potential impact on stages of tourist Destination Development. </w:t>
      </w:r>
      <w:r>
        <w:rPr>
          <w:rFonts w:ascii="Arial" w:eastAsia="Arial" w:hAnsi="Arial" w:cs="Arial"/>
          <w:i/>
          <w:iCs/>
          <w:color w:val="333333"/>
          <w:sz w:val="22"/>
          <w:szCs w:val="22"/>
          <w:highlight w:val="white"/>
        </w:rPr>
        <w:t>Current Issues in Tourism</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25</w:t>
      </w:r>
      <w:r>
        <w:rPr>
          <w:rFonts w:ascii="Arial" w:eastAsia="Arial" w:hAnsi="Arial" w:cs="Arial"/>
          <w:color w:val="333333"/>
          <w:sz w:val="22"/>
          <w:szCs w:val="22"/>
          <w:highlight w:val="white"/>
        </w:rPr>
        <w:t xml:space="preserve">(10), 1682–1695. </w:t>
      </w:r>
      <w:hyperlink r:id="rId60">
        <w:r>
          <w:rPr>
            <w:rFonts w:ascii="Arial" w:eastAsia="Arial" w:hAnsi="Arial" w:cs="Arial"/>
            <w:color w:val="467886"/>
            <w:sz w:val="22"/>
            <w:szCs w:val="22"/>
            <w:highlight w:val="white"/>
            <w:u w:val="single"/>
          </w:rPr>
          <w:t>https://doi.org/10.1080/13683500.2021.1990223</w:t>
        </w:r>
      </w:hyperlink>
    </w:p>
    <w:p w14:paraId="0BD9BC75" w14:textId="77777777" w:rsidR="009F0C56" w:rsidRDefault="009F0C56">
      <w:pPr>
        <w:rPr>
          <w:rFonts w:ascii="Arial" w:eastAsia="Arial" w:hAnsi="Arial" w:cs="Arial"/>
          <w:color w:val="333333"/>
          <w:sz w:val="22"/>
          <w:szCs w:val="22"/>
          <w:highlight w:val="white"/>
        </w:rPr>
      </w:pPr>
    </w:p>
    <w:p w14:paraId="3B1F9E89" w14:textId="69DA9C09" w:rsidR="009F0C56" w:rsidRDefault="00653842">
      <w:pPr>
        <w:rPr>
          <w:rFonts w:ascii="Arial" w:eastAsia="Arial" w:hAnsi="Arial" w:cs="Arial"/>
          <w:color w:val="222222"/>
          <w:sz w:val="22"/>
          <w:szCs w:val="22"/>
          <w:highlight w:val="white"/>
        </w:rPr>
      </w:pPr>
      <w:r>
        <w:rPr>
          <w:rFonts w:ascii="Arial" w:eastAsia="Arial" w:hAnsi="Arial" w:cs="Arial"/>
          <w:color w:val="222222"/>
          <w:sz w:val="22"/>
          <w:szCs w:val="22"/>
          <w:highlight w:val="white"/>
        </w:rPr>
        <w:t>Butler, R. (2018). "Sustainable Tourism in Sensitive Environments: A Wolf in Sheep’s Clothing?" </w:t>
      </w:r>
      <w:r>
        <w:rPr>
          <w:rFonts w:ascii="Arial" w:eastAsia="Arial" w:hAnsi="Arial" w:cs="Arial"/>
          <w:i/>
          <w:iCs/>
          <w:color w:val="222222"/>
          <w:sz w:val="22"/>
          <w:szCs w:val="22"/>
          <w:highlight w:val="white"/>
        </w:rPr>
        <w:t>Sustainability</w:t>
      </w:r>
      <w:r>
        <w:rPr>
          <w:rFonts w:ascii="Arial" w:eastAsia="Arial" w:hAnsi="Arial" w:cs="Arial"/>
          <w:color w:val="222222"/>
          <w:sz w:val="22"/>
          <w:szCs w:val="22"/>
          <w:highlight w:val="white"/>
        </w:rPr>
        <w:t> 10, no. 6</w:t>
      </w:r>
      <w:r w:rsidR="00F44422">
        <w:rPr>
          <w:rFonts w:ascii="Arial" w:eastAsia="Arial" w:hAnsi="Arial" w:cs="Arial"/>
          <w:color w:val="222222"/>
          <w:sz w:val="22"/>
          <w:szCs w:val="22"/>
          <w:highlight w:val="white"/>
        </w:rPr>
        <w:t>,</w:t>
      </w:r>
      <w:r>
        <w:rPr>
          <w:rFonts w:ascii="Arial" w:eastAsia="Arial" w:hAnsi="Arial" w:cs="Arial"/>
          <w:color w:val="222222"/>
          <w:sz w:val="22"/>
          <w:szCs w:val="22"/>
          <w:highlight w:val="white"/>
        </w:rPr>
        <w:t xml:space="preserve"> 1789. </w:t>
      </w:r>
      <w:hyperlink r:id="rId61">
        <w:r>
          <w:rPr>
            <w:rFonts w:ascii="Arial" w:eastAsia="Arial" w:hAnsi="Arial" w:cs="Arial"/>
            <w:color w:val="467886"/>
            <w:sz w:val="22"/>
            <w:szCs w:val="22"/>
            <w:highlight w:val="white"/>
            <w:u w:val="single"/>
          </w:rPr>
          <w:t>https://doi.org/10.3390/su10061789</w:t>
        </w:r>
      </w:hyperlink>
      <w:r>
        <w:rPr>
          <w:rFonts w:ascii="Arial" w:eastAsia="Arial" w:hAnsi="Arial" w:cs="Arial"/>
          <w:color w:val="222222"/>
          <w:sz w:val="22"/>
          <w:szCs w:val="22"/>
          <w:highlight w:val="white"/>
        </w:rPr>
        <w:t xml:space="preserve"> </w:t>
      </w:r>
    </w:p>
    <w:p w14:paraId="4711B2EE" w14:textId="77777777" w:rsidR="009F0C56" w:rsidRDefault="009F0C56">
      <w:pPr>
        <w:rPr>
          <w:rFonts w:ascii="Arial" w:eastAsia="Arial" w:hAnsi="Arial" w:cs="Arial"/>
          <w:color w:val="222222"/>
          <w:sz w:val="22"/>
          <w:szCs w:val="22"/>
          <w:highlight w:val="white"/>
        </w:rPr>
      </w:pPr>
    </w:p>
    <w:p w14:paraId="0D0A210B" w14:textId="77777777" w:rsidR="009F0C56" w:rsidRDefault="00653842">
      <w:pPr>
        <w:rPr>
          <w:rFonts w:ascii="Arial" w:eastAsia="Arial" w:hAnsi="Arial" w:cs="Arial"/>
          <w:color w:val="222222"/>
          <w:sz w:val="22"/>
          <w:szCs w:val="22"/>
          <w:highlight w:val="white"/>
        </w:rPr>
      </w:pPr>
      <w:r>
        <w:rPr>
          <w:rFonts w:ascii="Arial" w:eastAsia="Arial" w:hAnsi="Arial" w:cs="Arial"/>
          <w:color w:val="222222"/>
          <w:sz w:val="22"/>
          <w:szCs w:val="22"/>
          <w:highlight w:val="white"/>
        </w:rPr>
        <w:t>Butler, R. (2021). "Research on Tourism, Indigenous Peoples and Economic Development: A Missing Component" </w:t>
      </w:r>
      <w:r>
        <w:rPr>
          <w:rFonts w:ascii="Arial" w:eastAsia="Arial" w:hAnsi="Arial" w:cs="Arial"/>
          <w:i/>
          <w:iCs/>
          <w:color w:val="222222"/>
          <w:sz w:val="22"/>
          <w:szCs w:val="22"/>
          <w:highlight w:val="white"/>
        </w:rPr>
        <w:t>Land</w:t>
      </w:r>
      <w:r>
        <w:rPr>
          <w:rFonts w:ascii="Arial" w:eastAsia="Arial" w:hAnsi="Arial" w:cs="Arial"/>
          <w:color w:val="222222"/>
          <w:sz w:val="22"/>
          <w:szCs w:val="22"/>
          <w:highlight w:val="white"/>
        </w:rPr>
        <w:t xml:space="preserve"> 10, no. 12: 1329. </w:t>
      </w:r>
      <w:hyperlink r:id="rId62">
        <w:r>
          <w:rPr>
            <w:rFonts w:ascii="Arial" w:eastAsia="Arial" w:hAnsi="Arial" w:cs="Arial"/>
            <w:color w:val="467886"/>
            <w:sz w:val="22"/>
            <w:szCs w:val="22"/>
            <w:highlight w:val="white"/>
            <w:u w:val="single"/>
          </w:rPr>
          <w:t>https://doi.org/10.3390/land10121329</w:t>
        </w:r>
      </w:hyperlink>
      <w:r>
        <w:rPr>
          <w:rFonts w:ascii="Arial" w:eastAsia="Arial" w:hAnsi="Arial" w:cs="Arial"/>
          <w:color w:val="222222"/>
          <w:sz w:val="22"/>
          <w:szCs w:val="22"/>
          <w:highlight w:val="white"/>
        </w:rPr>
        <w:t xml:space="preserve"> </w:t>
      </w:r>
    </w:p>
    <w:p w14:paraId="58A24889" w14:textId="77777777" w:rsidR="009F0C56" w:rsidRDefault="009F0C56">
      <w:pPr>
        <w:rPr>
          <w:rFonts w:ascii="Arial" w:eastAsia="Arial" w:hAnsi="Arial" w:cs="Arial"/>
          <w:color w:val="222222"/>
          <w:sz w:val="22"/>
          <w:szCs w:val="22"/>
          <w:highlight w:val="white"/>
        </w:rPr>
      </w:pPr>
    </w:p>
    <w:p w14:paraId="64C589AE" w14:textId="77777777"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highlight w:val="white"/>
        </w:rPr>
        <w:t>Byrd, J. A. (2019). Weather with You: Settler Colonialism, Antiblackness, and the Grounded Relationalities of Resistance. </w:t>
      </w:r>
      <w:r>
        <w:rPr>
          <w:rFonts w:ascii="Arial" w:eastAsia="Arial" w:hAnsi="Arial" w:cs="Arial"/>
          <w:i/>
          <w:iCs/>
          <w:color w:val="000000"/>
          <w:sz w:val="22"/>
          <w:szCs w:val="22"/>
          <w:highlight w:val="white"/>
        </w:rPr>
        <w:t>Critical Ethnic Studies</w:t>
      </w:r>
      <w:r>
        <w:rPr>
          <w:rFonts w:ascii="Arial" w:eastAsia="Arial" w:hAnsi="Arial" w:cs="Arial"/>
          <w:color w:val="000000"/>
          <w:sz w:val="22"/>
          <w:szCs w:val="22"/>
          <w:highlight w:val="white"/>
        </w:rPr>
        <w:t>, </w:t>
      </w:r>
      <w:r>
        <w:rPr>
          <w:rFonts w:ascii="Arial" w:eastAsia="Arial" w:hAnsi="Arial" w:cs="Arial"/>
          <w:i/>
          <w:iCs/>
          <w:color w:val="000000"/>
          <w:sz w:val="22"/>
          <w:szCs w:val="22"/>
          <w:highlight w:val="white"/>
        </w:rPr>
        <w:t>5</w:t>
      </w:r>
      <w:r>
        <w:rPr>
          <w:rFonts w:ascii="Arial" w:eastAsia="Arial" w:hAnsi="Arial" w:cs="Arial"/>
          <w:color w:val="000000"/>
          <w:sz w:val="22"/>
          <w:szCs w:val="22"/>
          <w:highlight w:val="white"/>
        </w:rPr>
        <w:t xml:space="preserve">(1–2), 207–214. </w:t>
      </w:r>
      <w:hyperlink r:id="rId63">
        <w:r>
          <w:rPr>
            <w:rFonts w:ascii="Arial" w:eastAsia="Arial" w:hAnsi="Arial" w:cs="Arial"/>
            <w:color w:val="467886"/>
            <w:sz w:val="22"/>
            <w:szCs w:val="22"/>
            <w:highlight w:val="white"/>
            <w:u w:val="single"/>
          </w:rPr>
          <w:t>https://doi.org/10.5749/jcritethnstud.5.1-2.0207</w:t>
        </w:r>
      </w:hyperlink>
      <w:r>
        <w:rPr>
          <w:rFonts w:ascii="Arial" w:eastAsia="Arial" w:hAnsi="Arial" w:cs="Arial"/>
          <w:color w:val="000000"/>
          <w:sz w:val="22"/>
          <w:szCs w:val="22"/>
        </w:rPr>
        <w:t xml:space="preserve">. </w:t>
      </w:r>
    </w:p>
    <w:p w14:paraId="093FD738" w14:textId="77777777" w:rsidR="009F0C56" w:rsidRDefault="009F0C56">
      <w:pPr>
        <w:pBdr>
          <w:top w:val="nil"/>
          <w:left w:val="nil"/>
          <w:bottom w:val="nil"/>
          <w:right w:val="nil"/>
          <w:between w:val="nil"/>
        </w:pBdr>
        <w:spacing w:line="240" w:lineRule="auto"/>
        <w:rPr>
          <w:rFonts w:ascii="Arial" w:eastAsia="Arial" w:hAnsi="Arial" w:cs="Arial"/>
          <w:color w:val="000000"/>
          <w:sz w:val="22"/>
          <w:szCs w:val="22"/>
        </w:rPr>
      </w:pPr>
    </w:p>
    <w:p w14:paraId="71302E3F" w14:textId="24BEF3DA" w:rsidR="009F0C56" w:rsidRDefault="00653842">
      <w:pPr>
        <w:rPr>
          <w:rFonts w:ascii="Arial" w:eastAsia="Arial" w:hAnsi="Arial" w:cs="Arial"/>
          <w:color w:val="333333"/>
          <w:sz w:val="22"/>
          <w:szCs w:val="22"/>
          <w:highlight w:val="white"/>
        </w:rPr>
      </w:pPr>
      <w:r>
        <w:rPr>
          <w:rFonts w:ascii="Arial" w:eastAsia="Arial" w:hAnsi="Arial" w:cs="Arial"/>
          <w:color w:val="333333"/>
          <w:sz w:val="22"/>
          <w:szCs w:val="22"/>
          <w:highlight w:val="white"/>
        </w:rPr>
        <w:t>C. Lévi-Strauss and H. Naumann</w:t>
      </w:r>
      <w:r>
        <w:rPr>
          <w:rFonts w:ascii="Arial" w:eastAsia="Arial" w:hAnsi="Arial" w:cs="Arial"/>
          <w:color w:val="333333"/>
          <w:sz w:val="22"/>
          <w:szCs w:val="22"/>
          <w:highlight w:val="white"/>
        </w:rPr>
        <w:t xml:space="preserve"> (1967)  </w:t>
      </w:r>
      <w:r>
        <w:rPr>
          <w:rFonts w:ascii="Arial" w:eastAsia="Arial" w:hAnsi="Arial" w:cs="Arial"/>
          <w:i/>
          <w:iCs/>
          <w:color w:val="333333"/>
          <w:sz w:val="22"/>
          <w:szCs w:val="22"/>
          <w:highlight w:val="white"/>
        </w:rPr>
        <w:t>Strukturale Anthropologie</w:t>
      </w:r>
      <w:r>
        <w:rPr>
          <w:rFonts w:ascii="Arial" w:eastAsia="Arial" w:hAnsi="Arial" w:cs="Arial"/>
          <w:color w:val="333333"/>
          <w:sz w:val="22"/>
          <w:szCs w:val="22"/>
          <w:highlight w:val="white"/>
        </w:rPr>
        <w:t>. Germany</w:t>
      </w:r>
      <w:r>
        <w:rPr>
          <w:rFonts w:ascii="Arial" w:eastAsia="Arial" w:hAnsi="Arial" w:cs="Arial"/>
          <w:color w:val="333333"/>
          <w:sz w:val="22"/>
          <w:szCs w:val="22"/>
          <w:highlight w:val="white"/>
        </w:rPr>
        <w:t xml:space="preserve">: Suhrkamp, </w:t>
      </w:r>
      <w:r>
        <w:rPr>
          <w:rFonts w:ascii="Arial" w:eastAsia="Arial" w:hAnsi="Arial" w:cs="Arial"/>
          <w:color w:val="333333"/>
          <w:sz w:val="22"/>
          <w:szCs w:val="22"/>
          <w:highlight w:val="white"/>
        </w:rPr>
        <w:t xml:space="preserve">pp. 226–254. </w:t>
      </w:r>
    </w:p>
    <w:p w14:paraId="606B1BD9" w14:textId="77777777" w:rsidR="009F0C56" w:rsidRDefault="009F0C56">
      <w:pPr>
        <w:rPr>
          <w:rFonts w:ascii="Arial" w:eastAsia="Arial" w:hAnsi="Arial" w:cs="Arial"/>
          <w:color w:val="333333"/>
          <w:sz w:val="22"/>
          <w:szCs w:val="22"/>
          <w:highlight w:val="white"/>
        </w:rPr>
      </w:pPr>
    </w:p>
    <w:p w14:paraId="08184281" w14:textId="77777777" w:rsidR="009F0C56" w:rsidRDefault="00653842">
      <w:pPr>
        <w:rPr>
          <w:rFonts w:ascii="Arial" w:eastAsia="Arial" w:hAnsi="Arial" w:cs="Arial"/>
          <w:color w:val="333333"/>
          <w:sz w:val="22"/>
          <w:szCs w:val="22"/>
          <w:highlight w:val="white"/>
        </w:rPr>
      </w:pPr>
      <w:r>
        <w:rPr>
          <w:rFonts w:ascii="Arial" w:eastAsia="Arial" w:hAnsi="Arial" w:cs="Arial"/>
          <w:color w:val="333333"/>
          <w:sz w:val="22"/>
          <w:szCs w:val="22"/>
          <w:highlight w:val="white"/>
        </w:rPr>
        <w:t>Calderón, D., &amp; Urrieta, L. (2019). Studying in Relation: Critical Latinx Indigeneities and Education. </w:t>
      </w:r>
      <w:r>
        <w:rPr>
          <w:rFonts w:ascii="Arial" w:eastAsia="Arial" w:hAnsi="Arial" w:cs="Arial"/>
          <w:i/>
          <w:iCs/>
          <w:color w:val="333333"/>
          <w:sz w:val="22"/>
          <w:szCs w:val="22"/>
          <w:highlight w:val="white"/>
        </w:rPr>
        <w:t>Equity &amp; Excellence in Education</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52</w:t>
      </w:r>
      <w:r>
        <w:rPr>
          <w:rFonts w:ascii="Arial" w:eastAsia="Arial" w:hAnsi="Arial" w:cs="Arial"/>
          <w:color w:val="333333"/>
          <w:sz w:val="22"/>
          <w:szCs w:val="22"/>
          <w:highlight w:val="white"/>
        </w:rPr>
        <w:t xml:space="preserve">(2–3), 219–238. </w:t>
      </w:r>
      <w:hyperlink r:id="rId64">
        <w:r>
          <w:rPr>
            <w:rFonts w:ascii="Arial" w:eastAsia="Arial" w:hAnsi="Arial" w:cs="Arial"/>
            <w:color w:val="467886"/>
            <w:sz w:val="22"/>
            <w:szCs w:val="22"/>
            <w:highlight w:val="white"/>
            <w:u w:val="single"/>
          </w:rPr>
          <w:t>https://doi.org/10.1080/10665684.2019.1672591</w:t>
        </w:r>
      </w:hyperlink>
    </w:p>
    <w:p w14:paraId="25BC0D35" w14:textId="77777777" w:rsidR="009F0C56" w:rsidRDefault="009F0C56">
      <w:pPr>
        <w:rPr>
          <w:rFonts w:ascii="Arial" w:eastAsia="Arial" w:hAnsi="Arial" w:cs="Arial"/>
          <w:color w:val="333333"/>
          <w:sz w:val="22"/>
          <w:szCs w:val="22"/>
          <w:highlight w:val="white"/>
        </w:rPr>
      </w:pPr>
    </w:p>
    <w:p w14:paraId="3A536287" w14:textId="77777777" w:rsidR="009F0C56" w:rsidRDefault="00653842">
      <w:pPr>
        <w:rPr>
          <w:rFonts w:ascii="Arial" w:eastAsia="Arial" w:hAnsi="Arial" w:cs="Arial"/>
          <w:color w:val="333333"/>
          <w:sz w:val="22"/>
          <w:szCs w:val="22"/>
          <w:highlight w:val="white"/>
        </w:rPr>
      </w:pPr>
      <w:r>
        <w:rPr>
          <w:rFonts w:ascii="Arial" w:eastAsia="Arial" w:hAnsi="Arial" w:cs="Arial"/>
          <w:color w:val="333333"/>
          <w:sz w:val="22"/>
          <w:szCs w:val="22"/>
          <w:highlight w:val="white"/>
        </w:rPr>
        <w:t>Canfield, D. E., Bachmann, R. W., &amp; Hoyer, M. V. (2021). Restoration of Lake Okeechobee, Florida: mission impossible? </w:t>
      </w:r>
      <w:r>
        <w:rPr>
          <w:rFonts w:ascii="Arial" w:eastAsia="Arial" w:hAnsi="Arial" w:cs="Arial"/>
          <w:i/>
          <w:iCs/>
          <w:color w:val="333333"/>
          <w:sz w:val="22"/>
          <w:szCs w:val="22"/>
          <w:highlight w:val="white"/>
        </w:rPr>
        <w:t>Lake and Reservoir Management</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37</w:t>
      </w:r>
      <w:r>
        <w:rPr>
          <w:rFonts w:ascii="Arial" w:eastAsia="Arial" w:hAnsi="Arial" w:cs="Arial"/>
          <w:color w:val="333333"/>
          <w:sz w:val="22"/>
          <w:szCs w:val="22"/>
          <w:highlight w:val="white"/>
        </w:rPr>
        <w:t xml:space="preserve">(1), 95–111. </w:t>
      </w:r>
      <w:hyperlink r:id="rId65">
        <w:r>
          <w:rPr>
            <w:rFonts w:ascii="Arial" w:eastAsia="Arial" w:hAnsi="Arial" w:cs="Arial"/>
            <w:color w:val="467886"/>
            <w:sz w:val="22"/>
            <w:szCs w:val="22"/>
            <w:highlight w:val="white"/>
            <w:u w:val="single"/>
          </w:rPr>
          <w:t>https://doi.org/10.1080/10402381.2020.1839607</w:t>
        </w:r>
      </w:hyperlink>
    </w:p>
    <w:p w14:paraId="2BF79855" w14:textId="77777777" w:rsidR="009F0C56" w:rsidRDefault="009F0C56">
      <w:pPr>
        <w:rPr>
          <w:rFonts w:ascii="Arial" w:eastAsia="Arial" w:hAnsi="Arial" w:cs="Arial"/>
          <w:color w:val="333333"/>
          <w:sz w:val="22"/>
          <w:szCs w:val="22"/>
          <w:highlight w:val="white"/>
        </w:rPr>
      </w:pPr>
    </w:p>
    <w:p w14:paraId="549BACB3" w14:textId="77777777" w:rsidR="009F0C56" w:rsidRDefault="00653842">
      <w:pPr>
        <w:spacing w:after="0" w:line="240" w:lineRule="auto"/>
        <w:rPr>
          <w:rFonts w:ascii="Arial" w:eastAsia="Arial" w:hAnsi="Arial" w:cs="Arial"/>
          <w:sz w:val="22"/>
          <w:szCs w:val="22"/>
        </w:rPr>
      </w:pPr>
      <w:r>
        <w:rPr>
          <w:rFonts w:ascii="Arial" w:eastAsia="Arial" w:hAnsi="Arial" w:cs="Arial"/>
          <w:sz w:val="22"/>
          <w:szCs w:val="22"/>
        </w:rPr>
        <w:t xml:space="preserve">Castree, N. (2003). Commodifying what nature? </w:t>
      </w:r>
      <w:r>
        <w:rPr>
          <w:rFonts w:ascii="Arial" w:eastAsia="Arial" w:hAnsi="Arial" w:cs="Arial"/>
          <w:i/>
          <w:iCs/>
          <w:sz w:val="22"/>
          <w:szCs w:val="22"/>
        </w:rPr>
        <w:t>Progress in Human Geography</w:t>
      </w:r>
      <w:r>
        <w:rPr>
          <w:rFonts w:ascii="Arial" w:eastAsia="Arial" w:hAnsi="Arial" w:cs="Arial"/>
          <w:sz w:val="22"/>
          <w:szCs w:val="22"/>
        </w:rPr>
        <w:t xml:space="preserve">, </w:t>
      </w:r>
      <w:r>
        <w:rPr>
          <w:rFonts w:ascii="Arial" w:eastAsia="Arial" w:hAnsi="Arial" w:cs="Arial"/>
          <w:i/>
          <w:iCs/>
          <w:sz w:val="22"/>
          <w:szCs w:val="22"/>
        </w:rPr>
        <w:t>27</w:t>
      </w:r>
      <w:r>
        <w:rPr>
          <w:rFonts w:ascii="Arial" w:eastAsia="Arial" w:hAnsi="Arial" w:cs="Arial"/>
          <w:sz w:val="22"/>
          <w:szCs w:val="22"/>
        </w:rPr>
        <w:t xml:space="preserve">(3), 273-297. </w:t>
      </w:r>
      <w:hyperlink r:id="rId66">
        <w:r>
          <w:rPr>
            <w:rFonts w:ascii="Arial" w:eastAsia="Arial" w:hAnsi="Arial" w:cs="Arial"/>
            <w:color w:val="0000FF"/>
            <w:sz w:val="22"/>
            <w:szCs w:val="22"/>
            <w:u w:val="single"/>
          </w:rPr>
          <w:t>https://doi.org/10.1191/0309132503ph428oa</w:t>
        </w:r>
      </w:hyperlink>
      <w:r>
        <w:rPr>
          <w:rFonts w:ascii="Arial" w:eastAsia="Arial" w:hAnsi="Arial" w:cs="Arial"/>
          <w:sz w:val="22"/>
          <w:szCs w:val="22"/>
        </w:rPr>
        <w:t xml:space="preserve"> </w:t>
      </w:r>
    </w:p>
    <w:p w14:paraId="733D353A" w14:textId="77777777" w:rsidR="009F0C56" w:rsidRDefault="009F0C56">
      <w:pPr>
        <w:spacing w:after="0" w:line="240" w:lineRule="auto"/>
        <w:rPr>
          <w:rFonts w:ascii="Arial" w:eastAsia="Arial" w:hAnsi="Arial" w:cs="Arial"/>
          <w:sz w:val="22"/>
          <w:szCs w:val="22"/>
        </w:rPr>
      </w:pPr>
    </w:p>
    <w:p w14:paraId="0E2FE8FC" w14:textId="5C447292"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333333"/>
          <w:sz w:val="22"/>
          <w:szCs w:val="22"/>
          <w:highlight w:val="white"/>
        </w:rPr>
        <w:t xml:space="preserve">Castro-Gómez, S. (2007). THE MISSING CHAPTER OF EMPIRE: Postmodern </w:t>
      </w:r>
      <w:r w:rsidR="00F44422">
        <w:rPr>
          <w:rFonts w:ascii="Arial" w:eastAsia="Arial" w:hAnsi="Arial" w:cs="Arial"/>
          <w:color w:val="333333"/>
          <w:sz w:val="22"/>
          <w:szCs w:val="22"/>
          <w:highlight w:val="white"/>
        </w:rPr>
        <w:t>reorganisation</w:t>
      </w:r>
      <w:r>
        <w:rPr>
          <w:rFonts w:ascii="Arial" w:eastAsia="Arial" w:hAnsi="Arial" w:cs="Arial"/>
          <w:color w:val="333333"/>
          <w:sz w:val="22"/>
          <w:szCs w:val="22"/>
          <w:highlight w:val="white"/>
        </w:rPr>
        <w:t xml:space="preserve"> of coloniality and post-Fordist capitalism1. </w:t>
      </w:r>
      <w:r>
        <w:rPr>
          <w:rFonts w:ascii="Arial" w:eastAsia="Arial" w:hAnsi="Arial" w:cs="Arial"/>
          <w:i/>
          <w:iCs/>
          <w:color w:val="333333"/>
          <w:sz w:val="22"/>
          <w:szCs w:val="22"/>
          <w:highlight w:val="white"/>
        </w:rPr>
        <w:t>Cultural Studies</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21</w:t>
      </w:r>
      <w:r>
        <w:rPr>
          <w:rFonts w:ascii="Arial" w:eastAsia="Arial" w:hAnsi="Arial" w:cs="Arial"/>
          <w:color w:val="333333"/>
          <w:sz w:val="22"/>
          <w:szCs w:val="22"/>
          <w:highlight w:val="white"/>
        </w:rPr>
        <w:t xml:space="preserve">(2–3), 428–448. </w:t>
      </w:r>
      <w:hyperlink r:id="rId67">
        <w:r>
          <w:rPr>
            <w:rFonts w:ascii="Arial" w:eastAsia="Arial" w:hAnsi="Arial" w:cs="Arial"/>
            <w:color w:val="467886"/>
            <w:sz w:val="22"/>
            <w:szCs w:val="22"/>
            <w:highlight w:val="white"/>
            <w:u w:val="single"/>
          </w:rPr>
          <w:t>https://doi.org/10.1080/09502380601162639</w:t>
        </w:r>
      </w:hyperlink>
      <w:r>
        <w:rPr>
          <w:rFonts w:ascii="Arial" w:eastAsia="Arial" w:hAnsi="Arial" w:cs="Arial"/>
          <w:color w:val="000000"/>
          <w:sz w:val="22"/>
          <w:szCs w:val="22"/>
        </w:rPr>
        <w:t xml:space="preserve"> </w:t>
      </w:r>
    </w:p>
    <w:p w14:paraId="5F09C936" w14:textId="77777777" w:rsidR="009F0C56" w:rsidRDefault="009F0C56">
      <w:pPr>
        <w:pBdr>
          <w:top w:val="nil"/>
          <w:left w:val="nil"/>
          <w:bottom w:val="nil"/>
          <w:right w:val="nil"/>
          <w:between w:val="nil"/>
        </w:pBdr>
        <w:spacing w:line="240" w:lineRule="auto"/>
        <w:rPr>
          <w:rFonts w:ascii="Arial" w:eastAsia="Arial" w:hAnsi="Arial" w:cs="Arial"/>
          <w:color w:val="000000"/>
          <w:sz w:val="22"/>
          <w:szCs w:val="22"/>
        </w:rPr>
      </w:pPr>
    </w:p>
    <w:p w14:paraId="15790944" w14:textId="77777777"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 xml:space="preserve">Cattelino, J. R., 2018. "Gaming, Property, and Power: American Indian Economic Futures." In: D. M. Smith &amp; R. S. Perdue (eds.) </w:t>
      </w:r>
      <w:r>
        <w:rPr>
          <w:rFonts w:ascii="Arial" w:eastAsia="Arial" w:hAnsi="Arial" w:cs="Arial"/>
          <w:i/>
          <w:iCs/>
          <w:color w:val="000000"/>
          <w:sz w:val="22"/>
          <w:szCs w:val="22"/>
        </w:rPr>
        <w:t>Indigenous Economies and Settler Colonialism</w:t>
      </w:r>
      <w:r>
        <w:rPr>
          <w:rFonts w:ascii="Arial" w:eastAsia="Arial" w:hAnsi="Arial" w:cs="Arial"/>
          <w:color w:val="000000"/>
          <w:sz w:val="22"/>
          <w:szCs w:val="22"/>
        </w:rPr>
        <w:t>. Vancouver: UBC Press, pp. 273–294.</w:t>
      </w:r>
    </w:p>
    <w:p w14:paraId="5F6537B7" w14:textId="77777777" w:rsidR="009F0C56" w:rsidRDefault="009F0C56">
      <w:pPr>
        <w:pBdr>
          <w:top w:val="nil"/>
          <w:left w:val="nil"/>
          <w:bottom w:val="nil"/>
          <w:right w:val="nil"/>
          <w:between w:val="nil"/>
        </w:pBdr>
        <w:spacing w:line="240" w:lineRule="auto"/>
        <w:rPr>
          <w:rFonts w:ascii="Arial" w:eastAsia="Arial" w:hAnsi="Arial" w:cs="Arial"/>
          <w:color w:val="000000"/>
          <w:sz w:val="22"/>
          <w:szCs w:val="22"/>
        </w:rPr>
      </w:pPr>
    </w:p>
    <w:p w14:paraId="4917424B" w14:textId="77777777"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 xml:space="preserve">Cattelino, J.R., 2008. </w:t>
      </w:r>
      <w:r>
        <w:rPr>
          <w:rFonts w:ascii="Arial" w:eastAsia="Arial" w:hAnsi="Arial" w:cs="Arial"/>
          <w:i/>
          <w:iCs/>
          <w:color w:val="000000"/>
          <w:sz w:val="22"/>
          <w:szCs w:val="22"/>
        </w:rPr>
        <w:t>High Stakes: Florida Seminole Gaming and Sovereignty</w:t>
      </w:r>
      <w:r>
        <w:rPr>
          <w:rFonts w:ascii="Arial" w:eastAsia="Arial" w:hAnsi="Arial" w:cs="Arial"/>
          <w:color w:val="000000"/>
          <w:sz w:val="22"/>
          <w:szCs w:val="22"/>
        </w:rPr>
        <w:t>. Durham: Duke University Press.</w:t>
      </w:r>
    </w:p>
    <w:p w14:paraId="1C5716C8" w14:textId="77777777" w:rsidR="009F0C56" w:rsidRDefault="009F0C56">
      <w:pPr>
        <w:pBdr>
          <w:top w:val="nil"/>
          <w:left w:val="nil"/>
          <w:bottom w:val="nil"/>
          <w:right w:val="nil"/>
          <w:between w:val="nil"/>
        </w:pBdr>
        <w:spacing w:line="240" w:lineRule="auto"/>
        <w:rPr>
          <w:rFonts w:ascii="Arial" w:eastAsia="Arial" w:hAnsi="Arial" w:cs="Arial"/>
          <w:color w:val="000000"/>
          <w:sz w:val="22"/>
          <w:szCs w:val="22"/>
        </w:rPr>
      </w:pPr>
    </w:p>
    <w:p w14:paraId="5411C0D6" w14:textId="77777777" w:rsidR="009F0C56" w:rsidRDefault="00653842">
      <w:pPr>
        <w:rPr>
          <w:rFonts w:ascii="Arial" w:eastAsia="Arial" w:hAnsi="Arial" w:cs="Arial"/>
          <w:color w:val="000000"/>
          <w:sz w:val="22"/>
          <w:szCs w:val="22"/>
        </w:rPr>
      </w:pPr>
      <w:r>
        <w:rPr>
          <w:rFonts w:ascii="Arial" w:eastAsia="Arial" w:hAnsi="Arial" w:cs="Arial"/>
          <w:color w:val="000000"/>
          <w:sz w:val="22"/>
          <w:szCs w:val="22"/>
        </w:rPr>
        <w:t>Chowdhury, O. H. (1991). Human Development Index : A Critique. </w:t>
      </w:r>
      <w:r>
        <w:rPr>
          <w:rFonts w:ascii="Arial" w:eastAsia="Arial" w:hAnsi="Arial" w:cs="Arial"/>
          <w:i/>
          <w:iCs/>
          <w:color w:val="000000"/>
          <w:sz w:val="22"/>
          <w:szCs w:val="22"/>
        </w:rPr>
        <w:t>The Bangladesh Development Studies</w:t>
      </w:r>
      <w:r>
        <w:rPr>
          <w:rFonts w:ascii="Arial" w:eastAsia="Arial" w:hAnsi="Arial" w:cs="Arial"/>
          <w:color w:val="000000"/>
          <w:sz w:val="22"/>
          <w:szCs w:val="22"/>
        </w:rPr>
        <w:t>, </w:t>
      </w:r>
      <w:r>
        <w:rPr>
          <w:rFonts w:ascii="Arial" w:eastAsia="Arial" w:hAnsi="Arial" w:cs="Arial"/>
          <w:i/>
          <w:iCs/>
          <w:color w:val="000000"/>
          <w:sz w:val="22"/>
          <w:szCs w:val="22"/>
        </w:rPr>
        <w:t>19</w:t>
      </w:r>
      <w:r>
        <w:rPr>
          <w:rFonts w:ascii="Arial" w:eastAsia="Arial" w:hAnsi="Arial" w:cs="Arial"/>
          <w:color w:val="000000"/>
          <w:sz w:val="22"/>
          <w:szCs w:val="22"/>
        </w:rPr>
        <w:t xml:space="preserve">(3), 125–127. </w:t>
      </w:r>
      <w:hyperlink r:id="rId68">
        <w:r>
          <w:rPr>
            <w:rFonts w:ascii="Arial" w:eastAsia="Arial" w:hAnsi="Arial" w:cs="Arial"/>
            <w:color w:val="467886"/>
            <w:sz w:val="22"/>
            <w:szCs w:val="22"/>
            <w:u w:val="single"/>
          </w:rPr>
          <w:t>http://www.jstor.org/stable/40795411</w:t>
        </w:r>
      </w:hyperlink>
      <w:r>
        <w:rPr>
          <w:rFonts w:ascii="Arial" w:eastAsia="Arial" w:hAnsi="Arial" w:cs="Arial"/>
          <w:color w:val="000000"/>
          <w:sz w:val="22"/>
          <w:szCs w:val="22"/>
        </w:rPr>
        <w:t xml:space="preserve"> </w:t>
      </w:r>
    </w:p>
    <w:p w14:paraId="481FA4D6" w14:textId="77777777" w:rsidR="009F0C56" w:rsidRDefault="009F0C56">
      <w:pPr>
        <w:rPr>
          <w:rFonts w:ascii="Arial" w:eastAsia="Arial" w:hAnsi="Arial" w:cs="Arial"/>
          <w:color w:val="000000"/>
          <w:sz w:val="22"/>
          <w:szCs w:val="22"/>
        </w:rPr>
      </w:pPr>
    </w:p>
    <w:p w14:paraId="01039072" w14:textId="77777777" w:rsidR="009F0C56" w:rsidRDefault="00653842">
      <w:pPr>
        <w:spacing w:line="259" w:lineRule="auto"/>
        <w:rPr>
          <w:rFonts w:ascii="Arial" w:eastAsia="Arial" w:hAnsi="Arial" w:cs="Arial"/>
          <w:color w:val="000000"/>
          <w:sz w:val="22"/>
          <w:szCs w:val="22"/>
        </w:rPr>
      </w:pPr>
      <w:r>
        <w:rPr>
          <w:rFonts w:ascii="Arial" w:eastAsia="Arial" w:hAnsi="Arial" w:cs="Arial"/>
          <w:color w:val="000000"/>
          <w:sz w:val="22"/>
          <w:szCs w:val="22"/>
        </w:rPr>
        <w:t>Chowdhury, O. H. (1991). Human Development Index : A Critique. </w:t>
      </w:r>
      <w:r>
        <w:rPr>
          <w:rFonts w:ascii="Arial" w:eastAsia="Arial" w:hAnsi="Arial" w:cs="Arial"/>
          <w:i/>
          <w:iCs/>
          <w:color w:val="000000"/>
          <w:sz w:val="22"/>
          <w:szCs w:val="22"/>
        </w:rPr>
        <w:t>The Bangladesh Development Studies</w:t>
      </w:r>
      <w:r>
        <w:rPr>
          <w:rFonts w:ascii="Arial" w:eastAsia="Arial" w:hAnsi="Arial" w:cs="Arial"/>
          <w:color w:val="000000"/>
          <w:sz w:val="22"/>
          <w:szCs w:val="22"/>
        </w:rPr>
        <w:t>, </w:t>
      </w:r>
      <w:r>
        <w:rPr>
          <w:rFonts w:ascii="Arial" w:eastAsia="Arial" w:hAnsi="Arial" w:cs="Arial"/>
          <w:i/>
          <w:iCs/>
          <w:color w:val="000000"/>
          <w:sz w:val="22"/>
          <w:szCs w:val="22"/>
        </w:rPr>
        <w:t>19</w:t>
      </w:r>
      <w:r>
        <w:rPr>
          <w:rFonts w:ascii="Arial" w:eastAsia="Arial" w:hAnsi="Arial" w:cs="Arial"/>
          <w:color w:val="000000"/>
          <w:sz w:val="22"/>
          <w:szCs w:val="22"/>
        </w:rPr>
        <w:t xml:space="preserve">(3), 125–127. </w:t>
      </w:r>
      <w:hyperlink r:id="rId69">
        <w:r>
          <w:rPr>
            <w:rFonts w:ascii="Arial" w:eastAsia="Arial" w:hAnsi="Arial" w:cs="Arial"/>
            <w:color w:val="467886"/>
            <w:sz w:val="22"/>
            <w:szCs w:val="22"/>
            <w:u w:val="single"/>
          </w:rPr>
          <w:t>http://www.jstor.org/stable/40795411</w:t>
        </w:r>
      </w:hyperlink>
      <w:r>
        <w:rPr>
          <w:rFonts w:ascii="Arial" w:eastAsia="Arial" w:hAnsi="Arial" w:cs="Arial"/>
          <w:color w:val="000000"/>
          <w:sz w:val="22"/>
          <w:szCs w:val="22"/>
        </w:rPr>
        <w:t xml:space="preserve"> </w:t>
      </w:r>
    </w:p>
    <w:p w14:paraId="00C90BB5" w14:textId="77777777" w:rsidR="009F0C56" w:rsidRDefault="009F0C56">
      <w:pPr>
        <w:spacing w:line="259" w:lineRule="auto"/>
        <w:rPr>
          <w:rFonts w:ascii="Arial" w:eastAsia="Arial" w:hAnsi="Arial" w:cs="Arial"/>
          <w:color w:val="000000"/>
          <w:sz w:val="22"/>
          <w:szCs w:val="22"/>
        </w:rPr>
      </w:pPr>
    </w:p>
    <w:p w14:paraId="3BD2CB43" w14:textId="3120A518" w:rsidR="009F0C56" w:rsidRDefault="00653842">
      <w:pPr>
        <w:rPr>
          <w:rFonts w:ascii="Arial" w:eastAsia="Arial" w:hAnsi="Arial" w:cs="Arial"/>
          <w:sz w:val="22"/>
          <w:szCs w:val="22"/>
        </w:rPr>
      </w:pPr>
      <w:r>
        <w:rPr>
          <w:rFonts w:ascii="Arial" w:eastAsia="Arial" w:hAnsi="Arial" w:cs="Arial"/>
          <w:sz w:val="22"/>
          <w:szCs w:val="22"/>
        </w:rPr>
        <w:t xml:space="preserve">Ciacci, A., Ivaldi, E., Mangano, S., &amp; Ugolini, G. (2021). Environment, logistics and infrastructure: the three spheres of </w:t>
      </w:r>
      <w:r w:rsidR="00F44422">
        <w:rPr>
          <w:rFonts w:ascii="Arial" w:eastAsia="Arial" w:hAnsi="Arial" w:cs="Arial"/>
          <w:sz w:val="22"/>
          <w:szCs w:val="22"/>
        </w:rPr>
        <w:t>influence</w:t>
      </w:r>
      <w:r>
        <w:rPr>
          <w:rFonts w:ascii="Arial" w:eastAsia="Arial" w:hAnsi="Arial" w:cs="Arial"/>
          <w:sz w:val="22"/>
          <w:szCs w:val="22"/>
        </w:rPr>
        <w:t xml:space="preserve"> of Italian coastal tourism. Journal of Sustainable Tourism. https://doi.org/ 10.1080/09669582.2021.1876715 </w:t>
      </w:r>
    </w:p>
    <w:p w14:paraId="20CCAAA2" w14:textId="77777777" w:rsidR="009F0C56" w:rsidRDefault="009F0C56">
      <w:pPr>
        <w:rPr>
          <w:rFonts w:ascii="Arial" w:eastAsia="Arial" w:hAnsi="Arial" w:cs="Arial"/>
          <w:sz w:val="22"/>
          <w:szCs w:val="22"/>
        </w:rPr>
      </w:pPr>
    </w:p>
    <w:p w14:paraId="66BAD98C" w14:textId="54A8B64F" w:rsidR="009F0C56" w:rsidRDefault="00653842">
      <w:pPr>
        <w:rPr>
          <w:rFonts w:ascii="Arial" w:eastAsia="Arial" w:hAnsi="Arial" w:cs="Arial"/>
          <w:sz w:val="22"/>
          <w:szCs w:val="22"/>
        </w:rPr>
      </w:pPr>
      <w:r>
        <w:rPr>
          <w:rFonts w:ascii="Arial" w:eastAsia="Arial" w:hAnsi="Arial" w:cs="Arial"/>
          <w:sz w:val="22"/>
          <w:szCs w:val="22"/>
        </w:rPr>
        <w:t>Clayton, Dan. (2000). Islands of truth. UBC Press</w:t>
      </w:r>
      <w:r w:rsidR="00F44422">
        <w:rPr>
          <w:rFonts w:ascii="Arial" w:eastAsia="Arial" w:hAnsi="Arial" w:cs="Arial"/>
          <w:sz w:val="22"/>
          <w:szCs w:val="22"/>
        </w:rPr>
        <w:t>,</w:t>
      </w:r>
      <w:r>
        <w:rPr>
          <w:rFonts w:ascii="Arial" w:eastAsia="Arial" w:hAnsi="Arial" w:cs="Arial"/>
          <w:sz w:val="22"/>
          <w:szCs w:val="22"/>
        </w:rPr>
        <w:t xml:space="preserve"> Vancouver and Toronto. Vancouver </w:t>
      </w:r>
    </w:p>
    <w:p w14:paraId="2938C1C1" w14:textId="77777777" w:rsidR="009F0C56" w:rsidRDefault="009F0C56">
      <w:pPr>
        <w:rPr>
          <w:rFonts w:ascii="Arial" w:eastAsia="Arial" w:hAnsi="Arial" w:cs="Arial"/>
          <w:sz w:val="22"/>
          <w:szCs w:val="22"/>
        </w:rPr>
      </w:pPr>
    </w:p>
    <w:p w14:paraId="016DC031" w14:textId="77777777" w:rsidR="009F0C56" w:rsidRDefault="00653842">
      <w:pPr>
        <w:rPr>
          <w:rFonts w:ascii="Arial" w:eastAsia="Arial" w:hAnsi="Arial" w:cs="Arial"/>
          <w:color w:val="333333"/>
          <w:sz w:val="22"/>
          <w:szCs w:val="22"/>
          <w:highlight w:val="white"/>
        </w:rPr>
      </w:pPr>
      <w:r>
        <w:rPr>
          <w:rFonts w:ascii="Arial" w:eastAsia="Arial" w:hAnsi="Arial" w:cs="Arial"/>
          <w:color w:val="333333"/>
          <w:sz w:val="22"/>
          <w:szCs w:val="22"/>
          <w:highlight w:val="white"/>
        </w:rPr>
        <w:t>Conrad, J. (2022). Structures for Indigenous sovereignty in research: Disrupting settler colonial methods and relations in research partnerships. </w:t>
      </w:r>
      <w:r>
        <w:rPr>
          <w:rFonts w:ascii="Arial" w:eastAsia="Arial" w:hAnsi="Arial" w:cs="Arial"/>
          <w:i/>
          <w:iCs/>
          <w:color w:val="333333"/>
          <w:sz w:val="22"/>
          <w:szCs w:val="22"/>
          <w:highlight w:val="white"/>
        </w:rPr>
        <w:t>Qualitative Research</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23</w:t>
      </w:r>
      <w:r>
        <w:rPr>
          <w:rFonts w:ascii="Arial" w:eastAsia="Arial" w:hAnsi="Arial" w:cs="Arial"/>
          <w:color w:val="333333"/>
          <w:sz w:val="22"/>
          <w:szCs w:val="22"/>
          <w:highlight w:val="white"/>
        </w:rPr>
        <w:t>(6), 1594-1619. </w:t>
      </w:r>
      <w:hyperlink r:id="rId70">
        <w:r>
          <w:rPr>
            <w:rFonts w:ascii="Arial" w:eastAsia="Arial" w:hAnsi="Arial" w:cs="Arial"/>
            <w:color w:val="046FF8"/>
            <w:sz w:val="22"/>
            <w:szCs w:val="22"/>
            <w:highlight w:val="white"/>
            <w:u w:val="single"/>
          </w:rPr>
          <w:t>https://doi.org/10.1177/14687941221110178</w:t>
        </w:r>
      </w:hyperlink>
      <w:r>
        <w:rPr>
          <w:rFonts w:ascii="Arial" w:eastAsia="Arial" w:hAnsi="Arial" w:cs="Arial"/>
          <w:color w:val="333333"/>
          <w:sz w:val="22"/>
          <w:szCs w:val="22"/>
          <w:highlight w:val="white"/>
        </w:rPr>
        <w:t> </w:t>
      </w:r>
    </w:p>
    <w:p w14:paraId="6A72B851" w14:textId="77777777" w:rsidR="009F0C56" w:rsidRDefault="009F0C56">
      <w:pPr>
        <w:rPr>
          <w:rFonts w:ascii="Arial" w:eastAsia="Arial" w:hAnsi="Arial" w:cs="Arial"/>
          <w:color w:val="333333"/>
          <w:sz w:val="22"/>
          <w:szCs w:val="22"/>
          <w:highlight w:val="white"/>
        </w:rPr>
      </w:pPr>
    </w:p>
    <w:p w14:paraId="4E15F52F" w14:textId="4B3483A6"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Cordova, V. F</w:t>
      </w:r>
      <w:r w:rsidR="00F44422">
        <w:rPr>
          <w:rFonts w:ascii="Arial" w:eastAsia="Arial" w:hAnsi="Arial" w:cs="Arial"/>
          <w:color w:val="000000"/>
          <w:sz w:val="22"/>
          <w:szCs w:val="22"/>
        </w:rPr>
        <w:t>.</w:t>
      </w:r>
      <w:r>
        <w:rPr>
          <w:rFonts w:ascii="Arial" w:eastAsia="Arial" w:hAnsi="Arial" w:cs="Arial"/>
          <w:color w:val="000000"/>
          <w:sz w:val="22"/>
          <w:szCs w:val="22"/>
        </w:rPr>
        <w:t xml:space="preserve"> (2007). </w:t>
      </w:r>
      <w:r>
        <w:rPr>
          <w:rFonts w:ascii="Arial" w:eastAsia="Arial" w:hAnsi="Arial" w:cs="Arial"/>
          <w:i/>
          <w:iCs/>
          <w:color w:val="000000"/>
          <w:sz w:val="22"/>
          <w:szCs w:val="22"/>
        </w:rPr>
        <w:t>How It Is: The Native American Philosophy of V. F. Cordova</w:t>
      </w:r>
      <w:r>
        <w:rPr>
          <w:rFonts w:ascii="Arial" w:eastAsia="Arial" w:hAnsi="Arial" w:cs="Arial"/>
          <w:color w:val="000000"/>
          <w:sz w:val="22"/>
          <w:szCs w:val="22"/>
        </w:rPr>
        <w:t>. Tucson: University of Arizona Press.</w:t>
      </w:r>
    </w:p>
    <w:p w14:paraId="3B6BF7BF" w14:textId="77777777" w:rsidR="009F0C56" w:rsidRDefault="00653842">
      <w:pPr>
        <w:shd w:val="clear" w:color="auto" w:fill="FFFFFF"/>
        <w:spacing w:after="280" w:line="240" w:lineRule="auto"/>
        <w:rPr>
          <w:rFonts w:ascii="Arial" w:eastAsia="Arial" w:hAnsi="Arial" w:cs="Arial"/>
          <w:sz w:val="22"/>
          <w:szCs w:val="22"/>
        </w:rPr>
      </w:pPr>
      <w:r>
        <w:rPr>
          <w:rFonts w:ascii="Arial" w:eastAsia="Arial" w:hAnsi="Arial" w:cs="Arial"/>
          <w:color w:val="000000"/>
          <w:sz w:val="22"/>
          <w:szCs w:val="22"/>
          <w:highlight w:val="white"/>
        </w:rPr>
        <w:t>Coulthard, G. S. (2014). </w:t>
      </w:r>
      <w:r>
        <w:rPr>
          <w:rFonts w:ascii="Arial" w:eastAsia="Arial" w:hAnsi="Arial" w:cs="Arial"/>
          <w:i/>
          <w:iCs/>
          <w:color w:val="000000"/>
          <w:sz w:val="22"/>
          <w:szCs w:val="22"/>
          <w:highlight w:val="white"/>
        </w:rPr>
        <w:t>Red Skin, White Masks: Rejecting the Colonial Politics of Recognition</w:t>
      </w:r>
      <w:r>
        <w:rPr>
          <w:rFonts w:ascii="Arial" w:eastAsia="Arial" w:hAnsi="Arial" w:cs="Arial"/>
          <w:color w:val="000000"/>
          <w:sz w:val="22"/>
          <w:szCs w:val="22"/>
          <w:highlight w:val="white"/>
        </w:rPr>
        <w:t xml:space="preserve">. University of Minnesota Press. </w:t>
      </w:r>
      <w:hyperlink r:id="rId71">
        <w:r>
          <w:rPr>
            <w:rFonts w:ascii="Arial" w:eastAsia="Arial" w:hAnsi="Arial" w:cs="Arial"/>
            <w:color w:val="467886"/>
            <w:sz w:val="22"/>
            <w:szCs w:val="22"/>
            <w:highlight w:val="white"/>
            <w:u w:val="single"/>
          </w:rPr>
          <w:t>http://www.jstor.org/stable/10.5749/j.ctt9qh3cv</w:t>
        </w:r>
      </w:hyperlink>
    </w:p>
    <w:p w14:paraId="380C34E7" w14:textId="77777777" w:rsidR="009F0C56" w:rsidRDefault="009F0C56">
      <w:pPr>
        <w:shd w:val="clear" w:color="auto" w:fill="FFFFFF"/>
        <w:spacing w:after="280" w:line="240" w:lineRule="auto"/>
        <w:rPr>
          <w:rFonts w:ascii="Arial" w:eastAsia="Arial" w:hAnsi="Arial" w:cs="Arial"/>
          <w:sz w:val="22"/>
          <w:szCs w:val="22"/>
        </w:rPr>
      </w:pPr>
    </w:p>
    <w:p w14:paraId="47564594" w14:textId="77777777" w:rsidR="009F0C56" w:rsidRDefault="00653842">
      <w:pPr>
        <w:spacing w:after="0" w:line="240" w:lineRule="auto"/>
        <w:rPr>
          <w:rFonts w:ascii="Arial" w:eastAsia="Arial" w:hAnsi="Arial" w:cs="Arial"/>
          <w:sz w:val="22"/>
          <w:szCs w:val="22"/>
        </w:rPr>
      </w:pPr>
      <w:r>
        <w:rPr>
          <w:rFonts w:ascii="Arial" w:eastAsia="Arial" w:hAnsi="Arial" w:cs="Arial"/>
          <w:sz w:val="22"/>
          <w:szCs w:val="22"/>
        </w:rPr>
        <w:t xml:space="preserve">Curley, A., &amp; Smith, S. (2020). Against colonial grounds: Geography on Indigenous lands. </w:t>
      </w:r>
      <w:r>
        <w:rPr>
          <w:rFonts w:ascii="Arial" w:eastAsia="Arial" w:hAnsi="Arial" w:cs="Arial"/>
          <w:i/>
          <w:iCs/>
          <w:sz w:val="22"/>
          <w:szCs w:val="22"/>
        </w:rPr>
        <w:t>Dialogues in Human Geography</w:t>
      </w:r>
      <w:r>
        <w:rPr>
          <w:rFonts w:ascii="Arial" w:eastAsia="Arial" w:hAnsi="Arial" w:cs="Arial"/>
          <w:sz w:val="22"/>
          <w:szCs w:val="22"/>
        </w:rPr>
        <w:t xml:space="preserve">, </w:t>
      </w:r>
      <w:r>
        <w:rPr>
          <w:rFonts w:ascii="Arial" w:eastAsia="Arial" w:hAnsi="Arial" w:cs="Arial"/>
          <w:i/>
          <w:iCs/>
          <w:sz w:val="22"/>
          <w:szCs w:val="22"/>
        </w:rPr>
        <w:t>10</w:t>
      </w:r>
      <w:r>
        <w:rPr>
          <w:rFonts w:ascii="Arial" w:eastAsia="Arial" w:hAnsi="Arial" w:cs="Arial"/>
          <w:sz w:val="22"/>
          <w:szCs w:val="22"/>
        </w:rPr>
        <w:t xml:space="preserve">(1), 37-40. </w:t>
      </w:r>
      <w:hyperlink r:id="rId72">
        <w:r>
          <w:rPr>
            <w:rFonts w:ascii="Arial" w:eastAsia="Arial" w:hAnsi="Arial" w:cs="Arial"/>
            <w:color w:val="0000FF"/>
            <w:sz w:val="22"/>
            <w:szCs w:val="22"/>
            <w:u w:val="single"/>
          </w:rPr>
          <w:t>https://doi.org/10.1177/2043820619898900</w:t>
        </w:r>
      </w:hyperlink>
      <w:r>
        <w:rPr>
          <w:rFonts w:ascii="Arial" w:eastAsia="Arial" w:hAnsi="Arial" w:cs="Arial"/>
          <w:sz w:val="22"/>
          <w:szCs w:val="22"/>
        </w:rPr>
        <w:t xml:space="preserve"> </w:t>
      </w:r>
    </w:p>
    <w:p w14:paraId="53B8196E" w14:textId="77777777" w:rsidR="009F0C56" w:rsidRDefault="009F0C56">
      <w:pPr>
        <w:spacing w:after="0" w:line="240" w:lineRule="auto"/>
        <w:rPr>
          <w:rFonts w:ascii="Arial" w:eastAsia="Arial" w:hAnsi="Arial" w:cs="Arial"/>
          <w:sz w:val="22"/>
          <w:szCs w:val="22"/>
        </w:rPr>
      </w:pPr>
    </w:p>
    <w:p w14:paraId="58B4628F" w14:textId="77777777" w:rsidR="009F0C56" w:rsidRDefault="00653842">
      <w:pPr>
        <w:spacing w:after="0" w:line="240" w:lineRule="auto"/>
        <w:rPr>
          <w:rFonts w:ascii="Arial" w:eastAsia="Arial" w:hAnsi="Arial" w:cs="Arial"/>
          <w:sz w:val="22"/>
          <w:szCs w:val="22"/>
        </w:rPr>
      </w:pPr>
      <w:r>
        <w:rPr>
          <w:rFonts w:ascii="Arial" w:eastAsia="Arial" w:hAnsi="Arial" w:cs="Arial"/>
          <w:sz w:val="22"/>
          <w:szCs w:val="22"/>
        </w:rPr>
        <w:lastRenderedPageBreak/>
        <w:t xml:space="preserve">Daigle, M. (2024). Indigenous peoples’ geographies I: Indigenous spatialities beyond place through relational, mobile and hemispheric &amp; global approaches. </w:t>
      </w:r>
      <w:r>
        <w:rPr>
          <w:rFonts w:ascii="Arial" w:eastAsia="Arial" w:hAnsi="Arial" w:cs="Arial"/>
          <w:i/>
          <w:iCs/>
          <w:sz w:val="22"/>
          <w:szCs w:val="22"/>
        </w:rPr>
        <w:t>Progress in Human Geography</w:t>
      </w:r>
      <w:r>
        <w:rPr>
          <w:rFonts w:ascii="Arial" w:eastAsia="Arial" w:hAnsi="Arial" w:cs="Arial"/>
          <w:sz w:val="22"/>
          <w:szCs w:val="22"/>
        </w:rPr>
        <w:t xml:space="preserve">, </w:t>
      </w:r>
      <w:r>
        <w:rPr>
          <w:rFonts w:ascii="Arial" w:eastAsia="Arial" w:hAnsi="Arial" w:cs="Arial"/>
          <w:i/>
          <w:iCs/>
          <w:sz w:val="22"/>
          <w:szCs w:val="22"/>
        </w:rPr>
        <w:t>49</w:t>
      </w:r>
      <w:r>
        <w:rPr>
          <w:rFonts w:ascii="Arial" w:eastAsia="Arial" w:hAnsi="Arial" w:cs="Arial"/>
          <w:sz w:val="22"/>
          <w:szCs w:val="22"/>
        </w:rPr>
        <w:t xml:space="preserve">(2), 182-193. </w:t>
      </w:r>
      <w:hyperlink r:id="rId73">
        <w:r>
          <w:rPr>
            <w:rFonts w:ascii="Arial" w:eastAsia="Arial" w:hAnsi="Arial" w:cs="Arial"/>
            <w:color w:val="0000FF"/>
            <w:sz w:val="22"/>
            <w:szCs w:val="22"/>
            <w:u w:val="single"/>
          </w:rPr>
          <w:t>https://doi.org/10.1177/03091325241283843</w:t>
        </w:r>
      </w:hyperlink>
      <w:r>
        <w:rPr>
          <w:rFonts w:ascii="Arial" w:eastAsia="Arial" w:hAnsi="Arial" w:cs="Arial"/>
          <w:sz w:val="22"/>
          <w:szCs w:val="22"/>
        </w:rPr>
        <w:t xml:space="preserve"> </w:t>
      </w:r>
    </w:p>
    <w:p w14:paraId="1B35DA5F" w14:textId="77777777" w:rsidR="009F0C56" w:rsidRDefault="009F0C56">
      <w:pPr>
        <w:spacing w:after="0" w:line="240" w:lineRule="auto"/>
        <w:rPr>
          <w:rFonts w:ascii="Arial" w:eastAsia="Arial" w:hAnsi="Arial" w:cs="Arial"/>
          <w:sz w:val="22"/>
          <w:szCs w:val="22"/>
        </w:rPr>
      </w:pPr>
    </w:p>
    <w:p w14:paraId="7C0740DB" w14:textId="77777777" w:rsidR="009F0C56" w:rsidRDefault="009F0C56">
      <w:pPr>
        <w:pBdr>
          <w:top w:val="nil"/>
          <w:left w:val="nil"/>
          <w:bottom w:val="nil"/>
          <w:right w:val="nil"/>
          <w:between w:val="nil"/>
        </w:pBdr>
        <w:spacing w:line="240" w:lineRule="auto"/>
        <w:rPr>
          <w:rFonts w:ascii="Arial" w:eastAsia="Arial" w:hAnsi="Arial" w:cs="Arial"/>
          <w:color w:val="000000"/>
          <w:sz w:val="22"/>
          <w:szCs w:val="22"/>
        </w:rPr>
      </w:pPr>
    </w:p>
    <w:p w14:paraId="3D50034D" w14:textId="41E800E5" w:rsidR="009F0C56" w:rsidRDefault="00653842">
      <w:pPr>
        <w:shd w:val="clear" w:color="auto" w:fill="FFFFFF"/>
        <w:spacing w:after="280" w:line="240" w:lineRule="auto"/>
        <w:rPr>
          <w:rFonts w:ascii="Arial" w:eastAsia="Arial" w:hAnsi="Arial" w:cs="Arial"/>
          <w:sz w:val="22"/>
          <w:szCs w:val="22"/>
        </w:rPr>
      </w:pPr>
      <w:r>
        <w:rPr>
          <w:rFonts w:ascii="Arial" w:eastAsia="Arial" w:hAnsi="Arial" w:cs="Arial"/>
          <w:color w:val="000000"/>
          <w:sz w:val="22"/>
          <w:szCs w:val="22"/>
        </w:rPr>
        <w:t>David Lloyd &amp; Patrick Wolfe (2016)</w:t>
      </w:r>
      <w:r w:rsidR="00F44422">
        <w:rPr>
          <w:rFonts w:ascii="Arial" w:eastAsia="Arial" w:hAnsi="Arial" w:cs="Arial"/>
          <w:color w:val="000000"/>
          <w:sz w:val="22"/>
          <w:szCs w:val="22"/>
        </w:rPr>
        <w:t xml:space="preserve">. </w:t>
      </w:r>
      <w:r>
        <w:rPr>
          <w:rFonts w:ascii="Arial" w:eastAsia="Arial" w:hAnsi="Arial" w:cs="Arial"/>
          <w:color w:val="000000"/>
          <w:sz w:val="22"/>
          <w:szCs w:val="22"/>
        </w:rPr>
        <w:t>Settler colonial logics and the neoliberal regime, Settler Colonial Studies, 6:2, 109-118, DOI: </w:t>
      </w:r>
      <w:hyperlink r:id="rId74">
        <w:r>
          <w:rPr>
            <w:rFonts w:ascii="Arial" w:eastAsia="Arial" w:hAnsi="Arial" w:cs="Arial"/>
            <w:color w:val="000000"/>
            <w:sz w:val="22"/>
            <w:szCs w:val="22"/>
            <w:u w:val="single"/>
          </w:rPr>
          <w:t>10.1080/2201473X.2015.1035361</w:t>
        </w:r>
      </w:hyperlink>
    </w:p>
    <w:p w14:paraId="419B709F" w14:textId="77777777" w:rsidR="009F0C56" w:rsidRDefault="009F0C56">
      <w:pPr>
        <w:shd w:val="clear" w:color="auto" w:fill="FFFFFF"/>
        <w:spacing w:after="280" w:line="240" w:lineRule="auto"/>
        <w:rPr>
          <w:rFonts w:ascii="Arial" w:eastAsia="Arial" w:hAnsi="Arial" w:cs="Arial"/>
          <w:sz w:val="22"/>
          <w:szCs w:val="22"/>
        </w:rPr>
      </w:pPr>
    </w:p>
    <w:p w14:paraId="033C60D4" w14:textId="24D622DC" w:rsidR="009F0C56" w:rsidRDefault="00653842">
      <w:pPr>
        <w:shd w:val="clear" w:color="auto" w:fill="FFFFFF"/>
        <w:spacing w:after="0" w:line="240" w:lineRule="auto"/>
        <w:rPr>
          <w:rFonts w:ascii="Arial" w:eastAsia="Arial" w:hAnsi="Arial" w:cs="Arial"/>
          <w:color w:val="333333"/>
          <w:sz w:val="22"/>
          <w:szCs w:val="22"/>
          <w:highlight w:val="white"/>
        </w:rPr>
      </w:pPr>
      <w:r>
        <w:rPr>
          <w:rFonts w:ascii="Arial" w:eastAsia="Arial" w:hAnsi="Arial" w:cs="Arial"/>
          <w:color w:val="333333"/>
          <w:sz w:val="22"/>
          <w:szCs w:val="22"/>
          <w:highlight w:val="white"/>
        </w:rPr>
        <w:t>Davis-Delano, L. R., Gone, J. P., &amp; Fryberg, S. A. (2020). The psychosocial effects of Native American mascots: a comprehensive review of empirical research findings. </w:t>
      </w:r>
      <w:r>
        <w:rPr>
          <w:rFonts w:ascii="Arial" w:eastAsia="Arial" w:hAnsi="Arial" w:cs="Arial"/>
          <w:i/>
          <w:iCs/>
          <w:color w:val="333333"/>
          <w:sz w:val="22"/>
          <w:szCs w:val="22"/>
          <w:highlight w:val="white"/>
        </w:rPr>
        <w:t>Race</w:t>
      </w:r>
      <w:r w:rsidR="00F44422">
        <w:rPr>
          <w:rFonts w:ascii="Arial" w:eastAsia="Arial" w:hAnsi="Arial" w:cs="Arial"/>
          <w:i/>
          <w:iCs/>
          <w:color w:val="333333"/>
          <w:sz w:val="22"/>
          <w:szCs w:val="22"/>
          <w:highlight w:val="white"/>
        </w:rPr>
        <w:t>,</w:t>
      </w:r>
      <w:r>
        <w:rPr>
          <w:rFonts w:ascii="Arial" w:eastAsia="Arial" w:hAnsi="Arial" w:cs="Arial"/>
          <w:i/>
          <w:iCs/>
          <w:color w:val="333333"/>
          <w:sz w:val="22"/>
          <w:szCs w:val="22"/>
          <w:highlight w:val="white"/>
        </w:rPr>
        <w:t xml:space="preserve"> Ethnicity and Education</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23</w:t>
      </w:r>
      <w:r>
        <w:rPr>
          <w:rFonts w:ascii="Arial" w:eastAsia="Arial" w:hAnsi="Arial" w:cs="Arial"/>
          <w:color w:val="333333"/>
          <w:sz w:val="22"/>
          <w:szCs w:val="22"/>
          <w:highlight w:val="white"/>
        </w:rPr>
        <w:t xml:space="preserve">(5), 613–633. </w:t>
      </w:r>
      <w:hyperlink r:id="rId75">
        <w:r>
          <w:rPr>
            <w:rFonts w:ascii="Arial" w:eastAsia="Arial" w:hAnsi="Arial" w:cs="Arial"/>
            <w:color w:val="467886"/>
            <w:sz w:val="22"/>
            <w:szCs w:val="22"/>
            <w:highlight w:val="white"/>
            <w:u w:val="single"/>
          </w:rPr>
          <w:t>https://doi.org/10.1080/13613324.2020.1772221</w:t>
        </w:r>
      </w:hyperlink>
    </w:p>
    <w:p w14:paraId="3E5B490E" w14:textId="77777777" w:rsidR="009F0C56" w:rsidRDefault="009F0C56">
      <w:pPr>
        <w:shd w:val="clear" w:color="auto" w:fill="FFFFFF"/>
        <w:spacing w:after="0" w:line="240" w:lineRule="auto"/>
        <w:rPr>
          <w:rFonts w:ascii="Arial" w:eastAsia="Arial" w:hAnsi="Arial" w:cs="Arial"/>
          <w:color w:val="333333"/>
          <w:sz w:val="22"/>
          <w:szCs w:val="22"/>
          <w:highlight w:val="white"/>
        </w:rPr>
      </w:pPr>
    </w:p>
    <w:p w14:paraId="4F0E8617" w14:textId="77777777" w:rsidR="009F0C56" w:rsidRDefault="009F0C56">
      <w:pPr>
        <w:shd w:val="clear" w:color="auto" w:fill="FFFFFF"/>
        <w:spacing w:after="0" w:line="240" w:lineRule="auto"/>
        <w:rPr>
          <w:rFonts w:ascii="Arial" w:eastAsia="Arial" w:hAnsi="Arial" w:cs="Arial"/>
          <w:color w:val="333333"/>
          <w:highlight w:val="white"/>
        </w:rPr>
      </w:pPr>
    </w:p>
    <w:p w14:paraId="7B3AEF54" w14:textId="77777777" w:rsidR="009F0C56" w:rsidRDefault="00653842">
      <w:pPr>
        <w:shd w:val="clear" w:color="auto" w:fill="FFFFFF"/>
        <w:spacing w:after="0" w:line="240" w:lineRule="auto"/>
        <w:rPr>
          <w:rFonts w:ascii="Arial" w:eastAsia="Arial" w:hAnsi="Arial" w:cs="Arial"/>
          <w:sz w:val="22"/>
          <w:szCs w:val="22"/>
          <w:highlight w:val="white"/>
        </w:rPr>
      </w:pPr>
      <w:r>
        <w:rPr>
          <w:rFonts w:ascii="Arial" w:eastAsia="Arial" w:hAnsi="Arial" w:cs="Arial"/>
          <w:sz w:val="22"/>
          <w:szCs w:val="22"/>
          <w:highlight w:val="white"/>
        </w:rPr>
        <w:t xml:space="preserve">De, Debasree. 2025. ‘Indigenous peoples and the politics of Indigeneity in India: A Local Perspective on a Global Movement.’ Springer. London. </w:t>
      </w:r>
    </w:p>
    <w:p w14:paraId="1EFC5497" w14:textId="77777777" w:rsidR="009F0C56" w:rsidRDefault="009F0C56">
      <w:pPr>
        <w:shd w:val="clear" w:color="auto" w:fill="FFFFFF"/>
        <w:spacing w:after="0" w:line="240" w:lineRule="auto"/>
        <w:rPr>
          <w:rFonts w:ascii="Arial" w:eastAsia="Arial" w:hAnsi="Arial" w:cs="Arial"/>
          <w:color w:val="333333"/>
          <w:sz w:val="22"/>
          <w:szCs w:val="22"/>
          <w:highlight w:val="white"/>
        </w:rPr>
      </w:pPr>
    </w:p>
    <w:p w14:paraId="5145EE0F" w14:textId="77777777" w:rsidR="009F0C56" w:rsidRDefault="00653842">
      <w:pPr>
        <w:shd w:val="clear" w:color="auto" w:fill="FFFFFF"/>
        <w:spacing w:after="0" w:line="240" w:lineRule="auto"/>
        <w:rPr>
          <w:rFonts w:ascii="Arial" w:eastAsia="Arial" w:hAnsi="Arial" w:cs="Arial"/>
          <w:color w:val="333333"/>
          <w:sz w:val="22"/>
          <w:szCs w:val="22"/>
        </w:rPr>
      </w:pPr>
      <w:r>
        <w:rPr>
          <w:rFonts w:ascii="Arial" w:eastAsia="Arial" w:hAnsi="Arial" w:cs="Arial"/>
          <w:color w:val="333333"/>
          <w:sz w:val="22"/>
          <w:szCs w:val="22"/>
        </w:rPr>
        <w:t>De Sousa Santos, Boaventura. (2014). ‘Epistemologies of the South, justice against epistemicide.’ Routledge. USA, New York.</w:t>
      </w:r>
    </w:p>
    <w:p w14:paraId="02CAA10D" w14:textId="77777777" w:rsidR="009F0C56" w:rsidRDefault="009F0C56">
      <w:pPr>
        <w:shd w:val="clear" w:color="auto" w:fill="FFFFFF"/>
        <w:spacing w:after="0" w:line="240" w:lineRule="auto"/>
        <w:rPr>
          <w:rFonts w:ascii="Arial" w:eastAsia="Arial" w:hAnsi="Arial" w:cs="Arial"/>
          <w:color w:val="333333"/>
          <w:sz w:val="22"/>
          <w:szCs w:val="22"/>
        </w:rPr>
      </w:pPr>
    </w:p>
    <w:p w14:paraId="32911CE8" w14:textId="77777777" w:rsidR="009F0C56" w:rsidRDefault="009F0C56">
      <w:pPr>
        <w:shd w:val="clear" w:color="auto" w:fill="FFFFFF"/>
        <w:spacing w:after="0" w:line="240" w:lineRule="auto"/>
        <w:rPr>
          <w:rFonts w:ascii="Arial" w:eastAsia="Arial" w:hAnsi="Arial" w:cs="Arial"/>
          <w:color w:val="333333"/>
          <w:sz w:val="22"/>
          <w:szCs w:val="22"/>
        </w:rPr>
      </w:pPr>
    </w:p>
    <w:p w14:paraId="040EB812" w14:textId="77777777" w:rsidR="009F0C56" w:rsidRDefault="00653842">
      <w:pPr>
        <w:rPr>
          <w:rFonts w:ascii="Arial" w:eastAsia="Arial" w:hAnsi="Arial" w:cs="Arial"/>
          <w:sz w:val="22"/>
          <w:szCs w:val="22"/>
        </w:rPr>
      </w:pPr>
      <w:r>
        <w:rPr>
          <w:rFonts w:ascii="Arial" w:eastAsia="Arial" w:hAnsi="Arial" w:cs="Arial"/>
          <w:sz w:val="22"/>
          <w:szCs w:val="22"/>
        </w:rPr>
        <w:t xml:space="preserve">Deloria, V. (2012). The Metaphysics of Modern Existence. New York. Fulcrum Publishing. </w:t>
      </w:r>
    </w:p>
    <w:p w14:paraId="43B82F1B" w14:textId="77777777" w:rsidR="009F0C56" w:rsidRDefault="009F0C56">
      <w:pPr>
        <w:rPr>
          <w:rFonts w:ascii="Arial" w:eastAsia="Arial" w:hAnsi="Arial" w:cs="Arial"/>
          <w:sz w:val="22"/>
          <w:szCs w:val="22"/>
        </w:rPr>
      </w:pPr>
    </w:p>
    <w:p w14:paraId="0BF3EADD" w14:textId="77777777"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 xml:space="preserve">Deloria, V., (1997). </w:t>
      </w:r>
      <w:r>
        <w:rPr>
          <w:rFonts w:ascii="Arial" w:eastAsia="Arial" w:hAnsi="Arial" w:cs="Arial"/>
          <w:i/>
          <w:iCs/>
          <w:color w:val="000000"/>
          <w:sz w:val="22"/>
          <w:szCs w:val="22"/>
        </w:rPr>
        <w:t>Red Earth, White Lies: Native Americans and the Myth of Scientific Fact</w:t>
      </w:r>
      <w:r>
        <w:rPr>
          <w:rFonts w:ascii="Arial" w:eastAsia="Arial" w:hAnsi="Arial" w:cs="Arial"/>
          <w:color w:val="000000"/>
          <w:sz w:val="22"/>
          <w:szCs w:val="22"/>
        </w:rPr>
        <w:t>. Golden: Fulcrum Publishing.</w:t>
      </w:r>
    </w:p>
    <w:p w14:paraId="2785E1C6" w14:textId="77777777" w:rsidR="009F0C56" w:rsidRDefault="009F0C56">
      <w:pPr>
        <w:pBdr>
          <w:top w:val="nil"/>
          <w:left w:val="nil"/>
          <w:bottom w:val="nil"/>
          <w:right w:val="nil"/>
          <w:between w:val="nil"/>
        </w:pBdr>
        <w:spacing w:line="240" w:lineRule="auto"/>
        <w:rPr>
          <w:rFonts w:ascii="Arial" w:eastAsia="Arial" w:hAnsi="Arial" w:cs="Arial"/>
          <w:color w:val="000000"/>
          <w:sz w:val="22"/>
          <w:szCs w:val="22"/>
        </w:rPr>
      </w:pPr>
    </w:p>
    <w:p w14:paraId="56333954" w14:textId="1371B11D"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 xml:space="preserve">Deloria, V., (2023). </w:t>
      </w:r>
      <w:r>
        <w:rPr>
          <w:rFonts w:ascii="Arial" w:eastAsia="Arial" w:hAnsi="Arial" w:cs="Arial"/>
          <w:i/>
          <w:iCs/>
          <w:color w:val="000000"/>
          <w:sz w:val="22"/>
          <w:szCs w:val="22"/>
        </w:rPr>
        <w:t>God Is Red: A Native View of Religion</w:t>
      </w:r>
      <w:r>
        <w:rPr>
          <w:rFonts w:ascii="Arial" w:eastAsia="Arial" w:hAnsi="Arial" w:cs="Arial"/>
          <w:color w:val="000000"/>
          <w:sz w:val="22"/>
          <w:szCs w:val="22"/>
        </w:rPr>
        <w:t>. 50th Anniversary Ed. Golden: Fulcrum Publishing. Also includes Wildcat reference</w:t>
      </w:r>
      <w:r w:rsidR="00F44422">
        <w:rPr>
          <w:rFonts w:ascii="Arial" w:eastAsia="Arial" w:hAnsi="Arial" w:cs="Arial"/>
          <w:color w:val="000000"/>
          <w:sz w:val="22"/>
          <w:szCs w:val="22"/>
        </w:rPr>
        <w:t>.</w:t>
      </w:r>
    </w:p>
    <w:p w14:paraId="062B218A" w14:textId="77777777" w:rsidR="009F0C56" w:rsidRDefault="009F0C56">
      <w:pPr>
        <w:pBdr>
          <w:top w:val="nil"/>
          <w:left w:val="nil"/>
          <w:bottom w:val="nil"/>
          <w:right w:val="nil"/>
          <w:between w:val="nil"/>
        </w:pBdr>
        <w:spacing w:line="240" w:lineRule="auto"/>
        <w:rPr>
          <w:rFonts w:ascii="Arial" w:eastAsia="Arial" w:hAnsi="Arial" w:cs="Arial"/>
          <w:color w:val="000000"/>
          <w:sz w:val="22"/>
          <w:szCs w:val="22"/>
        </w:rPr>
      </w:pPr>
    </w:p>
    <w:p w14:paraId="3FB24C54" w14:textId="777CB648" w:rsidR="009F0C56" w:rsidRDefault="00653842">
      <w:pPr>
        <w:rPr>
          <w:rFonts w:ascii="Arial" w:eastAsia="Arial" w:hAnsi="Arial" w:cs="Arial"/>
          <w:sz w:val="22"/>
          <w:szCs w:val="22"/>
        </w:rPr>
      </w:pPr>
      <w:r>
        <w:rPr>
          <w:rFonts w:ascii="Arial" w:eastAsia="Arial" w:hAnsi="Arial" w:cs="Arial"/>
          <w:sz w:val="22"/>
          <w:szCs w:val="22"/>
        </w:rPr>
        <w:t xml:space="preserve">Derrida, J. (2006). </w:t>
      </w:r>
      <w:r w:rsidR="00F44422">
        <w:rPr>
          <w:rFonts w:ascii="Arial" w:eastAsia="Arial" w:hAnsi="Arial" w:cs="Arial"/>
          <w:sz w:val="22"/>
          <w:szCs w:val="22"/>
        </w:rPr>
        <w:t>Spectres</w:t>
      </w:r>
      <w:r>
        <w:rPr>
          <w:rFonts w:ascii="Arial" w:eastAsia="Arial" w:hAnsi="Arial" w:cs="Arial"/>
          <w:sz w:val="22"/>
          <w:szCs w:val="22"/>
        </w:rPr>
        <w:t xml:space="preserve"> of Marx. London. Routledge Publishing. </w:t>
      </w:r>
    </w:p>
    <w:p w14:paraId="3626F7E6" w14:textId="77777777" w:rsidR="009F0C56" w:rsidRDefault="009F0C56">
      <w:pPr>
        <w:rPr>
          <w:rFonts w:ascii="Arial" w:eastAsia="Arial" w:hAnsi="Arial" w:cs="Arial"/>
          <w:sz w:val="22"/>
          <w:szCs w:val="22"/>
        </w:rPr>
      </w:pPr>
    </w:p>
    <w:p w14:paraId="1001140A" w14:textId="293A9C78" w:rsidR="009F0C56" w:rsidRDefault="00653842">
      <w:pPr>
        <w:shd w:val="clear" w:color="auto" w:fill="FFFFFF"/>
        <w:spacing w:after="0" w:line="240" w:lineRule="auto"/>
        <w:rPr>
          <w:rFonts w:ascii="Arial" w:eastAsia="Arial" w:hAnsi="Arial" w:cs="Arial"/>
          <w:color w:val="333333"/>
          <w:sz w:val="22"/>
          <w:szCs w:val="22"/>
        </w:rPr>
      </w:pPr>
      <w:r>
        <w:rPr>
          <w:rFonts w:ascii="Arial" w:eastAsia="Arial" w:hAnsi="Arial" w:cs="Arial"/>
          <w:color w:val="333333"/>
          <w:sz w:val="22"/>
          <w:szCs w:val="22"/>
        </w:rPr>
        <w:t xml:space="preserve">Descartes, R. (2013). Mediations. Broadway </w:t>
      </w:r>
      <w:r w:rsidR="00F44422">
        <w:rPr>
          <w:rFonts w:ascii="Arial" w:eastAsia="Arial" w:hAnsi="Arial" w:cs="Arial"/>
          <w:color w:val="333333"/>
          <w:sz w:val="22"/>
          <w:szCs w:val="22"/>
        </w:rPr>
        <w:t>Press</w:t>
      </w:r>
      <w:r>
        <w:rPr>
          <w:rFonts w:ascii="Arial" w:eastAsia="Arial" w:hAnsi="Arial" w:cs="Arial"/>
          <w:color w:val="333333"/>
          <w:sz w:val="22"/>
          <w:szCs w:val="22"/>
        </w:rPr>
        <w:t>. United kingdom</w:t>
      </w:r>
    </w:p>
    <w:p w14:paraId="146A832D" w14:textId="77777777" w:rsidR="009F0C56" w:rsidRDefault="009F0C56">
      <w:pPr>
        <w:shd w:val="clear" w:color="auto" w:fill="FFFFFF"/>
        <w:spacing w:after="0" w:line="240" w:lineRule="auto"/>
        <w:rPr>
          <w:rFonts w:ascii="Arial" w:eastAsia="Arial" w:hAnsi="Arial" w:cs="Arial"/>
          <w:color w:val="333333"/>
          <w:sz w:val="22"/>
          <w:szCs w:val="22"/>
        </w:rPr>
      </w:pPr>
    </w:p>
    <w:p w14:paraId="55370A05" w14:textId="175B964D" w:rsidR="009F0C56" w:rsidRDefault="00F44422">
      <w:pPr>
        <w:rPr>
          <w:rFonts w:ascii="Arial" w:eastAsia="Arial" w:hAnsi="Arial" w:cs="Arial"/>
          <w:color w:val="333333"/>
          <w:sz w:val="22"/>
          <w:szCs w:val="22"/>
          <w:highlight w:val="white"/>
        </w:rPr>
      </w:pPr>
      <w:r>
        <w:rPr>
          <w:rFonts w:ascii="Arial" w:eastAsia="Arial" w:hAnsi="Arial" w:cs="Arial"/>
          <w:color w:val="333333"/>
          <w:sz w:val="22"/>
          <w:szCs w:val="22"/>
          <w:highlight w:val="white"/>
        </w:rPr>
        <w:t>Díaz-Parra</w:t>
      </w:r>
      <w:r w:rsidR="00653842">
        <w:rPr>
          <w:rFonts w:ascii="Arial" w:eastAsia="Arial" w:hAnsi="Arial" w:cs="Arial"/>
          <w:color w:val="333333"/>
          <w:sz w:val="22"/>
          <w:szCs w:val="22"/>
          <w:highlight w:val="white"/>
        </w:rPr>
        <w:t xml:space="preserve">, I., &amp; Hernández Cordero, A. (2024). Gentrification studies and cultural colonialism: Discussing connections between historic city </w:t>
      </w:r>
      <w:r>
        <w:rPr>
          <w:rFonts w:ascii="Arial" w:eastAsia="Arial" w:hAnsi="Arial" w:cs="Arial"/>
          <w:color w:val="333333"/>
          <w:sz w:val="22"/>
          <w:szCs w:val="22"/>
          <w:highlight w:val="white"/>
        </w:rPr>
        <w:t>centres</w:t>
      </w:r>
      <w:r w:rsidR="00653842">
        <w:rPr>
          <w:rFonts w:ascii="Arial" w:eastAsia="Arial" w:hAnsi="Arial" w:cs="Arial"/>
          <w:color w:val="333333"/>
          <w:sz w:val="22"/>
          <w:szCs w:val="22"/>
          <w:highlight w:val="white"/>
        </w:rPr>
        <w:t xml:space="preserve"> of Mexico and Spain. </w:t>
      </w:r>
      <w:r w:rsidR="00653842">
        <w:rPr>
          <w:rFonts w:ascii="Arial" w:eastAsia="Arial" w:hAnsi="Arial" w:cs="Arial"/>
          <w:i/>
          <w:iCs/>
          <w:color w:val="333333"/>
          <w:sz w:val="22"/>
          <w:szCs w:val="22"/>
          <w:highlight w:val="white"/>
        </w:rPr>
        <w:t>Journal of Urban Affairs</w:t>
      </w:r>
      <w:r w:rsidR="00653842">
        <w:rPr>
          <w:rFonts w:ascii="Arial" w:eastAsia="Arial" w:hAnsi="Arial" w:cs="Arial"/>
          <w:color w:val="333333"/>
          <w:sz w:val="22"/>
          <w:szCs w:val="22"/>
          <w:highlight w:val="white"/>
        </w:rPr>
        <w:t>, </w:t>
      </w:r>
      <w:r w:rsidR="00653842">
        <w:rPr>
          <w:rFonts w:ascii="Arial" w:eastAsia="Arial" w:hAnsi="Arial" w:cs="Arial"/>
          <w:i/>
          <w:iCs/>
          <w:color w:val="333333"/>
          <w:sz w:val="22"/>
          <w:szCs w:val="22"/>
          <w:highlight w:val="white"/>
        </w:rPr>
        <w:t>46</w:t>
      </w:r>
      <w:r w:rsidR="00653842">
        <w:rPr>
          <w:rFonts w:ascii="Arial" w:eastAsia="Arial" w:hAnsi="Arial" w:cs="Arial"/>
          <w:color w:val="333333"/>
          <w:sz w:val="22"/>
          <w:szCs w:val="22"/>
          <w:highlight w:val="white"/>
        </w:rPr>
        <w:t xml:space="preserve">(6), 1110–1124. </w:t>
      </w:r>
      <w:hyperlink r:id="rId76">
        <w:r w:rsidR="00653842">
          <w:rPr>
            <w:rFonts w:ascii="Arial" w:eastAsia="Arial" w:hAnsi="Arial" w:cs="Arial"/>
            <w:color w:val="467886"/>
            <w:sz w:val="22"/>
            <w:szCs w:val="22"/>
            <w:highlight w:val="white"/>
            <w:u w:val="single"/>
          </w:rPr>
          <w:t>https://doi.org/10.1080/07352166.2022.2144336</w:t>
        </w:r>
      </w:hyperlink>
      <w:r w:rsidR="00653842">
        <w:rPr>
          <w:rFonts w:ascii="Arial" w:eastAsia="Arial" w:hAnsi="Arial" w:cs="Arial"/>
          <w:color w:val="333333"/>
          <w:sz w:val="22"/>
          <w:szCs w:val="22"/>
          <w:highlight w:val="white"/>
        </w:rPr>
        <w:t xml:space="preserve"> </w:t>
      </w:r>
    </w:p>
    <w:p w14:paraId="3B885641" w14:textId="77777777" w:rsidR="009F0C56" w:rsidRDefault="009F0C56">
      <w:pPr>
        <w:rPr>
          <w:rFonts w:ascii="Arial" w:eastAsia="Arial" w:hAnsi="Arial" w:cs="Arial"/>
          <w:color w:val="333333"/>
          <w:sz w:val="22"/>
          <w:szCs w:val="22"/>
          <w:highlight w:val="white"/>
        </w:rPr>
      </w:pPr>
    </w:p>
    <w:p w14:paraId="7861DFCA" w14:textId="77777777"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 xml:space="preserve">Dorries, H., 2022. </w:t>
      </w:r>
      <w:r>
        <w:rPr>
          <w:rFonts w:ascii="Arial" w:eastAsia="Arial" w:hAnsi="Arial" w:cs="Arial"/>
          <w:i/>
          <w:iCs/>
          <w:color w:val="000000"/>
          <w:sz w:val="22"/>
          <w:szCs w:val="22"/>
        </w:rPr>
        <w:t>Indigenous Urbanism: Infrastructure, Colonialism, and Resistance</w:t>
      </w:r>
      <w:r>
        <w:rPr>
          <w:rFonts w:ascii="Arial" w:eastAsia="Arial" w:hAnsi="Arial" w:cs="Arial"/>
          <w:color w:val="000000"/>
          <w:sz w:val="22"/>
          <w:szCs w:val="22"/>
        </w:rPr>
        <w:t>. Winnipeg: University of Manitoba Press.</w:t>
      </w:r>
    </w:p>
    <w:p w14:paraId="5DD342F7" w14:textId="77777777" w:rsidR="009F0C56" w:rsidRDefault="009F0C56">
      <w:pPr>
        <w:pBdr>
          <w:top w:val="nil"/>
          <w:left w:val="nil"/>
          <w:bottom w:val="nil"/>
          <w:right w:val="nil"/>
          <w:between w:val="nil"/>
        </w:pBdr>
        <w:spacing w:line="240" w:lineRule="auto"/>
        <w:rPr>
          <w:rFonts w:ascii="Arial" w:eastAsia="Arial" w:hAnsi="Arial" w:cs="Arial"/>
          <w:color w:val="000000"/>
          <w:sz w:val="22"/>
          <w:szCs w:val="22"/>
        </w:rPr>
      </w:pPr>
    </w:p>
    <w:p w14:paraId="0CBCDDDE" w14:textId="67E2CC4C"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Dussel, E.</w:t>
      </w:r>
      <w:r>
        <w:rPr>
          <w:rFonts w:ascii="Arial" w:eastAsia="Arial" w:hAnsi="Arial" w:cs="Arial"/>
          <w:color w:val="000000"/>
          <w:sz w:val="22"/>
          <w:szCs w:val="22"/>
        </w:rPr>
        <w:t xml:space="preserve"> (2013). </w:t>
      </w:r>
      <w:r>
        <w:rPr>
          <w:rFonts w:ascii="Arial" w:eastAsia="Arial" w:hAnsi="Arial" w:cs="Arial"/>
          <w:i/>
          <w:iCs/>
          <w:color w:val="000000"/>
          <w:sz w:val="22"/>
          <w:szCs w:val="22"/>
        </w:rPr>
        <w:t>Ethics of Liberation: In the Age of Globalization and Exclusion</w:t>
      </w:r>
      <w:r>
        <w:rPr>
          <w:rFonts w:ascii="Arial" w:eastAsia="Arial" w:hAnsi="Arial" w:cs="Arial"/>
          <w:color w:val="000000"/>
          <w:sz w:val="22"/>
          <w:szCs w:val="22"/>
        </w:rPr>
        <w:t>. Durham: Duke University Press.</w:t>
      </w:r>
    </w:p>
    <w:p w14:paraId="449842D9" w14:textId="77777777" w:rsidR="009F0C56" w:rsidRDefault="009F0C56">
      <w:pPr>
        <w:pBdr>
          <w:top w:val="nil"/>
          <w:left w:val="nil"/>
          <w:bottom w:val="nil"/>
          <w:right w:val="nil"/>
          <w:between w:val="nil"/>
        </w:pBdr>
        <w:spacing w:line="240" w:lineRule="auto"/>
        <w:rPr>
          <w:rFonts w:ascii="Arial" w:eastAsia="Arial" w:hAnsi="Arial" w:cs="Arial"/>
          <w:color w:val="000000"/>
          <w:sz w:val="22"/>
          <w:szCs w:val="22"/>
        </w:rPr>
      </w:pPr>
    </w:p>
    <w:p w14:paraId="20495753" w14:textId="77777777" w:rsidR="009F0C56" w:rsidRDefault="00653842">
      <w:pPr>
        <w:shd w:val="clear" w:color="auto" w:fill="FFFFFF"/>
        <w:spacing w:after="0" w:line="240" w:lineRule="auto"/>
        <w:rPr>
          <w:rFonts w:ascii="Arial" w:eastAsia="Arial" w:hAnsi="Arial" w:cs="Arial"/>
          <w:color w:val="333333"/>
          <w:sz w:val="22"/>
          <w:szCs w:val="22"/>
          <w:highlight w:val="white"/>
        </w:rPr>
      </w:pPr>
      <w:r>
        <w:rPr>
          <w:rFonts w:ascii="Arial" w:eastAsia="Arial" w:hAnsi="Arial" w:cs="Arial"/>
          <w:color w:val="333333"/>
          <w:sz w:val="22"/>
          <w:szCs w:val="22"/>
          <w:highlight w:val="white"/>
        </w:rPr>
        <w:t>Dussel, Enrique. (2018). ‘anti-cartesian mediations and transmodernity.’ Amrit Publishers. (N/A)</w:t>
      </w:r>
    </w:p>
    <w:p w14:paraId="38A7D27C" w14:textId="77777777" w:rsidR="009F0C56" w:rsidRDefault="009F0C56">
      <w:pPr>
        <w:shd w:val="clear" w:color="auto" w:fill="FFFFFF"/>
        <w:spacing w:after="0" w:line="240" w:lineRule="auto"/>
        <w:rPr>
          <w:rFonts w:ascii="Arial" w:eastAsia="Arial" w:hAnsi="Arial" w:cs="Arial"/>
          <w:color w:val="333333"/>
          <w:sz w:val="22"/>
          <w:szCs w:val="22"/>
          <w:highlight w:val="white"/>
        </w:rPr>
      </w:pPr>
    </w:p>
    <w:p w14:paraId="1942B5E4" w14:textId="77777777" w:rsidR="009F0C56" w:rsidRDefault="009F0C56">
      <w:pPr>
        <w:shd w:val="clear" w:color="auto" w:fill="FFFFFF"/>
        <w:spacing w:after="0" w:line="240" w:lineRule="auto"/>
        <w:rPr>
          <w:rFonts w:ascii="Arial" w:eastAsia="Arial" w:hAnsi="Arial" w:cs="Arial"/>
          <w:color w:val="333333"/>
          <w:sz w:val="22"/>
          <w:szCs w:val="22"/>
          <w:highlight w:val="white"/>
        </w:rPr>
      </w:pPr>
    </w:p>
    <w:p w14:paraId="2F48B350" w14:textId="77777777" w:rsidR="009F0C56" w:rsidRDefault="00653842">
      <w:pPr>
        <w:rPr>
          <w:rFonts w:ascii="Arial" w:eastAsia="Arial" w:hAnsi="Arial" w:cs="Arial"/>
          <w:sz w:val="22"/>
          <w:szCs w:val="22"/>
        </w:rPr>
      </w:pPr>
      <w:r>
        <w:rPr>
          <w:rFonts w:ascii="Arial" w:eastAsia="Arial" w:hAnsi="Arial" w:cs="Arial"/>
          <w:sz w:val="22"/>
          <w:szCs w:val="22"/>
        </w:rPr>
        <w:t xml:space="preserve">Edgar, J.M. Ponciano, &amp; M.Q. Martindale, (2022) Ctenophores are direct developers that reproduce continuously beginning very early after hatching, Proc. Natl. Acad. Sci. U.S.A. 119 (18) e2122052119, </w:t>
      </w:r>
      <w:hyperlink r:id="rId77">
        <w:r>
          <w:rPr>
            <w:rFonts w:ascii="Arial" w:eastAsia="Arial" w:hAnsi="Arial" w:cs="Arial"/>
            <w:color w:val="467886"/>
            <w:sz w:val="22"/>
            <w:szCs w:val="22"/>
            <w:u w:val="single"/>
          </w:rPr>
          <w:t>https://doi.org/10.1073/pnas.2122052119</w:t>
        </w:r>
      </w:hyperlink>
      <w:r>
        <w:rPr>
          <w:rFonts w:ascii="Arial" w:eastAsia="Arial" w:hAnsi="Arial" w:cs="Arial"/>
          <w:sz w:val="22"/>
          <w:szCs w:val="22"/>
        </w:rPr>
        <w:t xml:space="preserve">  </w:t>
      </w:r>
    </w:p>
    <w:p w14:paraId="1313C27B" w14:textId="77777777" w:rsidR="009F0C56" w:rsidRDefault="009F0C56">
      <w:pPr>
        <w:rPr>
          <w:rFonts w:ascii="Arial" w:eastAsia="Arial" w:hAnsi="Arial" w:cs="Arial"/>
          <w:sz w:val="22"/>
          <w:szCs w:val="22"/>
        </w:rPr>
      </w:pPr>
    </w:p>
    <w:p w14:paraId="7818A7EC" w14:textId="77777777" w:rsidR="009F0C56" w:rsidRDefault="00653842">
      <w:pPr>
        <w:pBdr>
          <w:top w:val="nil"/>
          <w:left w:val="nil"/>
          <w:bottom w:val="nil"/>
          <w:right w:val="nil"/>
          <w:between w:val="nil"/>
        </w:pBdr>
        <w:spacing w:line="240" w:lineRule="auto"/>
        <w:rPr>
          <w:rFonts w:ascii="Arial" w:eastAsia="Arial" w:hAnsi="Arial" w:cs="Arial"/>
          <w:color w:val="333333"/>
          <w:sz w:val="22"/>
          <w:szCs w:val="22"/>
          <w:highlight w:val="white"/>
        </w:rPr>
      </w:pPr>
      <w:r>
        <w:rPr>
          <w:rFonts w:ascii="Arial" w:eastAsia="Arial" w:hAnsi="Arial" w:cs="Arial"/>
          <w:color w:val="333333"/>
          <w:sz w:val="22"/>
          <w:szCs w:val="22"/>
          <w:highlight w:val="white"/>
        </w:rPr>
        <w:t>Escobar, A. (2007). WORLDS AND KNOWLEDGES OTHERWISE1             : The Latin American modernity/coloniality research program. </w:t>
      </w:r>
      <w:r>
        <w:rPr>
          <w:rFonts w:ascii="Arial" w:eastAsia="Arial" w:hAnsi="Arial" w:cs="Arial"/>
          <w:i/>
          <w:iCs/>
          <w:color w:val="333333"/>
          <w:sz w:val="22"/>
          <w:szCs w:val="22"/>
          <w:highlight w:val="white"/>
        </w:rPr>
        <w:t>Cultural Studies</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21</w:t>
      </w:r>
      <w:r>
        <w:rPr>
          <w:rFonts w:ascii="Arial" w:eastAsia="Arial" w:hAnsi="Arial" w:cs="Arial"/>
          <w:color w:val="333333"/>
          <w:sz w:val="22"/>
          <w:szCs w:val="22"/>
          <w:highlight w:val="white"/>
        </w:rPr>
        <w:t xml:space="preserve">(2–3), 179–210. </w:t>
      </w:r>
      <w:hyperlink r:id="rId78">
        <w:r>
          <w:rPr>
            <w:rFonts w:ascii="Arial" w:eastAsia="Arial" w:hAnsi="Arial" w:cs="Arial"/>
            <w:color w:val="467886"/>
            <w:sz w:val="22"/>
            <w:szCs w:val="22"/>
            <w:highlight w:val="white"/>
            <w:u w:val="single"/>
          </w:rPr>
          <w:t>https://doi.org/10.1080/09502380601162506</w:t>
        </w:r>
      </w:hyperlink>
    </w:p>
    <w:p w14:paraId="64EEEE43" w14:textId="77777777" w:rsidR="009F0C56" w:rsidRDefault="009F0C56">
      <w:pPr>
        <w:pBdr>
          <w:top w:val="nil"/>
          <w:left w:val="nil"/>
          <w:bottom w:val="nil"/>
          <w:right w:val="nil"/>
          <w:between w:val="nil"/>
        </w:pBdr>
        <w:spacing w:line="240" w:lineRule="auto"/>
        <w:rPr>
          <w:rFonts w:ascii="Arial" w:eastAsia="Arial" w:hAnsi="Arial" w:cs="Arial"/>
          <w:color w:val="333333"/>
          <w:sz w:val="22"/>
          <w:szCs w:val="22"/>
          <w:highlight w:val="white"/>
        </w:rPr>
      </w:pPr>
    </w:p>
    <w:p w14:paraId="3D375EFA" w14:textId="029F2B6B"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Estes, N.</w:t>
      </w:r>
      <w:r>
        <w:rPr>
          <w:rFonts w:ascii="Arial" w:eastAsia="Arial" w:hAnsi="Arial" w:cs="Arial"/>
          <w:color w:val="000000"/>
          <w:sz w:val="22"/>
          <w:szCs w:val="22"/>
        </w:rPr>
        <w:t xml:space="preserve"> (2019). </w:t>
      </w:r>
      <w:r>
        <w:rPr>
          <w:rFonts w:ascii="Arial" w:eastAsia="Arial" w:hAnsi="Arial" w:cs="Arial"/>
          <w:i/>
          <w:iCs/>
          <w:color w:val="000000"/>
          <w:sz w:val="22"/>
          <w:szCs w:val="22"/>
        </w:rPr>
        <w:t>Our History is the Future: Standing Rock Versus the Dakota Access Pipeline, and the Long Tradition of Indigenous Resistance</w:t>
      </w:r>
      <w:r>
        <w:rPr>
          <w:rFonts w:ascii="Arial" w:eastAsia="Arial" w:hAnsi="Arial" w:cs="Arial"/>
          <w:color w:val="000000"/>
          <w:sz w:val="22"/>
          <w:szCs w:val="22"/>
        </w:rPr>
        <w:t>. London: Verso Books.</w:t>
      </w:r>
    </w:p>
    <w:p w14:paraId="1043601C" w14:textId="77777777" w:rsidR="009F0C56" w:rsidRDefault="00653842">
      <w:pPr>
        <w:rPr>
          <w:rFonts w:ascii="Arial" w:eastAsia="Arial" w:hAnsi="Arial" w:cs="Arial"/>
          <w:color w:val="333333"/>
          <w:sz w:val="22"/>
          <w:szCs w:val="22"/>
          <w:highlight w:val="white"/>
        </w:rPr>
      </w:pPr>
      <w:r>
        <w:rPr>
          <w:rFonts w:ascii="Arial" w:eastAsia="Arial" w:hAnsi="Arial" w:cs="Arial"/>
          <w:color w:val="333333"/>
          <w:sz w:val="22"/>
          <w:szCs w:val="22"/>
          <w:highlight w:val="white"/>
        </w:rPr>
        <w:t>Estes, N., Gilmore, R. W., &amp; Loperena, C. (2021). United in Struggle: As racial capitalism rages, movements for Indigenous sovereignty and abolition offer visions of freedom on stolen land. </w:t>
      </w:r>
      <w:r>
        <w:rPr>
          <w:rFonts w:ascii="Arial" w:eastAsia="Arial" w:hAnsi="Arial" w:cs="Arial"/>
          <w:i/>
          <w:iCs/>
          <w:color w:val="333333"/>
          <w:sz w:val="22"/>
          <w:szCs w:val="22"/>
          <w:highlight w:val="white"/>
        </w:rPr>
        <w:t>NACLA Report on the Americas</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53</w:t>
      </w:r>
      <w:r>
        <w:rPr>
          <w:rFonts w:ascii="Arial" w:eastAsia="Arial" w:hAnsi="Arial" w:cs="Arial"/>
          <w:color w:val="333333"/>
          <w:sz w:val="22"/>
          <w:szCs w:val="22"/>
          <w:highlight w:val="white"/>
        </w:rPr>
        <w:t xml:space="preserve">(3), 255–267. </w:t>
      </w:r>
      <w:hyperlink r:id="rId79">
        <w:r>
          <w:rPr>
            <w:rFonts w:ascii="Arial" w:eastAsia="Arial" w:hAnsi="Arial" w:cs="Arial"/>
            <w:color w:val="467886"/>
            <w:sz w:val="22"/>
            <w:szCs w:val="22"/>
            <w:highlight w:val="white"/>
            <w:u w:val="single"/>
          </w:rPr>
          <w:t>https://doi.org/10.1080/10714839.2021.1961444</w:t>
        </w:r>
      </w:hyperlink>
    </w:p>
    <w:p w14:paraId="03CAC9FF" w14:textId="77777777" w:rsidR="009F0C56" w:rsidRDefault="009F0C56">
      <w:pPr>
        <w:rPr>
          <w:rFonts w:ascii="Arial" w:eastAsia="Arial" w:hAnsi="Arial" w:cs="Arial"/>
          <w:color w:val="333333"/>
          <w:sz w:val="22"/>
          <w:szCs w:val="22"/>
          <w:highlight w:val="white"/>
        </w:rPr>
      </w:pPr>
    </w:p>
    <w:p w14:paraId="15B3FB7B" w14:textId="6332F6F1" w:rsidR="009F0C56" w:rsidRDefault="00653842">
      <w:pPr>
        <w:rPr>
          <w:rFonts w:ascii="Arial" w:eastAsia="Arial" w:hAnsi="Arial" w:cs="Arial"/>
          <w:color w:val="222222"/>
          <w:sz w:val="22"/>
          <w:szCs w:val="22"/>
          <w:highlight w:val="white"/>
        </w:rPr>
      </w:pPr>
      <w:r>
        <w:rPr>
          <w:rFonts w:ascii="Arial" w:eastAsia="Arial" w:hAnsi="Arial" w:cs="Arial"/>
          <w:color w:val="222222"/>
          <w:sz w:val="22"/>
          <w:szCs w:val="22"/>
          <w:highlight w:val="white"/>
        </w:rPr>
        <w:t>Fan, F., Ha, VT. (2025). Tourism-led growth or economy-driven tourism growth in Southeast Asian countries. </w:t>
      </w:r>
      <w:r>
        <w:rPr>
          <w:rFonts w:ascii="Arial" w:eastAsia="Arial" w:hAnsi="Arial" w:cs="Arial"/>
          <w:i/>
          <w:iCs/>
          <w:color w:val="222222"/>
          <w:sz w:val="22"/>
          <w:szCs w:val="22"/>
          <w:highlight w:val="white"/>
        </w:rPr>
        <w:t>Humanit Soc Sci Commun</w:t>
      </w:r>
      <w:r>
        <w:rPr>
          <w:rFonts w:ascii="Arial" w:eastAsia="Arial" w:hAnsi="Arial" w:cs="Arial"/>
          <w:color w:val="222222"/>
          <w:sz w:val="22"/>
          <w:szCs w:val="22"/>
          <w:highlight w:val="white"/>
        </w:rPr>
        <w:t> </w:t>
      </w:r>
      <w:r>
        <w:rPr>
          <w:rFonts w:ascii="Arial" w:eastAsia="Arial" w:hAnsi="Arial" w:cs="Arial"/>
          <w:b/>
          <w:bCs/>
          <w:color w:val="222222"/>
          <w:sz w:val="22"/>
          <w:szCs w:val="22"/>
          <w:highlight w:val="white"/>
        </w:rPr>
        <w:t>12</w:t>
      </w:r>
      <w:r>
        <w:rPr>
          <w:rFonts w:ascii="Arial" w:eastAsia="Arial" w:hAnsi="Arial" w:cs="Arial"/>
          <w:color w:val="222222"/>
          <w:sz w:val="22"/>
          <w:szCs w:val="22"/>
          <w:highlight w:val="white"/>
        </w:rPr>
        <w:t>, 1374</w:t>
      </w:r>
      <w:r w:rsidR="00F44422">
        <w:rPr>
          <w:rFonts w:ascii="Arial" w:eastAsia="Arial" w:hAnsi="Arial" w:cs="Arial"/>
          <w:color w:val="222222"/>
          <w:sz w:val="22"/>
          <w:szCs w:val="22"/>
          <w:highlight w:val="white"/>
        </w:rPr>
        <w:t>.</w:t>
      </w:r>
      <w:r>
        <w:rPr>
          <w:rFonts w:ascii="Arial" w:eastAsia="Arial" w:hAnsi="Arial" w:cs="Arial"/>
          <w:color w:val="222222"/>
          <w:sz w:val="22"/>
          <w:szCs w:val="22"/>
          <w:highlight w:val="white"/>
        </w:rPr>
        <w:t xml:space="preserve"> </w:t>
      </w:r>
      <w:hyperlink r:id="rId80">
        <w:r>
          <w:rPr>
            <w:rFonts w:ascii="Arial" w:eastAsia="Arial" w:hAnsi="Arial" w:cs="Arial"/>
            <w:color w:val="467886"/>
            <w:sz w:val="22"/>
            <w:szCs w:val="22"/>
            <w:highlight w:val="white"/>
            <w:u w:val="single"/>
          </w:rPr>
          <w:t>https://doi.org/10.1057/s41599-025-05594-1</w:t>
        </w:r>
      </w:hyperlink>
      <w:r>
        <w:rPr>
          <w:rFonts w:ascii="Arial" w:eastAsia="Arial" w:hAnsi="Arial" w:cs="Arial"/>
          <w:color w:val="222222"/>
          <w:sz w:val="22"/>
          <w:szCs w:val="22"/>
          <w:highlight w:val="white"/>
        </w:rPr>
        <w:t xml:space="preserve"> </w:t>
      </w:r>
    </w:p>
    <w:p w14:paraId="34C347DF" w14:textId="77777777" w:rsidR="009F0C56" w:rsidRDefault="009F0C56">
      <w:pPr>
        <w:rPr>
          <w:rFonts w:ascii="Arial" w:eastAsia="Arial" w:hAnsi="Arial" w:cs="Arial"/>
          <w:color w:val="222222"/>
          <w:sz w:val="22"/>
          <w:szCs w:val="22"/>
          <w:highlight w:val="white"/>
        </w:rPr>
      </w:pPr>
    </w:p>
    <w:p w14:paraId="42A8F39A" w14:textId="19FFF6B7"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Fanon, F.</w:t>
      </w:r>
      <w:r>
        <w:rPr>
          <w:rFonts w:ascii="Arial" w:eastAsia="Arial" w:hAnsi="Arial" w:cs="Arial"/>
          <w:color w:val="000000"/>
          <w:sz w:val="22"/>
          <w:szCs w:val="22"/>
        </w:rPr>
        <w:t xml:space="preserve"> (2001). </w:t>
      </w:r>
      <w:r>
        <w:rPr>
          <w:rFonts w:ascii="Arial" w:eastAsia="Arial" w:hAnsi="Arial" w:cs="Arial"/>
          <w:i/>
          <w:iCs/>
          <w:color w:val="000000"/>
          <w:sz w:val="22"/>
          <w:szCs w:val="22"/>
        </w:rPr>
        <w:t>The Wretched of the Earth</w:t>
      </w:r>
      <w:r>
        <w:rPr>
          <w:rFonts w:ascii="Arial" w:eastAsia="Arial" w:hAnsi="Arial" w:cs="Arial"/>
          <w:color w:val="000000"/>
          <w:sz w:val="22"/>
          <w:szCs w:val="22"/>
        </w:rPr>
        <w:t>. London: Penguin Books.</w:t>
      </w:r>
    </w:p>
    <w:p w14:paraId="6696409F" w14:textId="77777777" w:rsidR="009F0C56" w:rsidRDefault="00653842">
      <w:r>
        <w:rPr>
          <w:rFonts w:ascii="Arial" w:eastAsia="Arial" w:hAnsi="Arial" w:cs="Arial"/>
          <w:color w:val="000000"/>
          <w:sz w:val="22"/>
          <w:szCs w:val="22"/>
          <w:highlight w:val="white"/>
        </w:rPr>
        <w:t>Fanshel, R. Z. (2024). The Morrill Act as Racial Contract: Settler Colonialism and U.S. Higher Education. </w:t>
      </w:r>
      <w:r>
        <w:rPr>
          <w:rFonts w:ascii="Arial" w:eastAsia="Arial" w:hAnsi="Arial" w:cs="Arial"/>
          <w:i/>
          <w:iCs/>
          <w:color w:val="000000"/>
          <w:sz w:val="22"/>
          <w:szCs w:val="22"/>
          <w:highlight w:val="white"/>
        </w:rPr>
        <w:t>UC Berkeley: Center for Research on Native American Issues</w:t>
      </w:r>
      <w:r>
        <w:rPr>
          <w:rFonts w:ascii="Arial" w:eastAsia="Arial" w:hAnsi="Arial" w:cs="Arial"/>
          <w:color w:val="000000"/>
          <w:sz w:val="22"/>
          <w:szCs w:val="22"/>
          <w:highlight w:val="white"/>
        </w:rPr>
        <w:t xml:space="preserve">. Retrieved from </w:t>
      </w:r>
      <w:hyperlink r:id="rId81">
        <w:r>
          <w:rPr>
            <w:rFonts w:ascii="Arial" w:eastAsia="Arial" w:hAnsi="Arial" w:cs="Arial"/>
            <w:color w:val="467886"/>
            <w:sz w:val="22"/>
            <w:szCs w:val="22"/>
            <w:highlight w:val="white"/>
            <w:u w:val="single"/>
          </w:rPr>
          <w:t>https://escholarship.org/uc/item/1cc0c4tw</w:t>
        </w:r>
      </w:hyperlink>
    </w:p>
    <w:p w14:paraId="2D3A0042" w14:textId="77777777" w:rsidR="009F0C56" w:rsidRDefault="009F0C56">
      <w:pPr>
        <w:rPr>
          <w:rFonts w:ascii="Arial" w:eastAsia="Arial" w:hAnsi="Arial" w:cs="Arial"/>
          <w:color w:val="000000"/>
          <w:sz w:val="22"/>
          <w:szCs w:val="22"/>
          <w:highlight w:val="white"/>
        </w:rPr>
      </w:pPr>
    </w:p>
    <w:p w14:paraId="2528BE6B" w14:textId="74C29028" w:rsidR="009F0C56" w:rsidRDefault="00653842">
      <w:pPr>
        <w:shd w:val="clear" w:color="auto" w:fill="FFFFFF"/>
        <w:spacing w:after="0" w:line="240" w:lineRule="auto"/>
        <w:rPr>
          <w:rFonts w:ascii="Arial" w:eastAsia="Arial" w:hAnsi="Arial" w:cs="Arial"/>
          <w:sz w:val="20"/>
          <w:szCs w:val="20"/>
          <w:highlight w:val="white"/>
        </w:rPr>
      </w:pPr>
      <w:r>
        <w:rPr>
          <w:rFonts w:ascii="Arial" w:eastAsia="Arial" w:hAnsi="Arial" w:cs="Arial"/>
          <w:sz w:val="20"/>
          <w:szCs w:val="20"/>
          <w:highlight w:val="white"/>
        </w:rPr>
        <w:t>Florida water management. 2023. ‘Florida water management 2020</w:t>
      </w:r>
      <w:r w:rsidR="00F44422">
        <w:rPr>
          <w:rFonts w:ascii="Arial" w:eastAsia="Arial" w:hAnsi="Arial" w:cs="Arial"/>
          <w:sz w:val="20"/>
          <w:szCs w:val="20"/>
          <w:highlight w:val="white"/>
        </w:rPr>
        <w:t xml:space="preserve">. </w:t>
      </w:r>
      <w:r>
        <w:rPr>
          <w:rFonts w:ascii="Arial" w:eastAsia="Arial" w:hAnsi="Arial" w:cs="Arial"/>
          <w:sz w:val="20"/>
          <w:szCs w:val="20"/>
          <w:highlight w:val="white"/>
        </w:rPr>
        <w:t xml:space="preserve">Florida water management. Available from: </w:t>
      </w:r>
      <w:hyperlink r:id="rId82">
        <w:r>
          <w:rPr>
            <w:rFonts w:ascii="Arial" w:eastAsia="Arial" w:hAnsi="Arial" w:cs="Arial"/>
            <w:b/>
            <w:bCs/>
            <w:sz w:val="20"/>
            <w:szCs w:val="20"/>
            <w:u w:val="single"/>
          </w:rPr>
          <w:t>https://www.sfwmd.gov/sites/default/files/2020_Water_Use_Estimation_Report_Final.pdf</w:t>
        </w:r>
      </w:hyperlink>
      <w:r>
        <w:rPr>
          <w:rFonts w:ascii="Arial" w:eastAsia="Arial" w:hAnsi="Arial" w:cs="Arial"/>
          <w:sz w:val="20"/>
          <w:szCs w:val="20"/>
          <w:highlight w:val="white"/>
        </w:rPr>
        <w:t xml:space="preserve"> </w:t>
      </w:r>
    </w:p>
    <w:p w14:paraId="271DCB91" w14:textId="77777777" w:rsidR="009F0C56" w:rsidRDefault="009F0C56">
      <w:pPr>
        <w:rPr>
          <w:rFonts w:ascii="Arial" w:eastAsia="Arial" w:hAnsi="Arial" w:cs="Arial"/>
          <w:color w:val="000000"/>
          <w:sz w:val="22"/>
          <w:szCs w:val="22"/>
          <w:highlight w:val="white"/>
        </w:rPr>
      </w:pPr>
    </w:p>
    <w:p w14:paraId="3D173219" w14:textId="77777777" w:rsidR="009F0C56" w:rsidRDefault="00653842">
      <w:pPr>
        <w:rPr>
          <w:rFonts w:ascii="Arial" w:eastAsia="Arial" w:hAnsi="Arial" w:cs="Arial"/>
          <w:sz w:val="22"/>
          <w:szCs w:val="22"/>
        </w:rPr>
      </w:pPr>
      <w:r>
        <w:rPr>
          <w:rFonts w:ascii="Arial" w:eastAsia="Arial" w:hAnsi="Arial" w:cs="Arial"/>
          <w:sz w:val="22"/>
          <w:szCs w:val="22"/>
        </w:rPr>
        <w:t xml:space="preserve">Fernández Poncela, A. M. (2018). Turismo, negocio o desarrollo: El caso de Huasca. México. PASOS, 16(1), 233–251. </w:t>
      </w:r>
    </w:p>
    <w:p w14:paraId="3DE9BA4E" w14:textId="77777777" w:rsidR="009F0C56" w:rsidRDefault="009F0C56">
      <w:pPr>
        <w:rPr>
          <w:rFonts w:ascii="Arial" w:eastAsia="Arial" w:hAnsi="Arial" w:cs="Arial"/>
          <w:sz w:val="22"/>
          <w:szCs w:val="22"/>
        </w:rPr>
      </w:pPr>
    </w:p>
    <w:p w14:paraId="4A9D1847" w14:textId="0132CE19" w:rsidR="009F0C56" w:rsidRDefault="00653842">
      <w:pPr>
        <w:rPr>
          <w:rFonts w:ascii="Arial" w:eastAsia="Arial" w:hAnsi="Arial" w:cs="Arial"/>
          <w:sz w:val="22"/>
          <w:szCs w:val="22"/>
        </w:rPr>
      </w:pPr>
      <w:r>
        <w:rPr>
          <w:rFonts w:ascii="Arial" w:eastAsia="Arial" w:hAnsi="Arial" w:cs="Arial"/>
          <w:color w:val="1A1A1A"/>
          <w:sz w:val="22"/>
          <w:szCs w:val="22"/>
          <w:shd w:val="clear" w:color="auto" w:fill="F7F7F7"/>
        </w:rPr>
        <w:t>Francis JN (2023), "Rescuing marketing from its colonial roots: a decolonial anti-racist agenda". </w:t>
      </w:r>
      <w:r>
        <w:rPr>
          <w:rFonts w:ascii="Arial" w:eastAsia="Arial" w:hAnsi="Arial" w:cs="Arial"/>
          <w:i/>
          <w:iCs/>
          <w:color w:val="1A1A1A"/>
          <w:sz w:val="22"/>
          <w:szCs w:val="22"/>
          <w:shd w:val="clear" w:color="auto" w:fill="F7F7F7"/>
        </w:rPr>
        <w:t>Journal of Consumer Marketing</w:t>
      </w:r>
      <w:r>
        <w:rPr>
          <w:rFonts w:ascii="Arial" w:eastAsia="Arial" w:hAnsi="Arial" w:cs="Arial"/>
          <w:color w:val="1A1A1A"/>
          <w:sz w:val="22"/>
          <w:szCs w:val="22"/>
          <w:shd w:val="clear" w:color="auto" w:fill="F7F7F7"/>
        </w:rPr>
        <w:t>, Vol. 40 No. 5</w:t>
      </w:r>
      <w:r w:rsidR="00F44422">
        <w:rPr>
          <w:rFonts w:ascii="Arial" w:eastAsia="Arial" w:hAnsi="Arial" w:cs="Arial"/>
          <w:color w:val="1A1A1A"/>
          <w:sz w:val="22"/>
          <w:szCs w:val="22"/>
          <w:shd w:val="clear" w:color="auto" w:fill="F7F7F7"/>
        </w:rPr>
        <w:t>,</w:t>
      </w:r>
      <w:r>
        <w:rPr>
          <w:rFonts w:ascii="Arial" w:eastAsia="Arial" w:hAnsi="Arial" w:cs="Arial"/>
          <w:color w:val="1A1A1A"/>
          <w:sz w:val="22"/>
          <w:szCs w:val="22"/>
          <w:shd w:val="clear" w:color="auto" w:fill="F7F7F7"/>
        </w:rPr>
        <w:t xml:space="preserve"> pp. 558–570, doi: </w:t>
      </w:r>
      <w:hyperlink r:id="rId83">
        <w:r>
          <w:rPr>
            <w:rFonts w:ascii="Arial" w:eastAsia="Arial" w:hAnsi="Arial" w:cs="Arial"/>
            <w:color w:val="1C696A"/>
            <w:sz w:val="22"/>
            <w:szCs w:val="22"/>
            <w:u w:val="single"/>
            <w:shd w:val="clear" w:color="auto" w:fill="F7F7F7"/>
          </w:rPr>
          <w:t>https://doi.org/10.1108/JCM-07-2021-4752</w:t>
        </w:r>
      </w:hyperlink>
    </w:p>
    <w:p w14:paraId="07B942C0" w14:textId="77777777" w:rsidR="009F0C56" w:rsidRDefault="009F0C56">
      <w:pPr>
        <w:rPr>
          <w:rFonts w:ascii="Arial" w:eastAsia="Arial" w:hAnsi="Arial" w:cs="Arial"/>
          <w:sz w:val="22"/>
          <w:szCs w:val="22"/>
        </w:rPr>
      </w:pPr>
    </w:p>
    <w:p w14:paraId="694262E4" w14:textId="77777777" w:rsidR="009F0C56" w:rsidRDefault="00653842">
      <w:pPr>
        <w:shd w:val="clear" w:color="auto" w:fill="FFFFFF"/>
        <w:spacing w:after="280" w:line="240" w:lineRule="auto"/>
      </w:pPr>
      <w:r>
        <w:rPr>
          <w:rFonts w:ascii="Arial" w:eastAsia="Arial" w:hAnsi="Arial" w:cs="Arial"/>
          <w:color w:val="333333"/>
          <w:sz w:val="22"/>
          <w:szCs w:val="22"/>
        </w:rPr>
        <w:lastRenderedPageBreak/>
        <w:t>Freya Higgins-Desbiolles (2021) The “war over tourism”: challenges to sustainable tourism in the tourism academy after COVID-19, Journal of Sustainable Tourism, 29:4, 551-569, DOI: </w:t>
      </w:r>
      <w:hyperlink r:id="rId84">
        <w:r>
          <w:rPr>
            <w:rFonts w:ascii="Arial" w:eastAsia="Arial" w:hAnsi="Arial" w:cs="Arial"/>
            <w:color w:val="333333"/>
            <w:sz w:val="22"/>
            <w:szCs w:val="22"/>
            <w:u w:val="single"/>
          </w:rPr>
          <w:t>10.1080/09669582.2020.1803334</w:t>
        </w:r>
      </w:hyperlink>
    </w:p>
    <w:p w14:paraId="32D8A5F0" w14:textId="57388CD3" w:rsidR="009F0C56" w:rsidRDefault="00653842">
      <w:pPr>
        <w:shd w:val="clear" w:color="auto" w:fill="FFFFFF"/>
        <w:spacing w:after="0" w:line="240" w:lineRule="auto"/>
        <w:rPr>
          <w:rFonts w:ascii="Arial" w:eastAsia="Arial" w:hAnsi="Arial" w:cs="Arial"/>
          <w:sz w:val="22"/>
          <w:szCs w:val="22"/>
        </w:rPr>
      </w:pPr>
      <w:r>
        <w:rPr>
          <w:rFonts w:ascii="Arial" w:eastAsia="Arial" w:hAnsi="Arial" w:cs="Arial"/>
          <w:sz w:val="22"/>
          <w:szCs w:val="22"/>
          <w:highlight w:val="white"/>
        </w:rPr>
        <w:t xml:space="preserve">Gator Park 2024/2025. ‘Gator Park incorporated’ Gator Park </w:t>
      </w:r>
      <w:r w:rsidR="00F44422">
        <w:rPr>
          <w:rFonts w:ascii="Arial" w:eastAsia="Arial" w:hAnsi="Arial" w:cs="Arial"/>
          <w:sz w:val="22"/>
          <w:szCs w:val="22"/>
          <w:highlight w:val="white"/>
        </w:rPr>
        <w:t>Incorporated</w:t>
      </w:r>
      <w:r>
        <w:rPr>
          <w:rFonts w:ascii="Arial" w:eastAsia="Arial" w:hAnsi="Arial" w:cs="Arial"/>
          <w:sz w:val="22"/>
          <w:szCs w:val="22"/>
          <w:highlight w:val="white"/>
        </w:rPr>
        <w:t xml:space="preserve">. Available from: </w:t>
      </w:r>
      <w:hyperlink r:id="rId85">
        <w:r>
          <w:rPr>
            <w:rFonts w:ascii="Arial" w:eastAsia="Arial" w:hAnsi="Arial" w:cs="Arial"/>
            <w:b/>
            <w:bCs/>
            <w:sz w:val="22"/>
            <w:szCs w:val="22"/>
            <w:u w:val="single"/>
          </w:rPr>
          <w:t>https://gatorpark.com/miccosukee_indians.php</w:t>
        </w:r>
      </w:hyperlink>
    </w:p>
    <w:p w14:paraId="3C62AB40" w14:textId="77777777" w:rsidR="009F0C56" w:rsidRDefault="009F0C56">
      <w:pPr>
        <w:shd w:val="clear" w:color="auto" w:fill="FFFFFF"/>
        <w:spacing w:after="280" w:line="240" w:lineRule="auto"/>
        <w:rPr>
          <w:rFonts w:ascii="Arial" w:eastAsia="Arial" w:hAnsi="Arial" w:cs="Arial"/>
          <w:sz w:val="22"/>
          <w:szCs w:val="22"/>
        </w:rPr>
      </w:pPr>
    </w:p>
    <w:p w14:paraId="30507F88" w14:textId="77777777" w:rsidR="009F0C56" w:rsidRDefault="00653842">
      <w:pPr>
        <w:spacing w:after="0" w:line="240" w:lineRule="auto"/>
        <w:rPr>
          <w:rFonts w:ascii="Arial" w:eastAsia="Arial" w:hAnsi="Arial" w:cs="Arial"/>
          <w:sz w:val="22"/>
          <w:szCs w:val="22"/>
        </w:rPr>
      </w:pPr>
      <w:r>
        <w:rPr>
          <w:rFonts w:ascii="Arial" w:eastAsia="Arial" w:hAnsi="Arial" w:cs="Arial"/>
          <w:color w:val="333333"/>
          <w:sz w:val="22"/>
          <w:szCs w:val="22"/>
          <w:highlight w:val="white"/>
        </w:rPr>
        <w:t>Gibson-Graham JK. (2008) Diverse economies: performative practices for `other worlds’. </w:t>
      </w:r>
      <w:r>
        <w:rPr>
          <w:rFonts w:ascii="Arial" w:eastAsia="Arial" w:hAnsi="Arial" w:cs="Arial"/>
          <w:i/>
          <w:iCs/>
          <w:color w:val="333333"/>
          <w:sz w:val="22"/>
          <w:szCs w:val="22"/>
          <w:highlight w:val="white"/>
        </w:rPr>
        <w:t>Progress in Human Geography</w:t>
      </w:r>
      <w:r>
        <w:rPr>
          <w:rFonts w:ascii="Arial" w:eastAsia="Arial" w:hAnsi="Arial" w:cs="Arial"/>
          <w:color w:val="333333"/>
          <w:sz w:val="22"/>
          <w:szCs w:val="22"/>
          <w:highlight w:val="white"/>
        </w:rPr>
        <w:t>. 2008;32(5):613-632. doi:</w:t>
      </w:r>
      <w:hyperlink r:id="rId86">
        <w:r>
          <w:rPr>
            <w:rFonts w:ascii="Arial" w:eastAsia="Arial" w:hAnsi="Arial" w:cs="Arial"/>
            <w:color w:val="006ACC"/>
            <w:sz w:val="22"/>
            <w:szCs w:val="22"/>
            <w:highlight w:val="white"/>
            <w:u w:val="single"/>
          </w:rPr>
          <w:t>10.1177/0309132508090821</w:t>
        </w:r>
      </w:hyperlink>
    </w:p>
    <w:p w14:paraId="1B39509C" w14:textId="77777777" w:rsidR="009F0C56" w:rsidRDefault="009F0C56">
      <w:pPr>
        <w:spacing w:after="0" w:line="240" w:lineRule="auto"/>
        <w:rPr>
          <w:rFonts w:ascii="Arial" w:eastAsia="Arial" w:hAnsi="Arial" w:cs="Arial"/>
          <w:sz w:val="22"/>
          <w:szCs w:val="22"/>
        </w:rPr>
      </w:pPr>
    </w:p>
    <w:p w14:paraId="00D6401A" w14:textId="77777777" w:rsidR="009F0C56" w:rsidRDefault="00653842">
      <w:pPr>
        <w:spacing w:after="0" w:line="240" w:lineRule="auto"/>
        <w:rPr>
          <w:rFonts w:ascii="Arial" w:eastAsia="Arial" w:hAnsi="Arial" w:cs="Arial"/>
          <w:color w:val="000000"/>
          <w:sz w:val="22"/>
          <w:szCs w:val="22"/>
        </w:rPr>
      </w:pPr>
      <w:r>
        <w:rPr>
          <w:rFonts w:ascii="Arial" w:eastAsia="Arial" w:hAnsi="Arial" w:cs="Arial"/>
          <w:color w:val="000000"/>
          <w:sz w:val="22"/>
          <w:szCs w:val="22"/>
        </w:rPr>
        <w:t>Gibson-Graham, J. K. (1996). </w:t>
      </w:r>
      <w:r>
        <w:rPr>
          <w:rFonts w:ascii="Arial" w:eastAsia="Arial" w:hAnsi="Arial" w:cs="Arial"/>
          <w:i/>
          <w:iCs/>
          <w:color w:val="000000"/>
          <w:sz w:val="22"/>
          <w:szCs w:val="22"/>
        </w:rPr>
        <w:t>The End of Capitalism (As We Knew It): A Feminist Critique of Political Economy</w:t>
      </w:r>
      <w:r>
        <w:rPr>
          <w:rFonts w:ascii="Arial" w:eastAsia="Arial" w:hAnsi="Arial" w:cs="Arial"/>
          <w:color w:val="000000"/>
          <w:sz w:val="22"/>
          <w:szCs w:val="22"/>
        </w:rPr>
        <w:t xml:space="preserve"> (NED-New edition). University of Minnesota Press. </w:t>
      </w:r>
      <w:hyperlink r:id="rId87">
        <w:r>
          <w:rPr>
            <w:rFonts w:ascii="Arial" w:eastAsia="Arial" w:hAnsi="Arial" w:cs="Arial"/>
            <w:color w:val="467886"/>
            <w:sz w:val="22"/>
            <w:szCs w:val="22"/>
            <w:u w:val="single"/>
          </w:rPr>
          <w:t>http://www.jstor.org/stable/10.5749/j.cttts7zc</w:t>
        </w:r>
      </w:hyperlink>
      <w:r>
        <w:rPr>
          <w:rFonts w:ascii="Arial" w:eastAsia="Arial" w:hAnsi="Arial" w:cs="Arial"/>
          <w:color w:val="000000"/>
          <w:sz w:val="22"/>
          <w:szCs w:val="22"/>
        </w:rPr>
        <w:t xml:space="preserve"> </w:t>
      </w:r>
    </w:p>
    <w:p w14:paraId="3665C73D" w14:textId="77777777" w:rsidR="009F0C56" w:rsidRDefault="009F0C56">
      <w:pPr>
        <w:spacing w:after="0" w:line="240" w:lineRule="auto"/>
        <w:rPr>
          <w:rFonts w:ascii="Arial" w:eastAsia="Arial" w:hAnsi="Arial" w:cs="Arial"/>
          <w:color w:val="000000"/>
          <w:sz w:val="22"/>
          <w:szCs w:val="22"/>
        </w:rPr>
      </w:pPr>
    </w:p>
    <w:p w14:paraId="799945ED" w14:textId="77777777" w:rsidR="009F0C56" w:rsidRDefault="009F0C56">
      <w:pPr>
        <w:spacing w:after="0" w:line="240" w:lineRule="auto"/>
        <w:rPr>
          <w:rFonts w:ascii="Arial" w:eastAsia="Arial" w:hAnsi="Arial" w:cs="Arial"/>
          <w:color w:val="000000"/>
          <w:sz w:val="22"/>
          <w:szCs w:val="22"/>
        </w:rPr>
      </w:pPr>
    </w:p>
    <w:p w14:paraId="081C8771" w14:textId="77777777" w:rsidR="009F0C56" w:rsidRDefault="00653842">
      <w:pPr>
        <w:rPr>
          <w:rFonts w:ascii="Arial" w:eastAsia="Arial" w:hAnsi="Arial" w:cs="Arial"/>
          <w:color w:val="000000"/>
          <w:sz w:val="22"/>
          <w:szCs w:val="22"/>
        </w:rPr>
      </w:pPr>
      <w:r>
        <w:rPr>
          <w:rFonts w:ascii="Arial" w:eastAsia="Arial" w:hAnsi="Arial" w:cs="Arial"/>
          <w:color w:val="000000"/>
          <w:sz w:val="22"/>
          <w:szCs w:val="22"/>
        </w:rPr>
        <w:t>Gibson-Graham, J. K. (2006). Imagining and Enacting a Postcapitalist Feminist Economic Politics. </w:t>
      </w:r>
      <w:r>
        <w:rPr>
          <w:rFonts w:ascii="Arial" w:eastAsia="Arial" w:hAnsi="Arial" w:cs="Arial"/>
          <w:i/>
          <w:iCs/>
          <w:color w:val="000000"/>
          <w:sz w:val="22"/>
          <w:szCs w:val="22"/>
        </w:rPr>
        <w:t>Women’s Studies Quarterly</w:t>
      </w:r>
      <w:r>
        <w:rPr>
          <w:rFonts w:ascii="Arial" w:eastAsia="Arial" w:hAnsi="Arial" w:cs="Arial"/>
          <w:color w:val="000000"/>
          <w:sz w:val="22"/>
          <w:szCs w:val="22"/>
        </w:rPr>
        <w:t>, </w:t>
      </w:r>
      <w:r>
        <w:rPr>
          <w:rFonts w:ascii="Arial" w:eastAsia="Arial" w:hAnsi="Arial" w:cs="Arial"/>
          <w:i/>
          <w:iCs/>
          <w:color w:val="000000"/>
          <w:sz w:val="22"/>
          <w:szCs w:val="22"/>
        </w:rPr>
        <w:t>34</w:t>
      </w:r>
      <w:r>
        <w:rPr>
          <w:rFonts w:ascii="Arial" w:eastAsia="Arial" w:hAnsi="Arial" w:cs="Arial"/>
          <w:color w:val="000000"/>
          <w:sz w:val="22"/>
          <w:szCs w:val="22"/>
        </w:rPr>
        <w:t xml:space="preserve">(1/2), 72–78. </w:t>
      </w:r>
      <w:hyperlink r:id="rId88">
        <w:r>
          <w:rPr>
            <w:rFonts w:ascii="Arial" w:eastAsia="Arial" w:hAnsi="Arial" w:cs="Arial"/>
            <w:color w:val="467886"/>
            <w:sz w:val="22"/>
            <w:szCs w:val="22"/>
            <w:u w:val="single"/>
          </w:rPr>
          <w:t>http://www.jstor.org/stable/40004733</w:t>
        </w:r>
      </w:hyperlink>
      <w:r>
        <w:rPr>
          <w:rFonts w:ascii="Arial" w:eastAsia="Arial" w:hAnsi="Arial" w:cs="Arial"/>
          <w:color w:val="000000"/>
          <w:sz w:val="22"/>
          <w:szCs w:val="22"/>
        </w:rPr>
        <w:t xml:space="preserve"> </w:t>
      </w:r>
    </w:p>
    <w:p w14:paraId="4984B4B8" w14:textId="77777777" w:rsidR="009F0C56" w:rsidRDefault="009F0C56">
      <w:pPr>
        <w:rPr>
          <w:rFonts w:ascii="Arial" w:eastAsia="Arial" w:hAnsi="Arial" w:cs="Arial"/>
          <w:sz w:val="22"/>
          <w:szCs w:val="22"/>
        </w:rPr>
      </w:pPr>
    </w:p>
    <w:p w14:paraId="0315D94E" w14:textId="77777777" w:rsidR="009F0C56" w:rsidRDefault="00653842">
      <w:pPr>
        <w:rPr>
          <w:rFonts w:ascii="Arial" w:eastAsia="Arial" w:hAnsi="Arial" w:cs="Arial"/>
          <w:color w:val="000000"/>
          <w:sz w:val="22"/>
          <w:szCs w:val="22"/>
        </w:rPr>
      </w:pPr>
      <w:r>
        <w:rPr>
          <w:rFonts w:ascii="Arial" w:eastAsia="Arial" w:hAnsi="Arial" w:cs="Arial"/>
          <w:color w:val="000000"/>
          <w:sz w:val="22"/>
          <w:szCs w:val="22"/>
        </w:rPr>
        <w:t>Gibson-Graham, J. K. (2014). Rethinking the Economy with Thick Description and Weak Theory. </w:t>
      </w:r>
      <w:r>
        <w:rPr>
          <w:rFonts w:ascii="Arial" w:eastAsia="Arial" w:hAnsi="Arial" w:cs="Arial"/>
          <w:i/>
          <w:iCs/>
          <w:color w:val="000000"/>
          <w:sz w:val="22"/>
          <w:szCs w:val="22"/>
        </w:rPr>
        <w:t>Current Anthropology</w:t>
      </w:r>
      <w:r>
        <w:rPr>
          <w:rFonts w:ascii="Arial" w:eastAsia="Arial" w:hAnsi="Arial" w:cs="Arial"/>
          <w:color w:val="000000"/>
          <w:sz w:val="22"/>
          <w:szCs w:val="22"/>
        </w:rPr>
        <w:t>, </w:t>
      </w:r>
      <w:r>
        <w:rPr>
          <w:rFonts w:ascii="Arial" w:eastAsia="Arial" w:hAnsi="Arial" w:cs="Arial"/>
          <w:i/>
          <w:iCs/>
          <w:color w:val="000000"/>
          <w:sz w:val="22"/>
          <w:szCs w:val="22"/>
        </w:rPr>
        <w:t>55</w:t>
      </w:r>
      <w:r>
        <w:rPr>
          <w:rFonts w:ascii="Arial" w:eastAsia="Arial" w:hAnsi="Arial" w:cs="Arial"/>
          <w:color w:val="000000"/>
          <w:sz w:val="22"/>
          <w:szCs w:val="22"/>
        </w:rPr>
        <w:t xml:space="preserve">(S9), S147–S153. </w:t>
      </w:r>
      <w:hyperlink r:id="rId89">
        <w:r>
          <w:rPr>
            <w:rFonts w:ascii="Arial" w:eastAsia="Arial" w:hAnsi="Arial" w:cs="Arial"/>
            <w:color w:val="467886"/>
            <w:sz w:val="22"/>
            <w:szCs w:val="22"/>
            <w:u w:val="single"/>
          </w:rPr>
          <w:t>https://doi.org/10.1086/676646</w:t>
        </w:r>
      </w:hyperlink>
      <w:r>
        <w:rPr>
          <w:rFonts w:ascii="Arial" w:eastAsia="Arial" w:hAnsi="Arial" w:cs="Arial"/>
          <w:color w:val="000000"/>
          <w:sz w:val="22"/>
          <w:szCs w:val="22"/>
        </w:rPr>
        <w:t xml:space="preserve"> </w:t>
      </w:r>
    </w:p>
    <w:p w14:paraId="783E2C5F" w14:textId="51287FAA"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Gilmore, R.W.</w:t>
      </w:r>
      <w:r>
        <w:rPr>
          <w:rFonts w:ascii="Arial" w:eastAsia="Arial" w:hAnsi="Arial" w:cs="Arial"/>
          <w:color w:val="000000"/>
          <w:sz w:val="22"/>
          <w:szCs w:val="22"/>
        </w:rPr>
        <w:t xml:space="preserve"> (2007). </w:t>
      </w:r>
      <w:r>
        <w:rPr>
          <w:rFonts w:ascii="Arial" w:eastAsia="Arial" w:hAnsi="Arial" w:cs="Arial"/>
          <w:i/>
          <w:iCs/>
          <w:color w:val="000000"/>
          <w:sz w:val="22"/>
          <w:szCs w:val="22"/>
        </w:rPr>
        <w:t>Golden Gulag: Prisons, Surplus, Crisis, and Opposition in Globalizing California</w:t>
      </w:r>
      <w:r>
        <w:rPr>
          <w:rFonts w:ascii="Arial" w:eastAsia="Arial" w:hAnsi="Arial" w:cs="Arial"/>
          <w:color w:val="000000"/>
          <w:sz w:val="22"/>
          <w:szCs w:val="22"/>
        </w:rPr>
        <w:t>. Berkeley: University of California Press.</w:t>
      </w:r>
    </w:p>
    <w:p w14:paraId="04392AB5" w14:textId="78EE31BA"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Gilmore, R.W. 2020</w:t>
      </w:r>
      <w:r w:rsidR="00F44422">
        <w:rPr>
          <w:rFonts w:ascii="Arial" w:eastAsia="Arial" w:hAnsi="Arial" w:cs="Arial"/>
          <w:color w:val="000000"/>
          <w:sz w:val="22"/>
          <w:szCs w:val="22"/>
        </w:rPr>
        <w:t>).</w:t>
      </w:r>
      <w:r>
        <w:rPr>
          <w:rFonts w:ascii="Arial" w:eastAsia="Arial" w:hAnsi="Arial" w:cs="Arial"/>
          <w:color w:val="000000"/>
          <w:sz w:val="22"/>
          <w:szCs w:val="22"/>
        </w:rPr>
        <w:t xml:space="preserve"> Geographies of Racial Capitalism, With Ruth Wilson Gilmore. Antipode documentaries. Available from:https://youtu.be/2CS627aKrJI?si=Z5Tn09hh7-DNY-gM</w:t>
      </w:r>
    </w:p>
    <w:p w14:paraId="2028256B" w14:textId="58F59989" w:rsidR="009F0C56" w:rsidRDefault="00653842">
      <w:pPr>
        <w:spacing w:before="280" w:after="280" w:line="240" w:lineRule="auto"/>
        <w:rPr>
          <w:rFonts w:ascii="Arial" w:eastAsia="Arial" w:hAnsi="Arial" w:cs="Arial"/>
          <w:color w:val="000000"/>
          <w:sz w:val="22"/>
          <w:szCs w:val="22"/>
          <w:highlight w:val="white"/>
        </w:rPr>
      </w:pPr>
      <w:r>
        <w:rPr>
          <w:rFonts w:ascii="Arial" w:eastAsia="Arial" w:hAnsi="Arial" w:cs="Arial"/>
          <w:color w:val="000000"/>
          <w:sz w:val="22"/>
          <w:szCs w:val="22"/>
          <w:highlight w:val="white"/>
        </w:rPr>
        <w:t>Goeman, M. (2011). Introduction to Indigenous Performances: Upsetting the Terrains of Settler Colonialism. </w:t>
      </w:r>
      <w:r>
        <w:rPr>
          <w:rFonts w:ascii="Arial" w:eastAsia="Arial" w:hAnsi="Arial" w:cs="Arial"/>
          <w:i/>
          <w:iCs/>
          <w:color w:val="000000"/>
          <w:sz w:val="22"/>
          <w:szCs w:val="22"/>
          <w:highlight w:val="white"/>
        </w:rPr>
        <w:t>American Indian Culture and Research Journal</w:t>
      </w:r>
      <w:r>
        <w:rPr>
          <w:rFonts w:ascii="Arial" w:eastAsia="Arial" w:hAnsi="Arial" w:cs="Arial"/>
          <w:color w:val="000000"/>
          <w:sz w:val="22"/>
          <w:szCs w:val="22"/>
          <w:highlight w:val="white"/>
        </w:rPr>
        <w:t xml:space="preserve">, 35(4). http://dx.doi.org/10.17953 Retrieved from </w:t>
      </w:r>
      <w:hyperlink r:id="rId90">
        <w:r>
          <w:rPr>
            <w:rFonts w:ascii="Arial" w:eastAsia="Arial" w:hAnsi="Arial" w:cs="Arial"/>
            <w:color w:val="467886"/>
            <w:sz w:val="22"/>
            <w:szCs w:val="22"/>
            <w:highlight w:val="white"/>
            <w:u w:val="single"/>
          </w:rPr>
          <w:t>https://escholarship.org/uc/item/2hw7x6dn</w:t>
        </w:r>
      </w:hyperlink>
    </w:p>
    <w:p w14:paraId="3F302E2C" w14:textId="77777777" w:rsidR="009F0C56" w:rsidRDefault="00653842">
      <w:pPr>
        <w:spacing w:before="280" w:after="280" w:line="240" w:lineRule="auto"/>
        <w:rPr>
          <w:rFonts w:ascii="Arial" w:eastAsia="Arial" w:hAnsi="Arial" w:cs="Arial"/>
          <w:sz w:val="22"/>
          <w:szCs w:val="22"/>
        </w:rPr>
      </w:pPr>
      <w:r>
        <w:rPr>
          <w:rFonts w:ascii="Arial" w:eastAsia="Arial" w:hAnsi="Arial" w:cs="Arial"/>
          <w:color w:val="333333"/>
          <w:sz w:val="22"/>
          <w:szCs w:val="22"/>
          <w:highlight w:val="white"/>
        </w:rPr>
        <w:t>Goeman, M. (2012). The Tools of a Cartographic Poet: Unmapping Settler Colonialism in Joy Harjo’s Poetry. </w:t>
      </w:r>
      <w:r>
        <w:rPr>
          <w:rFonts w:ascii="Arial" w:eastAsia="Arial" w:hAnsi="Arial" w:cs="Arial"/>
          <w:i/>
          <w:iCs/>
          <w:color w:val="333333"/>
          <w:sz w:val="22"/>
          <w:szCs w:val="22"/>
          <w:highlight w:val="white"/>
        </w:rPr>
        <w:t>Settler Colonial Studies</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2</w:t>
      </w:r>
      <w:r>
        <w:rPr>
          <w:rFonts w:ascii="Arial" w:eastAsia="Arial" w:hAnsi="Arial" w:cs="Arial"/>
          <w:color w:val="333333"/>
          <w:sz w:val="22"/>
          <w:szCs w:val="22"/>
          <w:highlight w:val="white"/>
        </w:rPr>
        <w:t>(2), 89–112. https://doi.org/10.1080/2201473X.2012.10648843</w:t>
      </w:r>
      <w:r>
        <w:rPr>
          <w:rFonts w:ascii="Arial" w:eastAsia="Arial" w:hAnsi="Arial" w:cs="Arial"/>
          <w:sz w:val="22"/>
          <w:szCs w:val="22"/>
        </w:rPr>
        <w:t xml:space="preserve">Goeman, M. (2013). </w:t>
      </w:r>
      <w:r>
        <w:rPr>
          <w:rFonts w:ascii="Arial" w:eastAsia="Arial" w:hAnsi="Arial" w:cs="Arial"/>
          <w:i/>
          <w:iCs/>
          <w:sz w:val="22"/>
          <w:szCs w:val="22"/>
        </w:rPr>
        <w:t>Mark my words: Native women mapping our nations</w:t>
      </w:r>
      <w:r>
        <w:rPr>
          <w:rFonts w:ascii="Arial" w:eastAsia="Arial" w:hAnsi="Arial" w:cs="Arial"/>
          <w:sz w:val="22"/>
          <w:szCs w:val="22"/>
        </w:rPr>
        <w:t xml:space="preserve">. University of Minnesota Press. </w:t>
      </w:r>
      <w:hyperlink r:id="rId91">
        <w:r>
          <w:rPr>
            <w:rFonts w:ascii="Arial" w:eastAsia="Arial" w:hAnsi="Arial" w:cs="Arial"/>
            <w:color w:val="0000FF"/>
            <w:sz w:val="22"/>
            <w:szCs w:val="22"/>
            <w:u w:val="single"/>
          </w:rPr>
          <w:t>https://www.upress.umn.edu/9780816677917/mark-my-words</w:t>
        </w:r>
      </w:hyperlink>
    </w:p>
    <w:p w14:paraId="36681F95" w14:textId="7B974377" w:rsidR="009F0C56" w:rsidRDefault="00653842">
      <w:pPr>
        <w:shd w:val="clear" w:color="auto" w:fill="FFFFFF"/>
        <w:spacing w:after="280" w:line="240" w:lineRule="auto"/>
        <w:rPr>
          <w:rFonts w:ascii="Arial" w:eastAsia="Arial" w:hAnsi="Arial" w:cs="Arial"/>
          <w:sz w:val="22"/>
          <w:szCs w:val="22"/>
        </w:rPr>
      </w:pPr>
      <w:r>
        <w:rPr>
          <w:rFonts w:ascii="Arial" w:eastAsia="Arial" w:hAnsi="Arial" w:cs="Arial"/>
          <w:sz w:val="22"/>
          <w:szCs w:val="22"/>
        </w:rPr>
        <w:t>Gonzalez, Lelia. (originally, 1979) Translated 2020 (Tais de Sant’Anna Machado, Keisha Y Perry</w:t>
      </w:r>
      <w:r>
        <w:rPr>
          <w:rFonts w:ascii="Arial" w:eastAsia="Arial" w:hAnsi="Arial" w:cs="Arial"/>
          <w:sz w:val="22"/>
          <w:szCs w:val="22"/>
        </w:rPr>
        <w:t>)</w:t>
      </w:r>
      <w:r w:rsidR="00F44422">
        <w:rPr>
          <w:rFonts w:ascii="Arial" w:eastAsia="Arial" w:hAnsi="Arial" w:cs="Arial"/>
          <w:sz w:val="22"/>
          <w:szCs w:val="22"/>
        </w:rPr>
        <w:t>.</w:t>
      </w:r>
      <w:r>
        <w:rPr>
          <w:rFonts w:ascii="Arial" w:eastAsia="Arial" w:hAnsi="Arial" w:cs="Arial"/>
          <w:sz w:val="22"/>
          <w:szCs w:val="22"/>
        </w:rPr>
        <w:t xml:space="preserve"> Translation of “The Black Women: a portrait.”</w:t>
      </w:r>
      <w:r>
        <w:rPr>
          <w:rFonts w:ascii="Arial" w:eastAsia="Arial" w:hAnsi="Arial" w:cs="Arial"/>
          <w:sz w:val="22"/>
          <w:szCs w:val="22"/>
        </w:rPr>
        <w:t xml:space="preserve"> Anthroscience. Website</w:t>
      </w:r>
      <w:r>
        <w:rPr>
          <w:rFonts w:ascii="Arial" w:eastAsia="Arial" w:hAnsi="Arial" w:cs="Arial"/>
          <w:sz w:val="22"/>
          <w:szCs w:val="22"/>
        </w:rPr>
        <w:t xml:space="preserve">: </w:t>
      </w:r>
      <w:hyperlink r:id="rId92">
        <w:r>
          <w:rPr>
            <w:rFonts w:ascii="Arial" w:eastAsia="Arial" w:hAnsi="Arial" w:cs="Arial"/>
            <w:color w:val="467886"/>
            <w:sz w:val="22"/>
            <w:szCs w:val="22"/>
            <w:u w:val="single"/>
          </w:rPr>
          <w:t>https://anthrosource.onlinelibrary.wiley.com/doi/abs/10.1002/fea2.12031</w:t>
        </w:r>
      </w:hyperlink>
      <w:r>
        <w:rPr>
          <w:rFonts w:ascii="Arial" w:eastAsia="Arial" w:hAnsi="Arial" w:cs="Arial"/>
          <w:sz w:val="22"/>
          <w:szCs w:val="22"/>
        </w:rPr>
        <w:t xml:space="preserve"> </w:t>
      </w:r>
    </w:p>
    <w:p w14:paraId="5390698D" w14:textId="05E813EC"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Gramsci, A.</w:t>
      </w:r>
      <w:r>
        <w:rPr>
          <w:rFonts w:ascii="Arial" w:eastAsia="Arial" w:hAnsi="Arial" w:cs="Arial"/>
          <w:color w:val="000000"/>
          <w:sz w:val="22"/>
          <w:szCs w:val="22"/>
        </w:rPr>
        <w:t xml:space="preserve"> (2011). </w:t>
      </w:r>
      <w:r>
        <w:rPr>
          <w:rFonts w:ascii="Arial" w:eastAsia="Arial" w:hAnsi="Arial" w:cs="Arial"/>
          <w:i/>
          <w:iCs/>
          <w:color w:val="000000"/>
          <w:sz w:val="22"/>
          <w:szCs w:val="22"/>
        </w:rPr>
        <w:t>Selections from the Prison Notebooks</w:t>
      </w:r>
      <w:r>
        <w:rPr>
          <w:rFonts w:ascii="Arial" w:eastAsia="Arial" w:hAnsi="Arial" w:cs="Arial"/>
          <w:color w:val="000000"/>
          <w:sz w:val="22"/>
          <w:szCs w:val="22"/>
        </w:rPr>
        <w:t>. New York: International Publishers.</w:t>
      </w:r>
    </w:p>
    <w:p w14:paraId="662E1891" w14:textId="77777777" w:rsidR="009F0C56" w:rsidRDefault="00653842">
      <w:pPr>
        <w:rPr>
          <w:rFonts w:ascii="Arial" w:eastAsia="Arial" w:hAnsi="Arial" w:cs="Arial"/>
          <w:color w:val="333333"/>
          <w:sz w:val="22"/>
          <w:szCs w:val="22"/>
          <w:highlight w:val="white"/>
        </w:rPr>
      </w:pPr>
      <w:r>
        <w:rPr>
          <w:rFonts w:ascii="Arial" w:eastAsia="Arial" w:hAnsi="Arial" w:cs="Arial"/>
          <w:color w:val="333333"/>
          <w:sz w:val="22"/>
          <w:szCs w:val="22"/>
          <w:highlight w:val="white"/>
        </w:rPr>
        <w:t>Graves, C. G., &amp; Spencer, L. G. (2022). Against Knowing: The Rhetorical Structure of Epistemic Violence. </w:t>
      </w:r>
      <w:r>
        <w:rPr>
          <w:rFonts w:ascii="Arial" w:eastAsia="Arial" w:hAnsi="Arial" w:cs="Arial"/>
          <w:i/>
          <w:iCs/>
          <w:color w:val="333333"/>
          <w:sz w:val="22"/>
          <w:szCs w:val="22"/>
          <w:highlight w:val="white"/>
        </w:rPr>
        <w:t>Southern Communication Journal</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87</w:t>
      </w:r>
      <w:r>
        <w:rPr>
          <w:rFonts w:ascii="Arial" w:eastAsia="Arial" w:hAnsi="Arial" w:cs="Arial"/>
          <w:color w:val="333333"/>
          <w:sz w:val="22"/>
          <w:szCs w:val="22"/>
          <w:highlight w:val="white"/>
        </w:rPr>
        <w:t xml:space="preserve">(5), 403–417. </w:t>
      </w:r>
      <w:hyperlink r:id="rId93">
        <w:r>
          <w:rPr>
            <w:rFonts w:ascii="Arial" w:eastAsia="Arial" w:hAnsi="Arial" w:cs="Arial"/>
            <w:color w:val="467886"/>
            <w:sz w:val="22"/>
            <w:szCs w:val="22"/>
            <w:highlight w:val="white"/>
            <w:u w:val="single"/>
          </w:rPr>
          <w:t>https://doi.org/10.1080/1041794X.2022.2101683</w:t>
        </w:r>
      </w:hyperlink>
      <w:r>
        <w:rPr>
          <w:rFonts w:ascii="Arial" w:eastAsia="Arial" w:hAnsi="Arial" w:cs="Arial"/>
          <w:color w:val="333333"/>
          <w:sz w:val="22"/>
          <w:szCs w:val="22"/>
          <w:highlight w:val="white"/>
        </w:rPr>
        <w:t xml:space="preserve"> </w:t>
      </w:r>
    </w:p>
    <w:p w14:paraId="1171646C" w14:textId="77777777" w:rsidR="009F0C56" w:rsidRDefault="00653842">
      <w:pPr>
        <w:rPr>
          <w:rFonts w:ascii="Arial" w:eastAsia="Arial" w:hAnsi="Arial" w:cs="Arial"/>
          <w:color w:val="333333"/>
          <w:sz w:val="22"/>
          <w:szCs w:val="22"/>
          <w:highlight w:val="white"/>
        </w:rPr>
      </w:pPr>
      <w:r>
        <w:rPr>
          <w:rFonts w:ascii="Arial" w:eastAsia="Arial" w:hAnsi="Arial" w:cs="Arial"/>
          <w:color w:val="333333"/>
          <w:sz w:val="22"/>
          <w:szCs w:val="22"/>
          <w:highlight w:val="white"/>
        </w:rPr>
        <w:t>Grimwood, B. S. R., Lee, E., &amp; Higgins-Desbiolles, F. (2024). Unsettling geographies of tourism. </w:t>
      </w:r>
      <w:r>
        <w:rPr>
          <w:rFonts w:ascii="Arial" w:eastAsia="Arial" w:hAnsi="Arial" w:cs="Arial"/>
          <w:i/>
          <w:iCs/>
          <w:color w:val="333333"/>
          <w:sz w:val="22"/>
          <w:szCs w:val="22"/>
          <w:highlight w:val="white"/>
        </w:rPr>
        <w:t>Tourism Geographies</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26</w:t>
      </w:r>
      <w:r>
        <w:rPr>
          <w:rFonts w:ascii="Arial" w:eastAsia="Arial" w:hAnsi="Arial" w:cs="Arial"/>
          <w:color w:val="333333"/>
          <w:sz w:val="22"/>
          <w:szCs w:val="22"/>
          <w:highlight w:val="white"/>
        </w:rPr>
        <w:t xml:space="preserve">(6), 899–916. </w:t>
      </w:r>
      <w:hyperlink r:id="rId94">
        <w:r>
          <w:rPr>
            <w:rFonts w:ascii="Arial" w:eastAsia="Arial" w:hAnsi="Arial" w:cs="Arial"/>
            <w:color w:val="467886"/>
            <w:sz w:val="22"/>
            <w:szCs w:val="22"/>
            <w:highlight w:val="white"/>
            <w:u w:val="single"/>
          </w:rPr>
          <w:t>https://doi.org/10.1080/14616688.2024.2402997</w:t>
        </w:r>
      </w:hyperlink>
      <w:r>
        <w:rPr>
          <w:rFonts w:ascii="Arial" w:eastAsia="Arial" w:hAnsi="Arial" w:cs="Arial"/>
          <w:color w:val="333333"/>
          <w:sz w:val="22"/>
          <w:szCs w:val="22"/>
          <w:highlight w:val="white"/>
        </w:rPr>
        <w:t xml:space="preserve"> </w:t>
      </w:r>
    </w:p>
    <w:p w14:paraId="46262C5F" w14:textId="77777777" w:rsidR="009F0C56" w:rsidRDefault="00653842">
      <w:pPr>
        <w:spacing w:line="259" w:lineRule="auto"/>
        <w:rPr>
          <w:rFonts w:ascii="Arial" w:eastAsia="Arial" w:hAnsi="Arial" w:cs="Arial"/>
          <w:sz w:val="22"/>
          <w:szCs w:val="22"/>
        </w:rPr>
      </w:pPr>
      <w:r>
        <w:rPr>
          <w:rFonts w:ascii="Arial" w:eastAsia="Arial" w:hAnsi="Arial" w:cs="Arial"/>
          <w:color w:val="333333"/>
          <w:sz w:val="22"/>
          <w:szCs w:val="22"/>
          <w:highlight w:val="white"/>
        </w:rPr>
        <w:lastRenderedPageBreak/>
        <w:t>Gritzas G, Kavoulakos KI. (2015) Diverse economies and alternative spaces: An overview of approaches and practices. </w:t>
      </w:r>
      <w:r>
        <w:rPr>
          <w:rFonts w:ascii="Arial" w:eastAsia="Arial" w:hAnsi="Arial" w:cs="Arial"/>
          <w:i/>
          <w:iCs/>
          <w:color w:val="333333"/>
          <w:sz w:val="22"/>
          <w:szCs w:val="22"/>
          <w:highlight w:val="white"/>
        </w:rPr>
        <w:t>European Urban and Regional Studies</w:t>
      </w:r>
      <w:r>
        <w:rPr>
          <w:rFonts w:ascii="Arial" w:eastAsia="Arial" w:hAnsi="Arial" w:cs="Arial"/>
          <w:color w:val="333333"/>
          <w:sz w:val="22"/>
          <w:szCs w:val="22"/>
          <w:highlight w:val="white"/>
        </w:rPr>
        <w:t>. 2016;23(4):917-934. doi:</w:t>
      </w:r>
      <w:hyperlink r:id="rId95">
        <w:r>
          <w:rPr>
            <w:rFonts w:ascii="Arial" w:eastAsia="Arial" w:hAnsi="Arial" w:cs="Arial"/>
            <w:color w:val="006ACC"/>
            <w:sz w:val="22"/>
            <w:szCs w:val="22"/>
            <w:highlight w:val="white"/>
            <w:u w:val="single"/>
          </w:rPr>
          <w:t>10.1177/0969776415573778</w:t>
        </w:r>
      </w:hyperlink>
      <w:r>
        <w:rPr>
          <w:rFonts w:ascii="Arial" w:eastAsia="Arial" w:hAnsi="Arial" w:cs="Arial"/>
          <w:sz w:val="22"/>
          <w:szCs w:val="22"/>
        </w:rPr>
        <w:t xml:space="preserve">  </w:t>
      </w:r>
    </w:p>
    <w:p w14:paraId="418107A3" w14:textId="77777777" w:rsidR="009F0C56" w:rsidRDefault="00653842">
      <w:pPr>
        <w:shd w:val="clear" w:color="auto" w:fill="FFFFFF"/>
        <w:spacing w:after="0" w:line="240" w:lineRule="auto"/>
        <w:rPr>
          <w:rFonts w:ascii="Arial" w:eastAsia="Arial" w:hAnsi="Arial" w:cs="Arial"/>
          <w:color w:val="333333"/>
          <w:sz w:val="22"/>
          <w:szCs w:val="22"/>
        </w:rPr>
      </w:pPr>
      <w:r>
        <w:rPr>
          <w:rFonts w:ascii="Arial" w:eastAsia="Arial" w:hAnsi="Arial" w:cs="Arial"/>
          <w:color w:val="333333"/>
          <w:sz w:val="22"/>
          <w:szCs w:val="22"/>
        </w:rPr>
        <w:t xml:space="preserve">Grosfoguel, Cervantes-Rodriquez. (2002). ‘The modern/colonial world-system in the twentieth century.’ Prager. USA, Westport.  </w:t>
      </w:r>
    </w:p>
    <w:p w14:paraId="0E0ECADD" w14:textId="77777777" w:rsidR="009F0C56" w:rsidRDefault="009F0C56">
      <w:pPr>
        <w:shd w:val="clear" w:color="auto" w:fill="FFFFFF"/>
        <w:spacing w:after="0" w:line="240" w:lineRule="auto"/>
        <w:rPr>
          <w:rFonts w:ascii="Arial" w:eastAsia="Arial" w:hAnsi="Arial" w:cs="Arial"/>
          <w:color w:val="333333"/>
          <w:sz w:val="22"/>
          <w:szCs w:val="22"/>
        </w:rPr>
      </w:pPr>
    </w:p>
    <w:p w14:paraId="6889412C" w14:textId="77777777" w:rsidR="009F0C56" w:rsidRDefault="00653842">
      <w:pPr>
        <w:shd w:val="clear" w:color="auto" w:fill="FFFFFF"/>
        <w:spacing w:after="280" w:line="240" w:lineRule="auto"/>
        <w:rPr>
          <w:rFonts w:ascii="Arial" w:eastAsia="Arial" w:hAnsi="Arial" w:cs="Arial"/>
          <w:sz w:val="22"/>
          <w:szCs w:val="22"/>
        </w:rPr>
      </w:pPr>
      <w:r>
        <w:rPr>
          <w:rFonts w:ascii="Arial" w:eastAsia="Arial" w:hAnsi="Arial" w:cs="Arial"/>
          <w:sz w:val="22"/>
          <w:szCs w:val="22"/>
        </w:rPr>
        <w:t>Grosfoguel, R. (2012). Decolonizing Western Uni-versalisms: Decolonial Pluri-versalism from Aimé Césaire to the Zapatistas. </w:t>
      </w:r>
      <w:r>
        <w:rPr>
          <w:rFonts w:ascii="Arial" w:eastAsia="Arial" w:hAnsi="Arial" w:cs="Arial"/>
          <w:i/>
          <w:iCs/>
          <w:sz w:val="22"/>
          <w:szCs w:val="22"/>
        </w:rPr>
        <w:t>TRANSMODERNITY: Journal of Peripheral Cultural Production of the Luso-Hispanic World</w:t>
      </w:r>
      <w:r>
        <w:rPr>
          <w:rFonts w:ascii="Arial" w:eastAsia="Arial" w:hAnsi="Arial" w:cs="Arial"/>
          <w:sz w:val="22"/>
          <w:szCs w:val="22"/>
        </w:rPr>
        <w:t xml:space="preserve">, 1(3). Accessed on: 05/05/2021 from </w:t>
      </w:r>
      <w:hyperlink r:id="rId96">
        <w:r>
          <w:rPr>
            <w:rFonts w:ascii="Arial" w:eastAsia="Arial" w:hAnsi="Arial" w:cs="Arial"/>
            <w:color w:val="467886"/>
            <w:sz w:val="22"/>
            <w:szCs w:val="22"/>
            <w:u w:val="single"/>
          </w:rPr>
          <w:t>https://escholarship.org/uc/item/01w7163v</w:t>
        </w:r>
      </w:hyperlink>
      <w:r>
        <w:rPr>
          <w:rFonts w:ascii="Arial" w:eastAsia="Arial" w:hAnsi="Arial" w:cs="Arial"/>
          <w:sz w:val="22"/>
          <w:szCs w:val="22"/>
        </w:rPr>
        <w:t xml:space="preserve"> </w:t>
      </w:r>
    </w:p>
    <w:p w14:paraId="74961A5C" w14:textId="7F310786"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Grosfoguel, R.</w:t>
      </w:r>
      <w:r>
        <w:rPr>
          <w:rFonts w:ascii="Arial" w:eastAsia="Arial" w:hAnsi="Arial" w:cs="Arial"/>
          <w:color w:val="000000"/>
          <w:sz w:val="22"/>
          <w:szCs w:val="22"/>
        </w:rPr>
        <w:t xml:space="preserve"> (2011). </w:t>
      </w:r>
      <w:r>
        <w:rPr>
          <w:rFonts w:ascii="Arial" w:eastAsia="Arial" w:hAnsi="Arial" w:cs="Arial"/>
          <w:i/>
          <w:iCs/>
          <w:color w:val="000000"/>
          <w:sz w:val="22"/>
          <w:szCs w:val="22"/>
        </w:rPr>
        <w:t>Decolonizing Post-Colonial Studies and Paradigms of Political-Economy: Transmodernity, Decolonial Thinking, and Global Coloniality</w:t>
      </w:r>
      <w:r>
        <w:rPr>
          <w:rFonts w:ascii="Arial" w:eastAsia="Arial" w:hAnsi="Arial" w:cs="Arial"/>
          <w:color w:val="000000"/>
          <w:sz w:val="22"/>
          <w:szCs w:val="22"/>
        </w:rPr>
        <w:t xml:space="preserve">. </w:t>
      </w:r>
      <w:r>
        <w:rPr>
          <w:rFonts w:ascii="Arial" w:eastAsia="Arial" w:hAnsi="Arial" w:cs="Arial"/>
          <w:i/>
          <w:iCs/>
          <w:color w:val="000000"/>
          <w:sz w:val="22"/>
          <w:szCs w:val="22"/>
        </w:rPr>
        <w:t>Transmodernity</w:t>
      </w:r>
      <w:r>
        <w:rPr>
          <w:rFonts w:ascii="Arial" w:eastAsia="Arial" w:hAnsi="Arial" w:cs="Arial"/>
          <w:color w:val="000000"/>
          <w:sz w:val="22"/>
          <w:szCs w:val="22"/>
        </w:rPr>
        <w:t>, 1(1), pp.1–38.</w:t>
      </w:r>
    </w:p>
    <w:p w14:paraId="3D7E3269" w14:textId="77777777" w:rsidR="009F0C56" w:rsidRDefault="00653842">
      <w:pPr>
        <w:shd w:val="clear" w:color="auto" w:fill="FFFFFF"/>
        <w:spacing w:after="280" w:line="240" w:lineRule="auto"/>
        <w:rPr>
          <w:rFonts w:ascii="Arial" w:eastAsia="Arial" w:hAnsi="Arial" w:cs="Arial"/>
          <w:color w:val="333333"/>
          <w:sz w:val="22"/>
          <w:szCs w:val="22"/>
          <w:u w:val="single"/>
        </w:rPr>
      </w:pPr>
      <w:r>
        <w:rPr>
          <w:rFonts w:ascii="Arial" w:eastAsia="Arial" w:hAnsi="Arial" w:cs="Arial"/>
          <w:color w:val="333333"/>
          <w:sz w:val="22"/>
          <w:szCs w:val="22"/>
        </w:rPr>
        <w:t>Grosfoguel, Ramón (2007) THE EPISTEMIC DECOLONIAL TURN, Cultural Studies, 21:2-3, 211-223, DOI: </w:t>
      </w:r>
      <w:hyperlink r:id="rId97">
        <w:r>
          <w:rPr>
            <w:rFonts w:ascii="Arial" w:eastAsia="Arial" w:hAnsi="Arial" w:cs="Arial"/>
            <w:color w:val="333333"/>
            <w:sz w:val="22"/>
            <w:szCs w:val="22"/>
            <w:u w:val="single"/>
          </w:rPr>
          <w:t>10.1080/09502380601162514</w:t>
        </w:r>
      </w:hyperlink>
      <w:r>
        <w:rPr>
          <w:rFonts w:ascii="Arial" w:eastAsia="Arial" w:hAnsi="Arial" w:cs="Arial"/>
          <w:sz w:val="22"/>
          <w:szCs w:val="22"/>
        </w:rPr>
        <w:t xml:space="preserve"> </w:t>
      </w:r>
    </w:p>
    <w:p w14:paraId="2D60AAB5" w14:textId="6094AB42"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Grunwald, M.</w:t>
      </w:r>
      <w:r>
        <w:rPr>
          <w:rFonts w:ascii="Arial" w:eastAsia="Arial" w:hAnsi="Arial" w:cs="Arial"/>
          <w:color w:val="000000"/>
          <w:sz w:val="22"/>
          <w:szCs w:val="22"/>
        </w:rPr>
        <w:t xml:space="preserve"> (2007). </w:t>
      </w:r>
      <w:r>
        <w:rPr>
          <w:rFonts w:ascii="Arial" w:eastAsia="Arial" w:hAnsi="Arial" w:cs="Arial"/>
          <w:i/>
          <w:iCs/>
          <w:color w:val="000000"/>
          <w:sz w:val="22"/>
          <w:szCs w:val="22"/>
        </w:rPr>
        <w:t>The Swamp: The Everglades, Florida, and the Politics of Paradise</w:t>
      </w:r>
      <w:r>
        <w:rPr>
          <w:rFonts w:ascii="Arial" w:eastAsia="Arial" w:hAnsi="Arial" w:cs="Arial"/>
          <w:color w:val="000000"/>
          <w:sz w:val="22"/>
          <w:szCs w:val="22"/>
        </w:rPr>
        <w:t>. New York: Simon &amp; Schuster.</w:t>
      </w:r>
    </w:p>
    <w:p w14:paraId="70819CF2" w14:textId="77777777" w:rsidR="009F0C56" w:rsidRDefault="00653842">
      <w:pPr>
        <w:rPr>
          <w:rFonts w:ascii="Arial" w:eastAsia="Arial" w:hAnsi="Arial" w:cs="Arial"/>
          <w:sz w:val="22"/>
          <w:szCs w:val="22"/>
        </w:rPr>
      </w:pPr>
      <w:r>
        <w:rPr>
          <w:rFonts w:ascii="Arial" w:eastAsia="Arial" w:hAnsi="Arial" w:cs="Arial"/>
          <w:sz w:val="22"/>
          <w:szCs w:val="22"/>
        </w:rPr>
        <w:t xml:space="preserve">Harris, E. (2009). Nationalism: Theories and Cases. Edinburgh. Edinburgh University Press. </w:t>
      </w:r>
    </w:p>
    <w:p w14:paraId="376EDCC9" w14:textId="475E91B6"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Harvey, D.</w:t>
      </w:r>
      <w:r>
        <w:rPr>
          <w:rFonts w:ascii="Arial" w:eastAsia="Arial" w:hAnsi="Arial" w:cs="Arial"/>
          <w:color w:val="000000"/>
          <w:sz w:val="22"/>
          <w:szCs w:val="22"/>
        </w:rPr>
        <w:t xml:space="preserve"> (2001). </w:t>
      </w:r>
      <w:r>
        <w:rPr>
          <w:rFonts w:ascii="Arial" w:eastAsia="Arial" w:hAnsi="Arial" w:cs="Arial"/>
          <w:i/>
          <w:iCs/>
          <w:color w:val="000000"/>
          <w:sz w:val="22"/>
          <w:szCs w:val="22"/>
        </w:rPr>
        <w:t>A Brief History of Neoliberalism</w:t>
      </w:r>
      <w:r>
        <w:rPr>
          <w:rFonts w:ascii="Arial" w:eastAsia="Arial" w:hAnsi="Arial" w:cs="Arial"/>
          <w:color w:val="000000"/>
          <w:sz w:val="22"/>
          <w:szCs w:val="22"/>
        </w:rPr>
        <w:t>. Oxford: Oxford University Press.</w:t>
      </w:r>
    </w:p>
    <w:p w14:paraId="3318E203" w14:textId="01FC3B68" w:rsidR="009F0C56" w:rsidRDefault="00653842">
      <w:pPr>
        <w:shd w:val="clear" w:color="auto" w:fill="FFFFFF"/>
        <w:spacing w:after="0" w:line="240" w:lineRule="auto"/>
        <w:rPr>
          <w:rFonts w:ascii="Arial" w:eastAsia="Arial" w:hAnsi="Arial" w:cs="Arial"/>
          <w:color w:val="1A1A1A"/>
          <w:sz w:val="22"/>
          <w:szCs w:val="22"/>
          <w:highlight w:val="white"/>
        </w:rPr>
      </w:pPr>
      <w:r>
        <w:rPr>
          <w:rFonts w:ascii="Arial" w:eastAsia="Arial" w:hAnsi="Arial" w:cs="Arial"/>
          <w:color w:val="1A1A1A"/>
          <w:sz w:val="22"/>
          <w:szCs w:val="22"/>
          <w:highlight w:val="white"/>
        </w:rPr>
        <w:t>Heidler, Jeanne T. and Heidler, David S</w:t>
      </w:r>
      <w:r w:rsidR="00F44422">
        <w:rPr>
          <w:rFonts w:ascii="Arial" w:eastAsia="Arial" w:hAnsi="Arial" w:cs="Arial"/>
          <w:color w:val="1A1A1A"/>
          <w:sz w:val="22"/>
          <w:szCs w:val="22"/>
          <w:highlight w:val="white"/>
        </w:rPr>
        <w:t>.</w:t>
      </w:r>
      <w:r>
        <w:rPr>
          <w:rFonts w:ascii="Arial" w:eastAsia="Arial" w:hAnsi="Arial" w:cs="Arial"/>
          <w:color w:val="1A1A1A"/>
          <w:sz w:val="22"/>
          <w:szCs w:val="22"/>
          <w:highlight w:val="white"/>
        </w:rPr>
        <w:t xml:space="preserve"> (2022) "Manifest Destiny". </w:t>
      </w:r>
      <w:r>
        <w:rPr>
          <w:rFonts w:ascii="Arial" w:eastAsia="Arial" w:hAnsi="Arial" w:cs="Arial"/>
          <w:i/>
          <w:iCs/>
          <w:color w:val="1A1A1A"/>
          <w:sz w:val="22"/>
          <w:szCs w:val="22"/>
          <w:highlight w:val="white"/>
        </w:rPr>
        <w:t>Encyclopedia Britannica</w:t>
      </w:r>
      <w:r>
        <w:rPr>
          <w:rFonts w:ascii="Arial" w:eastAsia="Arial" w:hAnsi="Arial" w:cs="Arial"/>
          <w:color w:val="1A1A1A"/>
          <w:sz w:val="22"/>
          <w:szCs w:val="22"/>
          <w:highlight w:val="white"/>
        </w:rPr>
        <w:t xml:space="preserve">, 5 Dec. (2022), </w:t>
      </w:r>
      <w:hyperlink r:id="rId98">
        <w:r>
          <w:rPr>
            <w:rFonts w:ascii="Arial" w:eastAsia="Arial" w:hAnsi="Arial" w:cs="Arial"/>
            <w:color w:val="467886"/>
            <w:sz w:val="22"/>
            <w:szCs w:val="22"/>
            <w:highlight w:val="white"/>
            <w:u w:val="single"/>
          </w:rPr>
          <w:t>https://www.britannica.com/event/Manifest-Destiny. Accessed 2 January 2023</w:t>
        </w:r>
      </w:hyperlink>
      <w:r>
        <w:rPr>
          <w:rFonts w:ascii="Arial" w:eastAsia="Arial" w:hAnsi="Arial" w:cs="Arial"/>
          <w:color w:val="1A1A1A"/>
          <w:sz w:val="22"/>
          <w:szCs w:val="22"/>
          <w:highlight w:val="white"/>
        </w:rPr>
        <w:t>.</w:t>
      </w:r>
    </w:p>
    <w:p w14:paraId="5CA36282" w14:textId="77777777" w:rsidR="009F0C56" w:rsidRDefault="009F0C56">
      <w:pPr>
        <w:shd w:val="clear" w:color="auto" w:fill="FFFFFF"/>
        <w:spacing w:after="0" w:line="240" w:lineRule="auto"/>
        <w:rPr>
          <w:rFonts w:ascii="Arial" w:eastAsia="Arial" w:hAnsi="Arial" w:cs="Arial"/>
          <w:color w:val="1A1A1A"/>
          <w:sz w:val="22"/>
          <w:szCs w:val="22"/>
          <w:highlight w:val="white"/>
        </w:rPr>
      </w:pPr>
    </w:p>
    <w:p w14:paraId="0306F1C4" w14:textId="77777777" w:rsidR="009F0C56" w:rsidRDefault="00653842">
      <w:pPr>
        <w:shd w:val="clear" w:color="auto" w:fill="FFFFFF"/>
        <w:spacing w:after="0" w:line="240" w:lineRule="auto"/>
        <w:rPr>
          <w:rFonts w:ascii="Arial" w:eastAsia="Arial" w:hAnsi="Arial" w:cs="Arial"/>
          <w:sz w:val="22"/>
          <w:szCs w:val="22"/>
          <w:highlight w:val="white"/>
        </w:rPr>
      </w:pPr>
      <w:r>
        <w:rPr>
          <w:rFonts w:ascii="Arial" w:eastAsia="Arial" w:hAnsi="Arial" w:cs="Arial"/>
          <w:sz w:val="22"/>
          <w:szCs w:val="22"/>
          <w:highlight w:val="white"/>
        </w:rPr>
        <w:t xml:space="preserve">Hard Rock Cafe (2025). “History in the making” HardRock Cafe. Available from: </w:t>
      </w:r>
      <w:hyperlink r:id="rId99">
        <w:r>
          <w:rPr>
            <w:rFonts w:ascii="Arial" w:eastAsia="Arial" w:hAnsi="Arial" w:cs="Arial"/>
            <w:b/>
            <w:bCs/>
            <w:sz w:val="22"/>
            <w:szCs w:val="22"/>
            <w:u w:val="single"/>
          </w:rPr>
          <w:t>https://www.hardrock.com/about-hard-rock</w:t>
        </w:r>
      </w:hyperlink>
    </w:p>
    <w:p w14:paraId="3C75AC31" w14:textId="77777777" w:rsidR="009F0C56" w:rsidRDefault="009F0C56">
      <w:pPr>
        <w:shd w:val="clear" w:color="auto" w:fill="FFFFFF"/>
        <w:spacing w:after="0" w:line="240" w:lineRule="auto"/>
        <w:rPr>
          <w:rFonts w:ascii="Arial" w:eastAsia="Arial" w:hAnsi="Arial" w:cs="Arial"/>
          <w:color w:val="1A1A1A"/>
          <w:sz w:val="22"/>
          <w:szCs w:val="22"/>
          <w:highlight w:val="white"/>
        </w:rPr>
      </w:pPr>
    </w:p>
    <w:p w14:paraId="095BB24B" w14:textId="77777777" w:rsidR="009F0C56" w:rsidRDefault="00653842">
      <w:pPr>
        <w:rPr>
          <w:rFonts w:ascii="Arial" w:eastAsia="Arial" w:hAnsi="Arial" w:cs="Arial"/>
          <w:color w:val="333333"/>
          <w:sz w:val="22"/>
          <w:szCs w:val="22"/>
          <w:highlight w:val="white"/>
        </w:rPr>
      </w:pPr>
      <w:r>
        <w:rPr>
          <w:rFonts w:ascii="Arial" w:eastAsia="Arial" w:hAnsi="Arial" w:cs="Arial"/>
          <w:color w:val="333333"/>
          <w:sz w:val="22"/>
          <w:szCs w:val="22"/>
          <w:highlight w:val="white"/>
        </w:rPr>
        <w:t>Held, M. B. E. (2019). Decolonizing Research Paradigms in the Context of Settler Colonialism: An Unsettling, Mutual, and Collaborative Effort. </w:t>
      </w:r>
      <w:r>
        <w:rPr>
          <w:rFonts w:ascii="Arial" w:eastAsia="Arial" w:hAnsi="Arial" w:cs="Arial"/>
          <w:i/>
          <w:iCs/>
          <w:color w:val="333333"/>
          <w:sz w:val="22"/>
          <w:szCs w:val="22"/>
          <w:highlight w:val="white"/>
        </w:rPr>
        <w:t>International Journal of Qualitative Methods</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18</w:t>
      </w:r>
      <w:r>
        <w:rPr>
          <w:rFonts w:ascii="Arial" w:eastAsia="Arial" w:hAnsi="Arial" w:cs="Arial"/>
          <w:color w:val="333333"/>
          <w:sz w:val="22"/>
          <w:szCs w:val="22"/>
          <w:highlight w:val="white"/>
        </w:rPr>
        <w:t>. </w:t>
      </w:r>
      <w:hyperlink r:id="rId100">
        <w:r>
          <w:rPr>
            <w:rFonts w:ascii="Arial" w:eastAsia="Arial" w:hAnsi="Arial" w:cs="Arial"/>
            <w:color w:val="046FF8"/>
            <w:sz w:val="22"/>
            <w:szCs w:val="22"/>
            <w:highlight w:val="white"/>
            <w:u w:val="single"/>
          </w:rPr>
          <w:t>https://doi.org/10.1177/1609406918821574</w:t>
        </w:r>
      </w:hyperlink>
      <w:r>
        <w:rPr>
          <w:rFonts w:ascii="Arial" w:eastAsia="Arial" w:hAnsi="Arial" w:cs="Arial"/>
          <w:color w:val="333333"/>
          <w:sz w:val="22"/>
          <w:szCs w:val="22"/>
          <w:highlight w:val="white"/>
        </w:rPr>
        <w:t> </w:t>
      </w:r>
    </w:p>
    <w:p w14:paraId="1DD38D3D" w14:textId="77777777"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 xml:space="preserve">Hobbes, T., 1985 [1651]. </w:t>
      </w:r>
      <w:r>
        <w:rPr>
          <w:rFonts w:ascii="Arial" w:eastAsia="Arial" w:hAnsi="Arial" w:cs="Arial"/>
          <w:i/>
          <w:iCs/>
          <w:color w:val="000000"/>
          <w:sz w:val="22"/>
          <w:szCs w:val="22"/>
        </w:rPr>
        <w:t>Leviathan</w:t>
      </w:r>
      <w:r>
        <w:rPr>
          <w:rFonts w:ascii="Arial" w:eastAsia="Arial" w:hAnsi="Arial" w:cs="Arial"/>
          <w:color w:val="000000"/>
          <w:sz w:val="22"/>
          <w:szCs w:val="22"/>
        </w:rPr>
        <w:t>. London: Penguin Classics.</w:t>
      </w:r>
    </w:p>
    <w:p w14:paraId="57DE1428" w14:textId="77777777" w:rsidR="009F0C56" w:rsidRDefault="00653842">
      <w:pPr>
        <w:rPr>
          <w:rFonts w:ascii="Arial" w:eastAsia="Arial" w:hAnsi="Arial" w:cs="Arial"/>
          <w:sz w:val="22"/>
          <w:szCs w:val="22"/>
        </w:rPr>
      </w:pPr>
      <w:r>
        <w:rPr>
          <w:rFonts w:ascii="Arial" w:eastAsia="Arial" w:hAnsi="Arial" w:cs="Arial"/>
          <w:sz w:val="22"/>
          <w:szCs w:val="22"/>
        </w:rPr>
        <w:t xml:space="preserve">Hobsbawm, E. (2018). The Invention of Tradition. Cambridge. Cambridge University Press. </w:t>
      </w:r>
    </w:p>
    <w:p w14:paraId="7DB828CE" w14:textId="2C242D96" w:rsidR="009F0C56" w:rsidRDefault="00653842">
      <w:pPr>
        <w:rPr>
          <w:rFonts w:ascii="Arial" w:eastAsia="Arial" w:hAnsi="Arial" w:cs="Arial"/>
          <w:sz w:val="22"/>
          <w:szCs w:val="22"/>
        </w:rPr>
      </w:pPr>
      <w:r>
        <w:rPr>
          <w:rFonts w:ascii="Arial" w:eastAsia="Arial" w:hAnsi="Arial" w:cs="Arial"/>
          <w:sz w:val="22"/>
          <w:szCs w:val="22"/>
        </w:rPr>
        <w:t>Holden, Andrew</w:t>
      </w:r>
      <w:r w:rsidR="00F44422">
        <w:rPr>
          <w:rFonts w:ascii="Arial" w:eastAsia="Arial" w:hAnsi="Arial" w:cs="Arial"/>
          <w:sz w:val="22"/>
          <w:szCs w:val="22"/>
        </w:rPr>
        <w:t>.</w:t>
      </w:r>
      <w:r>
        <w:rPr>
          <w:rFonts w:ascii="Arial" w:eastAsia="Arial" w:hAnsi="Arial" w:cs="Arial"/>
          <w:sz w:val="22"/>
          <w:szCs w:val="22"/>
        </w:rPr>
        <w:t xml:space="preserve"> (2003). “Environment and tourism.” Routledge. New York. </w:t>
      </w:r>
    </w:p>
    <w:p w14:paraId="1D0264B8" w14:textId="4B0301C9"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Hooks, B.</w:t>
      </w:r>
      <w:r>
        <w:rPr>
          <w:rFonts w:ascii="Arial" w:eastAsia="Arial" w:hAnsi="Arial" w:cs="Arial"/>
          <w:color w:val="000000"/>
          <w:sz w:val="22"/>
          <w:szCs w:val="22"/>
        </w:rPr>
        <w:t xml:space="preserve"> (1984). </w:t>
      </w:r>
      <w:r>
        <w:rPr>
          <w:rFonts w:ascii="Arial" w:eastAsia="Arial" w:hAnsi="Arial" w:cs="Arial"/>
          <w:i/>
          <w:iCs/>
          <w:color w:val="000000"/>
          <w:sz w:val="22"/>
          <w:szCs w:val="22"/>
        </w:rPr>
        <w:t>Feminist Theory: From Margin to Center</w:t>
      </w:r>
      <w:r>
        <w:rPr>
          <w:rFonts w:ascii="Arial" w:eastAsia="Arial" w:hAnsi="Arial" w:cs="Arial"/>
          <w:color w:val="000000"/>
          <w:sz w:val="22"/>
          <w:szCs w:val="22"/>
        </w:rPr>
        <w:t>. Boston: South End Press.</w:t>
      </w:r>
    </w:p>
    <w:p w14:paraId="7FDEA04F" w14:textId="77777777" w:rsidR="009F0C56" w:rsidRDefault="00653842">
      <w:pPr>
        <w:rPr>
          <w:rFonts w:ascii="Arial" w:eastAsia="Arial" w:hAnsi="Arial" w:cs="Arial"/>
          <w:color w:val="000000"/>
          <w:sz w:val="22"/>
          <w:szCs w:val="22"/>
          <w:highlight w:val="white"/>
        </w:rPr>
      </w:pPr>
      <w:r>
        <w:rPr>
          <w:rFonts w:ascii="Arial" w:eastAsia="Arial" w:hAnsi="Arial" w:cs="Arial"/>
          <w:color w:val="000000"/>
          <w:sz w:val="22"/>
          <w:szCs w:val="22"/>
          <w:highlight w:val="white"/>
        </w:rPr>
        <w:t>Horner, Bruce. (2002) “Critical Ethnography, Ethics, and Work: Rearticulating Labor.” </w:t>
      </w:r>
      <w:r>
        <w:rPr>
          <w:rFonts w:ascii="Arial" w:eastAsia="Arial" w:hAnsi="Arial" w:cs="Arial"/>
          <w:i/>
          <w:iCs/>
          <w:color w:val="000000"/>
          <w:sz w:val="22"/>
          <w:szCs w:val="22"/>
          <w:highlight w:val="white"/>
        </w:rPr>
        <w:t>JAC</w:t>
      </w:r>
      <w:r>
        <w:rPr>
          <w:rFonts w:ascii="Arial" w:eastAsia="Arial" w:hAnsi="Arial" w:cs="Arial"/>
          <w:color w:val="000000"/>
          <w:sz w:val="22"/>
          <w:szCs w:val="22"/>
          <w:highlight w:val="white"/>
        </w:rPr>
        <w:t>, vol. 22, no. 3, 2002, pp. 561–584. </w:t>
      </w:r>
      <w:r>
        <w:rPr>
          <w:rFonts w:ascii="Arial" w:eastAsia="Arial" w:hAnsi="Arial" w:cs="Arial"/>
          <w:i/>
          <w:iCs/>
          <w:color w:val="000000"/>
          <w:sz w:val="22"/>
          <w:szCs w:val="22"/>
          <w:highlight w:val="white"/>
        </w:rPr>
        <w:t>JSTOR</w:t>
      </w:r>
      <w:r>
        <w:rPr>
          <w:rFonts w:ascii="Arial" w:eastAsia="Arial" w:hAnsi="Arial" w:cs="Arial"/>
          <w:color w:val="000000"/>
          <w:sz w:val="22"/>
          <w:szCs w:val="22"/>
          <w:highlight w:val="white"/>
        </w:rPr>
        <w:t xml:space="preserve">, </w:t>
      </w:r>
      <w:hyperlink r:id="rId101">
        <w:r>
          <w:rPr>
            <w:rFonts w:ascii="Arial" w:eastAsia="Arial" w:hAnsi="Arial" w:cs="Arial"/>
            <w:color w:val="467886"/>
            <w:sz w:val="22"/>
            <w:szCs w:val="22"/>
            <w:highlight w:val="white"/>
            <w:u w:val="single"/>
          </w:rPr>
          <w:t>www.jstor.org/stable/20866510</w:t>
        </w:r>
      </w:hyperlink>
      <w:r>
        <w:rPr>
          <w:rFonts w:ascii="Arial" w:eastAsia="Arial" w:hAnsi="Arial" w:cs="Arial"/>
          <w:color w:val="000000"/>
          <w:sz w:val="22"/>
          <w:szCs w:val="22"/>
          <w:highlight w:val="white"/>
        </w:rPr>
        <w:t xml:space="preserve"> </w:t>
      </w:r>
    </w:p>
    <w:p w14:paraId="1AB9031E" w14:textId="77777777" w:rsidR="009F0C56" w:rsidRDefault="00653842">
      <w:pPr>
        <w:rPr>
          <w:rFonts w:ascii="Arial" w:eastAsia="Arial" w:hAnsi="Arial" w:cs="Arial"/>
          <w:color w:val="333333"/>
          <w:sz w:val="22"/>
          <w:szCs w:val="22"/>
          <w:highlight w:val="white"/>
        </w:rPr>
      </w:pPr>
      <w:r>
        <w:rPr>
          <w:rFonts w:ascii="Arial" w:eastAsia="Arial" w:hAnsi="Arial" w:cs="Arial"/>
          <w:color w:val="333333"/>
          <w:sz w:val="22"/>
          <w:szCs w:val="22"/>
          <w:highlight w:val="white"/>
        </w:rPr>
        <w:t>Huff, S., Rudman, D. L., Magalhães, L., Lawson, E., &amp; Kanyamala, M. (2022). Enacting a critical decolonizing ethnographic approach in occupation-based research. </w:t>
      </w:r>
      <w:r>
        <w:rPr>
          <w:rFonts w:ascii="Arial" w:eastAsia="Arial" w:hAnsi="Arial" w:cs="Arial"/>
          <w:i/>
          <w:iCs/>
          <w:color w:val="333333"/>
          <w:sz w:val="22"/>
          <w:szCs w:val="22"/>
          <w:highlight w:val="white"/>
        </w:rPr>
        <w:t>Journal of Occupational Science</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29</w:t>
      </w:r>
      <w:r>
        <w:rPr>
          <w:rFonts w:ascii="Arial" w:eastAsia="Arial" w:hAnsi="Arial" w:cs="Arial"/>
          <w:color w:val="333333"/>
          <w:sz w:val="22"/>
          <w:szCs w:val="22"/>
          <w:highlight w:val="white"/>
        </w:rPr>
        <w:t xml:space="preserve">(1), 115–129. </w:t>
      </w:r>
      <w:hyperlink r:id="rId102">
        <w:r>
          <w:rPr>
            <w:rFonts w:ascii="Arial" w:eastAsia="Arial" w:hAnsi="Arial" w:cs="Arial"/>
            <w:color w:val="467886"/>
            <w:sz w:val="22"/>
            <w:szCs w:val="22"/>
            <w:highlight w:val="white"/>
            <w:u w:val="single"/>
          </w:rPr>
          <w:t>https://doi.org/10.1080/14427591.2020.1824803</w:t>
        </w:r>
      </w:hyperlink>
    </w:p>
    <w:p w14:paraId="46B958A9" w14:textId="7129B586" w:rsidR="009F0C56" w:rsidRDefault="00653842">
      <w:pPr>
        <w:rPr>
          <w:rFonts w:ascii="Arial" w:eastAsia="Arial" w:hAnsi="Arial" w:cs="Arial"/>
          <w:sz w:val="22"/>
          <w:szCs w:val="22"/>
        </w:rPr>
      </w:pPr>
      <w:r>
        <w:rPr>
          <w:rFonts w:ascii="Arial" w:eastAsia="Arial" w:hAnsi="Arial" w:cs="Arial"/>
          <w:color w:val="1C1D1E"/>
          <w:sz w:val="22"/>
          <w:szCs w:val="22"/>
          <w:highlight w:val="white"/>
        </w:rPr>
        <w:t>Hugill</w:t>
      </w:r>
      <w:r w:rsidR="00F44422">
        <w:rPr>
          <w:rFonts w:ascii="Arial" w:eastAsia="Arial" w:hAnsi="Arial" w:cs="Arial"/>
          <w:color w:val="1C1D1E"/>
          <w:sz w:val="22"/>
          <w:szCs w:val="22"/>
          <w:highlight w:val="white"/>
        </w:rPr>
        <w:t>,</w:t>
      </w:r>
      <w:r>
        <w:rPr>
          <w:rFonts w:ascii="Arial" w:eastAsia="Arial" w:hAnsi="Arial" w:cs="Arial"/>
          <w:color w:val="1C1D1E"/>
          <w:sz w:val="22"/>
          <w:szCs w:val="22"/>
          <w:highlight w:val="white"/>
        </w:rPr>
        <w:t> D. (2017)</w:t>
      </w:r>
      <w:r w:rsidR="00F44422">
        <w:rPr>
          <w:rFonts w:ascii="Arial" w:eastAsia="Arial" w:hAnsi="Arial" w:cs="Arial"/>
          <w:color w:val="1C1D1E"/>
          <w:sz w:val="22"/>
          <w:szCs w:val="22"/>
          <w:highlight w:val="white"/>
        </w:rPr>
        <w:t>.</w:t>
      </w:r>
      <w:r>
        <w:rPr>
          <w:rFonts w:ascii="Arial" w:eastAsia="Arial" w:hAnsi="Arial" w:cs="Arial"/>
          <w:color w:val="1C1D1E"/>
          <w:sz w:val="22"/>
          <w:szCs w:val="22"/>
          <w:highlight w:val="white"/>
        </w:rPr>
        <w:t xml:space="preserve"> What is a settler-colonial city?. </w:t>
      </w:r>
      <w:r>
        <w:rPr>
          <w:rFonts w:ascii="Arial" w:eastAsia="Arial" w:hAnsi="Arial" w:cs="Arial"/>
          <w:i/>
          <w:iCs/>
          <w:color w:val="1C1D1E"/>
          <w:sz w:val="22"/>
          <w:szCs w:val="22"/>
          <w:highlight w:val="white"/>
        </w:rPr>
        <w:t>Geography Compass</w:t>
      </w:r>
      <w:r>
        <w:rPr>
          <w:rFonts w:ascii="Arial" w:eastAsia="Arial" w:hAnsi="Arial" w:cs="Arial"/>
          <w:color w:val="1C1D1E"/>
          <w:sz w:val="22"/>
          <w:szCs w:val="22"/>
          <w:highlight w:val="white"/>
        </w:rPr>
        <w:t>; 11:e12315 </w:t>
      </w:r>
      <w:hyperlink r:id="rId103">
        <w:r>
          <w:rPr>
            <w:rFonts w:ascii="Arial" w:eastAsia="Arial" w:hAnsi="Arial" w:cs="Arial"/>
            <w:b/>
            <w:bCs/>
            <w:color w:val="005274"/>
            <w:sz w:val="22"/>
            <w:szCs w:val="22"/>
            <w:highlight w:val="white"/>
            <w:u w:val="single"/>
          </w:rPr>
          <w:t>https://doi.org/10.1111/gec3.12315</w:t>
        </w:r>
      </w:hyperlink>
    </w:p>
    <w:p w14:paraId="4F8B1F2A" w14:textId="77777777" w:rsidR="009F0C56" w:rsidRDefault="00653842">
      <w:pPr>
        <w:spacing w:after="0" w:line="240" w:lineRule="auto"/>
        <w:rPr>
          <w:rFonts w:ascii="Arial" w:eastAsia="Arial" w:hAnsi="Arial" w:cs="Arial"/>
          <w:sz w:val="22"/>
          <w:szCs w:val="22"/>
        </w:rPr>
      </w:pPr>
      <w:r>
        <w:rPr>
          <w:rFonts w:ascii="Arial" w:eastAsia="Arial" w:hAnsi="Arial" w:cs="Arial"/>
          <w:sz w:val="22"/>
          <w:szCs w:val="22"/>
        </w:rPr>
        <w:lastRenderedPageBreak/>
        <w:t xml:space="preserve">Hunt, S. (2013). Ontologies of Indigeneity: the politics of embodying a concept. </w:t>
      </w:r>
      <w:r>
        <w:rPr>
          <w:rFonts w:ascii="Arial" w:eastAsia="Arial" w:hAnsi="Arial" w:cs="Arial"/>
          <w:i/>
          <w:iCs/>
          <w:sz w:val="22"/>
          <w:szCs w:val="22"/>
        </w:rPr>
        <w:t>Cultural Geographies</w:t>
      </w:r>
      <w:r>
        <w:rPr>
          <w:rFonts w:ascii="Arial" w:eastAsia="Arial" w:hAnsi="Arial" w:cs="Arial"/>
          <w:sz w:val="22"/>
          <w:szCs w:val="22"/>
        </w:rPr>
        <w:t xml:space="preserve">, </w:t>
      </w:r>
      <w:r>
        <w:rPr>
          <w:rFonts w:ascii="Arial" w:eastAsia="Arial" w:hAnsi="Arial" w:cs="Arial"/>
          <w:i/>
          <w:iCs/>
          <w:sz w:val="22"/>
          <w:szCs w:val="22"/>
        </w:rPr>
        <w:t>21</w:t>
      </w:r>
      <w:r>
        <w:rPr>
          <w:rFonts w:ascii="Arial" w:eastAsia="Arial" w:hAnsi="Arial" w:cs="Arial"/>
          <w:sz w:val="22"/>
          <w:szCs w:val="22"/>
        </w:rPr>
        <w:t xml:space="preserve">(1), 27-32. </w:t>
      </w:r>
      <w:hyperlink r:id="rId104">
        <w:r>
          <w:rPr>
            <w:rFonts w:ascii="Arial" w:eastAsia="Arial" w:hAnsi="Arial" w:cs="Arial"/>
            <w:color w:val="0000FF"/>
            <w:sz w:val="22"/>
            <w:szCs w:val="22"/>
            <w:u w:val="single"/>
          </w:rPr>
          <w:t>https://doi.org/10.1177/1474474013500226</w:t>
        </w:r>
      </w:hyperlink>
      <w:r>
        <w:rPr>
          <w:rFonts w:ascii="Arial" w:eastAsia="Arial" w:hAnsi="Arial" w:cs="Arial"/>
          <w:sz w:val="22"/>
          <w:szCs w:val="22"/>
        </w:rPr>
        <w:t xml:space="preserve"> (Original work published 2014)</w:t>
      </w:r>
    </w:p>
    <w:p w14:paraId="27376AF2" w14:textId="77777777" w:rsidR="009F0C56" w:rsidRDefault="009F0C56">
      <w:pPr>
        <w:rPr>
          <w:rFonts w:ascii="Arial" w:eastAsia="Arial" w:hAnsi="Arial" w:cs="Arial"/>
          <w:color w:val="222222"/>
          <w:sz w:val="22"/>
          <w:szCs w:val="22"/>
          <w:highlight w:val="white"/>
        </w:rPr>
      </w:pPr>
    </w:p>
    <w:p w14:paraId="140E93D8" w14:textId="77777777" w:rsidR="009F0C56" w:rsidRDefault="00653842">
      <w:pPr>
        <w:rPr>
          <w:rFonts w:ascii="Arial" w:eastAsia="Arial" w:hAnsi="Arial" w:cs="Arial"/>
          <w:color w:val="222222"/>
          <w:sz w:val="22"/>
          <w:szCs w:val="22"/>
          <w:highlight w:val="white"/>
        </w:rPr>
      </w:pPr>
      <w:r>
        <w:rPr>
          <w:rFonts w:ascii="Arial" w:eastAsia="Arial" w:hAnsi="Arial" w:cs="Arial"/>
          <w:color w:val="222222"/>
          <w:sz w:val="22"/>
          <w:szCs w:val="22"/>
          <w:highlight w:val="white"/>
        </w:rPr>
        <w:t>Ibarrola, M.E. (2022) Negotiating Freedom in Florida: A Study of Ethnogenesis and Resistance at Three Nineteenth-Century Florida Sites. </w:t>
      </w:r>
      <w:r>
        <w:rPr>
          <w:rFonts w:ascii="Arial" w:eastAsia="Arial" w:hAnsi="Arial" w:cs="Arial"/>
          <w:i/>
          <w:iCs/>
          <w:color w:val="222222"/>
          <w:sz w:val="22"/>
          <w:szCs w:val="22"/>
          <w:highlight w:val="white"/>
        </w:rPr>
        <w:t>Int J Histor Archaeol</w:t>
      </w:r>
      <w:r>
        <w:rPr>
          <w:rFonts w:ascii="Arial" w:eastAsia="Arial" w:hAnsi="Arial" w:cs="Arial"/>
          <w:color w:val="222222"/>
          <w:sz w:val="22"/>
          <w:szCs w:val="22"/>
          <w:highlight w:val="white"/>
        </w:rPr>
        <w:t> </w:t>
      </w:r>
      <w:r>
        <w:rPr>
          <w:rFonts w:ascii="Arial" w:eastAsia="Arial" w:hAnsi="Arial" w:cs="Arial"/>
          <w:b/>
          <w:bCs/>
          <w:color w:val="222222"/>
          <w:sz w:val="22"/>
          <w:szCs w:val="22"/>
          <w:highlight w:val="white"/>
        </w:rPr>
        <w:t>26</w:t>
      </w:r>
      <w:r>
        <w:rPr>
          <w:rFonts w:ascii="Arial" w:eastAsia="Arial" w:hAnsi="Arial" w:cs="Arial"/>
          <w:color w:val="222222"/>
          <w:sz w:val="22"/>
          <w:szCs w:val="22"/>
          <w:highlight w:val="white"/>
        </w:rPr>
        <w:t xml:space="preserve">, 647–714. </w:t>
      </w:r>
      <w:hyperlink r:id="rId105">
        <w:r>
          <w:rPr>
            <w:rFonts w:ascii="Arial" w:eastAsia="Arial" w:hAnsi="Arial" w:cs="Arial"/>
            <w:color w:val="467886"/>
            <w:sz w:val="22"/>
            <w:szCs w:val="22"/>
            <w:highlight w:val="white"/>
            <w:u w:val="single"/>
          </w:rPr>
          <w:t>https://doi.org/10.1007/s10761-021-00618-3</w:t>
        </w:r>
      </w:hyperlink>
    </w:p>
    <w:p w14:paraId="0E4A755A" w14:textId="7D5D195C" w:rsidR="009F0C56" w:rsidRDefault="00653842">
      <w:pPr>
        <w:rPr>
          <w:rFonts w:ascii="Arial" w:eastAsia="Arial" w:hAnsi="Arial" w:cs="Arial"/>
          <w:sz w:val="22"/>
          <w:szCs w:val="22"/>
        </w:rPr>
      </w:pPr>
      <w:r>
        <w:rPr>
          <w:rFonts w:ascii="Arial" w:eastAsia="Arial" w:hAnsi="Arial" w:cs="Arial"/>
          <w:sz w:val="22"/>
          <w:szCs w:val="22"/>
        </w:rPr>
        <w:t>Imbaya, R.W.</w:t>
      </w:r>
      <w:r w:rsidR="00F44422">
        <w:rPr>
          <w:rFonts w:ascii="Arial" w:eastAsia="Arial" w:hAnsi="Arial" w:cs="Arial"/>
          <w:sz w:val="22"/>
          <w:szCs w:val="22"/>
        </w:rPr>
        <w:t>,</w:t>
      </w:r>
      <w:r>
        <w:rPr>
          <w:rFonts w:ascii="Arial" w:eastAsia="Arial" w:hAnsi="Arial" w:cs="Arial"/>
          <w:sz w:val="22"/>
          <w:szCs w:val="22"/>
        </w:rPr>
        <w:t xml:space="preserve"> Nthiga, N.W. Sitati, P. Lenaiyasa. (2019). Capacity building for inclusive growth in community-based tourism initiatives in Kenya. Tourism Management Perspectives, Volume 30, 2019,</w:t>
      </w:r>
      <w:r w:rsidR="00F44422">
        <w:rPr>
          <w:rFonts w:ascii="Arial" w:eastAsia="Arial" w:hAnsi="Arial" w:cs="Arial"/>
          <w:sz w:val="22"/>
          <w:szCs w:val="22"/>
        </w:rPr>
        <w:t xml:space="preserve"> </w:t>
      </w:r>
      <w:r>
        <w:rPr>
          <w:rFonts w:ascii="Arial" w:eastAsia="Arial" w:hAnsi="Arial" w:cs="Arial"/>
          <w:sz w:val="22"/>
          <w:szCs w:val="22"/>
        </w:rPr>
        <w:t xml:space="preserve">Pages 11-18, ISSN 2211-9736, https://doi.org/10.1016/j.tmp.2019.01.003. </w:t>
      </w:r>
      <w:hyperlink r:id="rId106">
        <w:r>
          <w:rPr>
            <w:rFonts w:ascii="Arial" w:eastAsia="Arial" w:hAnsi="Arial" w:cs="Arial"/>
            <w:color w:val="467886"/>
            <w:sz w:val="22"/>
            <w:szCs w:val="22"/>
            <w:u w:val="single"/>
          </w:rPr>
          <w:t>https://www.sciencedirect.com/science/article/pii/S2211973619300042</w:t>
        </w:r>
      </w:hyperlink>
      <w:r>
        <w:rPr>
          <w:rFonts w:ascii="Arial" w:eastAsia="Arial" w:hAnsi="Arial" w:cs="Arial"/>
          <w:sz w:val="22"/>
          <w:szCs w:val="22"/>
        </w:rPr>
        <w:t xml:space="preserve"> </w:t>
      </w:r>
    </w:p>
    <w:p w14:paraId="5984B3CB" w14:textId="77777777" w:rsidR="009F0C56" w:rsidRDefault="00653842">
      <w:pPr>
        <w:rPr>
          <w:rFonts w:ascii="Arial" w:eastAsia="Arial" w:hAnsi="Arial" w:cs="Arial"/>
          <w:color w:val="000000"/>
          <w:sz w:val="22"/>
          <w:szCs w:val="22"/>
          <w:highlight w:val="white"/>
        </w:rPr>
      </w:pPr>
      <w:r>
        <w:rPr>
          <w:rFonts w:ascii="Arial" w:eastAsia="Arial" w:hAnsi="Arial" w:cs="Arial"/>
          <w:color w:val="000000"/>
          <w:sz w:val="22"/>
          <w:szCs w:val="22"/>
          <w:highlight w:val="white"/>
        </w:rPr>
        <w:t>Iyengar, Malathi Michelle (2014) </w:t>
      </w:r>
      <w:r>
        <w:rPr>
          <w:rFonts w:ascii="Arial" w:eastAsia="Arial" w:hAnsi="Arial" w:cs="Arial"/>
          <w:i/>
          <w:iCs/>
          <w:color w:val="000000"/>
          <w:sz w:val="22"/>
          <w:szCs w:val="22"/>
          <w:highlight w:val="white"/>
        </w:rPr>
        <w:t>Not mere abstractions: Language policies and language ideologies in U.S. settler colonialism.</w:t>
      </w:r>
      <w:r>
        <w:rPr>
          <w:rFonts w:ascii="Arial" w:eastAsia="Arial" w:hAnsi="Arial" w:cs="Arial"/>
          <w:color w:val="000000"/>
          <w:sz w:val="22"/>
          <w:szCs w:val="22"/>
          <w:highlight w:val="white"/>
        </w:rPr>
        <w:t xml:space="preserve"> Decolonization: Indigeneity, Education &amp; Society, 3 (2). pp. 33-59. </w:t>
      </w:r>
      <w:hyperlink r:id="rId107">
        <w:r>
          <w:rPr>
            <w:rFonts w:ascii="Arial" w:eastAsia="Arial" w:hAnsi="Arial" w:cs="Arial"/>
            <w:color w:val="467886"/>
            <w:sz w:val="22"/>
            <w:szCs w:val="22"/>
            <w:highlight w:val="white"/>
            <w:u w:val="single"/>
          </w:rPr>
          <w:t>https://ikdll.nau.edu/id/eprint/65/</w:t>
        </w:r>
      </w:hyperlink>
      <w:r>
        <w:rPr>
          <w:rFonts w:ascii="Arial" w:eastAsia="Arial" w:hAnsi="Arial" w:cs="Arial"/>
          <w:color w:val="000000"/>
          <w:sz w:val="22"/>
          <w:szCs w:val="22"/>
          <w:highlight w:val="white"/>
        </w:rPr>
        <w:t xml:space="preserve"> </w:t>
      </w:r>
    </w:p>
    <w:p w14:paraId="52F25221" w14:textId="77777777" w:rsidR="009F0C56" w:rsidRDefault="00653842">
      <w:pPr>
        <w:spacing w:line="259" w:lineRule="auto"/>
        <w:rPr>
          <w:rFonts w:ascii="Arial" w:eastAsia="Arial" w:hAnsi="Arial" w:cs="Arial"/>
          <w:sz w:val="22"/>
          <w:szCs w:val="22"/>
        </w:rPr>
      </w:pPr>
      <w:r>
        <w:rPr>
          <w:rFonts w:ascii="Arial" w:eastAsia="Arial" w:hAnsi="Arial" w:cs="Arial"/>
          <w:sz w:val="22"/>
          <w:szCs w:val="22"/>
        </w:rPr>
        <w:t xml:space="preserve">Jenny Cave &amp; Dianne Dredge (2018) Reworking Tourism: Diverse Economies in a Changing World, Tourism Planning &amp; Development, 15:5, 473-477, DOI: 10.1080/21568316.2018.1510659 </w:t>
      </w:r>
    </w:p>
    <w:p w14:paraId="35459E98" w14:textId="77777777" w:rsidR="009F0C56" w:rsidRDefault="00653842">
      <w:pPr>
        <w:rPr>
          <w:rFonts w:ascii="Arial" w:eastAsia="Arial" w:hAnsi="Arial" w:cs="Arial"/>
          <w:color w:val="000000"/>
          <w:sz w:val="22"/>
          <w:szCs w:val="22"/>
          <w:highlight w:val="white"/>
        </w:rPr>
      </w:pPr>
      <w:r>
        <w:rPr>
          <w:rFonts w:ascii="Arial" w:eastAsia="Arial" w:hAnsi="Arial" w:cs="Arial"/>
          <w:color w:val="000000"/>
          <w:sz w:val="22"/>
          <w:szCs w:val="22"/>
          <w:highlight w:val="white"/>
        </w:rPr>
        <w:t>Jenny Cave &amp; Dianne Dredge (2020) Regenerative tourism needs diverse economic practices, Tourism Geographies, 22:3, 503-513, DOI: </w:t>
      </w:r>
      <w:hyperlink r:id="rId108">
        <w:r>
          <w:rPr>
            <w:rFonts w:ascii="Arial" w:eastAsia="Arial" w:hAnsi="Arial" w:cs="Arial"/>
            <w:color w:val="000000"/>
            <w:sz w:val="22"/>
            <w:szCs w:val="22"/>
            <w:highlight w:val="white"/>
            <w:u w:val="single"/>
          </w:rPr>
          <w:t>10.1080/14616688.2020.1768434</w:t>
        </w:r>
      </w:hyperlink>
    </w:p>
    <w:p w14:paraId="4AE2088E" w14:textId="32CEECC9" w:rsidR="009F0C56" w:rsidRDefault="00653842">
      <w:pPr>
        <w:rPr>
          <w:rFonts w:ascii="Arial" w:eastAsia="Arial" w:hAnsi="Arial" w:cs="Arial"/>
          <w:b/>
          <w:bCs/>
          <w:color w:val="123D80"/>
          <w:sz w:val="22"/>
          <w:szCs w:val="22"/>
          <w:u w:val="single"/>
        </w:rPr>
      </w:pPr>
      <w:r>
        <w:rPr>
          <w:rFonts w:ascii="Arial" w:eastAsia="Arial" w:hAnsi="Arial" w:cs="Arial"/>
          <w:color w:val="222222"/>
          <w:sz w:val="22"/>
          <w:szCs w:val="22"/>
          <w:highlight w:val="white"/>
        </w:rPr>
        <w:t>Jessen, T. D., Ban, N. C., Claxton, N. X.</w:t>
      </w:r>
      <w:r w:rsidR="00F44422">
        <w:rPr>
          <w:rFonts w:ascii="Arial" w:eastAsia="Arial" w:hAnsi="Arial" w:cs="Arial"/>
          <w:color w:val="222222"/>
          <w:sz w:val="22"/>
          <w:szCs w:val="22"/>
          <w:highlight w:val="white"/>
        </w:rPr>
        <w:t>,</w:t>
      </w:r>
      <w:r>
        <w:rPr>
          <w:rFonts w:ascii="Arial" w:eastAsia="Arial" w:hAnsi="Arial" w:cs="Arial"/>
          <w:color w:val="222222"/>
          <w:sz w:val="22"/>
          <w:szCs w:val="22"/>
          <w:highlight w:val="white"/>
        </w:rPr>
        <w:t xml:space="preserve"> &amp; Darimont, C. T. (2022)</w:t>
      </w:r>
      <w:r w:rsidR="00F44422">
        <w:rPr>
          <w:rFonts w:ascii="Arial" w:eastAsia="Arial" w:hAnsi="Arial" w:cs="Arial"/>
          <w:color w:val="222222"/>
          <w:sz w:val="22"/>
          <w:szCs w:val="22"/>
          <w:highlight w:val="white"/>
        </w:rPr>
        <w:t>.</w:t>
      </w:r>
      <w:r>
        <w:rPr>
          <w:rFonts w:ascii="Arial" w:eastAsia="Arial" w:hAnsi="Arial" w:cs="Arial"/>
          <w:color w:val="222222"/>
          <w:sz w:val="22"/>
          <w:szCs w:val="22"/>
          <w:highlight w:val="white"/>
        </w:rPr>
        <w:t xml:space="preserve"> Contributions of Indigenous Knowledge to ecological and evolutionary understanding. </w:t>
      </w:r>
      <w:r>
        <w:rPr>
          <w:rFonts w:ascii="Arial" w:eastAsia="Arial" w:hAnsi="Arial" w:cs="Arial"/>
          <w:i/>
          <w:iCs/>
          <w:color w:val="222222"/>
          <w:sz w:val="22"/>
          <w:szCs w:val="22"/>
          <w:highlight w:val="white"/>
        </w:rPr>
        <w:t>Front Ecol. Environ.</w:t>
      </w:r>
      <w:r>
        <w:rPr>
          <w:rFonts w:ascii="Arial" w:eastAsia="Arial" w:hAnsi="Arial" w:cs="Arial"/>
          <w:color w:val="222222"/>
          <w:sz w:val="22"/>
          <w:szCs w:val="22"/>
          <w:highlight w:val="white"/>
        </w:rPr>
        <w:t> </w:t>
      </w:r>
      <w:r>
        <w:rPr>
          <w:rFonts w:ascii="Arial" w:eastAsia="Arial" w:hAnsi="Arial" w:cs="Arial"/>
          <w:b/>
          <w:bCs/>
          <w:color w:val="222222"/>
          <w:sz w:val="22"/>
          <w:szCs w:val="22"/>
          <w:highlight w:val="white"/>
        </w:rPr>
        <w:t>20</w:t>
      </w:r>
      <w:r>
        <w:rPr>
          <w:rFonts w:ascii="Arial" w:eastAsia="Arial" w:hAnsi="Arial" w:cs="Arial"/>
          <w:color w:val="222222"/>
          <w:sz w:val="22"/>
          <w:szCs w:val="22"/>
          <w:highlight w:val="white"/>
        </w:rPr>
        <w:t xml:space="preserve">, 93–101.  </w:t>
      </w:r>
      <w:r>
        <w:rPr>
          <w:rFonts w:ascii="Arial" w:eastAsia="Arial" w:hAnsi="Arial" w:cs="Arial"/>
          <w:color w:val="767676"/>
          <w:sz w:val="22"/>
          <w:szCs w:val="22"/>
          <w:highlight w:val="white"/>
        </w:rPr>
        <w:t> </w:t>
      </w:r>
      <w:hyperlink r:id="rId109">
        <w:r>
          <w:rPr>
            <w:rFonts w:ascii="Arial" w:eastAsia="Arial" w:hAnsi="Arial" w:cs="Arial"/>
            <w:b/>
            <w:bCs/>
            <w:color w:val="467886"/>
            <w:sz w:val="22"/>
            <w:szCs w:val="22"/>
            <w:u w:val="single"/>
          </w:rPr>
          <w:t>https://doi.org/10.1002/fee.2435</w:t>
        </w:r>
      </w:hyperlink>
      <w:r>
        <w:rPr>
          <w:rFonts w:ascii="Arial" w:eastAsia="Arial" w:hAnsi="Arial" w:cs="Arial"/>
          <w:b/>
          <w:bCs/>
          <w:color w:val="123D80"/>
          <w:sz w:val="22"/>
          <w:szCs w:val="22"/>
          <w:u w:val="single"/>
        </w:rPr>
        <w:t xml:space="preserve"> </w:t>
      </w:r>
    </w:p>
    <w:p w14:paraId="5C6F1988" w14:textId="77777777"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 xml:space="preserve">Jojola, T., (2014). </w:t>
      </w:r>
      <w:r>
        <w:rPr>
          <w:rFonts w:ascii="Arial" w:eastAsia="Arial" w:hAnsi="Arial" w:cs="Arial"/>
          <w:i/>
          <w:iCs/>
          <w:color w:val="000000"/>
          <w:sz w:val="22"/>
          <w:szCs w:val="22"/>
        </w:rPr>
        <w:t>Indigenous Planning: Towards a Seven Generations Model</w:t>
      </w:r>
      <w:r>
        <w:rPr>
          <w:rFonts w:ascii="Arial" w:eastAsia="Arial" w:hAnsi="Arial" w:cs="Arial"/>
          <w:color w:val="000000"/>
          <w:sz w:val="22"/>
          <w:szCs w:val="22"/>
        </w:rPr>
        <w:t xml:space="preserve">. In: R. Walker, T. Jojola and D. Natcher, eds. </w:t>
      </w:r>
      <w:r>
        <w:rPr>
          <w:rFonts w:ascii="Arial" w:eastAsia="Arial" w:hAnsi="Arial" w:cs="Arial"/>
          <w:i/>
          <w:iCs/>
          <w:color w:val="000000"/>
          <w:sz w:val="22"/>
          <w:szCs w:val="22"/>
        </w:rPr>
        <w:t>Reclaiming Indigenous Planning</w:t>
      </w:r>
      <w:r>
        <w:rPr>
          <w:rFonts w:ascii="Arial" w:eastAsia="Arial" w:hAnsi="Arial" w:cs="Arial"/>
          <w:color w:val="000000"/>
          <w:sz w:val="22"/>
          <w:szCs w:val="22"/>
        </w:rPr>
        <w:t>. Montreal: McGill-Queen's University Press, pp.457–472.</w:t>
      </w:r>
    </w:p>
    <w:p w14:paraId="2D337077" w14:textId="2903BB36"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Jumper, B.M.</w:t>
      </w:r>
      <w:r>
        <w:rPr>
          <w:rFonts w:ascii="Arial" w:eastAsia="Arial" w:hAnsi="Arial" w:cs="Arial"/>
          <w:color w:val="000000"/>
          <w:sz w:val="22"/>
          <w:szCs w:val="22"/>
        </w:rPr>
        <w:t xml:space="preserve"> (2020). </w:t>
      </w:r>
      <w:r>
        <w:rPr>
          <w:rFonts w:ascii="Arial" w:eastAsia="Arial" w:hAnsi="Arial" w:cs="Arial"/>
          <w:i/>
          <w:iCs/>
          <w:color w:val="000000"/>
          <w:sz w:val="22"/>
          <w:szCs w:val="22"/>
        </w:rPr>
        <w:t>A Seminole Legend: The Life of Betty Mae Tiger Jumper</w:t>
      </w:r>
      <w:r>
        <w:rPr>
          <w:rFonts w:ascii="Arial" w:eastAsia="Arial" w:hAnsi="Arial" w:cs="Arial"/>
          <w:color w:val="000000"/>
          <w:sz w:val="22"/>
          <w:szCs w:val="22"/>
        </w:rPr>
        <w:t>. Gainesville: University Press of Florida.</w:t>
      </w:r>
    </w:p>
    <w:p w14:paraId="296E5AF3" w14:textId="77777777" w:rsidR="009F0C56" w:rsidRDefault="00653842">
      <w:r>
        <w:rPr>
          <w:rFonts w:ascii="Arial" w:eastAsia="Arial" w:hAnsi="Arial" w:cs="Arial"/>
          <w:color w:val="000000"/>
          <w:sz w:val="22"/>
          <w:szCs w:val="22"/>
          <w:highlight w:val="white"/>
        </w:rPr>
        <w:t>Kathryn E. Holland Braund. (1991). The Creek Indians, Blacks, and Slavery. </w:t>
      </w:r>
      <w:r>
        <w:rPr>
          <w:rFonts w:ascii="Arial" w:eastAsia="Arial" w:hAnsi="Arial" w:cs="Arial"/>
          <w:i/>
          <w:iCs/>
          <w:color w:val="000000"/>
          <w:sz w:val="22"/>
          <w:szCs w:val="22"/>
          <w:highlight w:val="white"/>
        </w:rPr>
        <w:t>The Journal of Southern History</w:t>
      </w:r>
      <w:r>
        <w:rPr>
          <w:rFonts w:ascii="Arial" w:eastAsia="Arial" w:hAnsi="Arial" w:cs="Arial"/>
          <w:color w:val="000000"/>
          <w:sz w:val="22"/>
          <w:szCs w:val="22"/>
          <w:highlight w:val="white"/>
        </w:rPr>
        <w:t>, </w:t>
      </w:r>
      <w:r>
        <w:rPr>
          <w:rFonts w:ascii="Arial" w:eastAsia="Arial" w:hAnsi="Arial" w:cs="Arial"/>
          <w:i/>
          <w:iCs/>
          <w:color w:val="000000"/>
          <w:sz w:val="22"/>
          <w:szCs w:val="22"/>
          <w:highlight w:val="white"/>
        </w:rPr>
        <w:t>57</w:t>
      </w:r>
      <w:r>
        <w:rPr>
          <w:rFonts w:ascii="Arial" w:eastAsia="Arial" w:hAnsi="Arial" w:cs="Arial"/>
          <w:color w:val="000000"/>
          <w:sz w:val="22"/>
          <w:szCs w:val="22"/>
          <w:highlight w:val="white"/>
        </w:rPr>
        <w:t xml:space="preserve">(4), 601–636. </w:t>
      </w:r>
      <w:hyperlink r:id="rId110">
        <w:r>
          <w:rPr>
            <w:rFonts w:ascii="Arial" w:eastAsia="Arial" w:hAnsi="Arial" w:cs="Arial"/>
            <w:color w:val="467886"/>
            <w:sz w:val="22"/>
            <w:szCs w:val="22"/>
            <w:highlight w:val="white"/>
            <w:u w:val="single"/>
          </w:rPr>
          <w:t>https://doi.org/10.2307/2210598</w:t>
        </w:r>
      </w:hyperlink>
    </w:p>
    <w:p w14:paraId="09A3EE54" w14:textId="77777777" w:rsidR="009F0C56" w:rsidRDefault="009F0C56">
      <w:pPr>
        <w:shd w:val="clear" w:color="auto" w:fill="FFFFFF"/>
        <w:spacing w:after="0" w:line="240" w:lineRule="auto"/>
        <w:rPr>
          <w:rFonts w:ascii="Arial" w:eastAsia="Arial" w:hAnsi="Arial" w:cs="Arial"/>
          <w:sz w:val="22"/>
          <w:szCs w:val="22"/>
        </w:rPr>
      </w:pPr>
    </w:p>
    <w:p w14:paraId="70FABC04" w14:textId="75613169" w:rsidR="009F0C56" w:rsidRDefault="00653842">
      <w:pPr>
        <w:shd w:val="clear" w:color="auto" w:fill="FFFFFF"/>
        <w:spacing w:after="0" w:line="240" w:lineRule="auto"/>
        <w:rPr>
          <w:rFonts w:ascii="Arial" w:eastAsia="Arial" w:hAnsi="Arial" w:cs="Arial"/>
          <w:sz w:val="22"/>
          <w:szCs w:val="22"/>
        </w:rPr>
      </w:pPr>
      <w:r>
        <w:rPr>
          <w:rFonts w:ascii="Arial" w:eastAsia="Arial" w:hAnsi="Arial" w:cs="Arial"/>
          <w:sz w:val="22"/>
          <w:szCs w:val="22"/>
        </w:rPr>
        <w:t>Karim, N. (N/A) ‘Dreamcatchers not your aesthetic</w:t>
      </w:r>
      <w:r w:rsidR="00F44422">
        <w:rPr>
          <w:rFonts w:ascii="Arial" w:eastAsia="Arial" w:hAnsi="Arial" w:cs="Arial"/>
          <w:sz w:val="22"/>
          <w:szCs w:val="22"/>
        </w:rPr>
        <w:t>.</w:t>
      </w:r>
      <w:r>
        <w:rPr>
          <w:rFonts w:ascii="Arial" w:eastAsia="Arial" w:hAnsi="Arial" w:cs="Arial"/>
          <w:sz w:val="22"/>
          <w:szCs w:val="22"/>
        </w:rPr>
        <w:t xml:space="preserve"> The Indigenous Foundation. Available from: </w:t>
      </w:r>
      <w:hyperlink r:id="rId111">
        <w:r>
          <w:rPr>
            <w:rFonts w:ascii="Arial" w:eastAsia="Arial" w:hAnsi="Arial" w:cs="Arial"/>
            <w:color w:val="467886"/>
            <w:sz w:val="22"/>
            <w:szCs w:val="22"/>
            <w:u w:val="single"/>
          </w:rPr>
          <w:t>https://www.theindigenousfoundation.org/articles/dreamcatchers</w:t>
        </w:r>
      </w:hyperlink>
      <w:r>
        <w:rPr>
          <w:rFonts w:ascii="Arial" w:eastAsia="Arial" w:hAnsi="Arial" w:cs="Arial"/>
          <w:sz w:val="22"/>
          <w:szCs w:val="22"/>
        </w:rPr>
        <w:t xml:space="preserve"> </w:t>
      </w:r>
    </w:p>
    <w:p w14:paraId="5E0BEBCC" w14:textId="77777777" w:rsidR="009F0C56" w:rsidRDefault="009F0C56">
      <w:pPr>
        <w:shd w:val="clear" w:color="auto" w:fill="FFFFFF"/>
        <w:spacing w:after="0" w:line="240" w:lineRule="auto"/>
        <w:rPr>
          <w:rFonts w:ascii="Arial" w:eastAsia="Arial" w:hAnsi="Arial" w:cs="Arial"/>
          <w:sz w:val="22"/>
          <w:szCs w:val="22"/>
        </w:rPr>
      </w:pPr>
    </w:p>
    <w:p w14:paraId="0A61E52D" w14:textId="77777777" w:rsidR="009F0C56" w:rsidRDefault="00653842">
      <w:pPr>
        <w:rPr>
          <w:rFonts w:ascii="Arial" w:eastAsia="Arial" w:hAnsi="Arial" w:cs="Arial"/>
          <w:color w:val="333333"/>
          <w:sz w:val="22"/>
          <w:szCs w:val="22"/>
          <w:highlight w:val="white"/>
        </w:rPr>
      </w:pPr>
      <w:r>
        <w:rPr>
          <w:rFonts w:ascii="Arial" w:eastAsia="Arial" w:hAnsi="Arial" w:cs="Arial"/>
          <w:color w:val="333333"/>
          <w:sz w:val="22"/>
          <w:szCs w:val="22"/>
          <w:highlight w:val="white"/>
        </w:rPr>
        <w:t>Keene, A., Small-Rodriguez, D., &amp; Davis-Delano, L. R. (2024). Native voices on Native appropriation. </w:t>
      </w:r>
      <w:r>
        <w:rPr>
          <w:rFonts w:ascii="Arial" w:eastAsia="Arial" w:hAnsi="Arial" w:cs="Arial"/>
          <w:i/>
          <w:iCs/>
          <w:color w:val="333333"/>
          <w:sz w:val="22"/>
          <w:szCs w:val="22"/>
          <w:highlight w:val="white"/>
        </w:rPr>
        <w:t>Ethnic and Racial Studies</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47</w:t>
      </w:r>
      <w:r>
        <w:rPr>
          <w:rFonts w:ascii="Arial" w:eastAsia="Arial" w:hAnsi="Arial" w:cs="Arial"/>
          <w:color w:val="333333"/>
          <w:sz w:val="22"/>
          <w:szCs w:val="22"/>
          <w:highlight w:val="white"/>
        </w:rPr>
        <w:t xml:space="preserve">(4), 647–669. </w:t>
      </w:r>
      <w:hyperlink r:id="rId112">
        <w:r>
          <w:rPr>
            <w:rFonts w:ascii="Arial" w:eastAsia="Arial" w:hAnsi="Arial" w:cs="Arial"/>
            <w:color w:val="467886"/>
            <w:sz w:val="22"/>
            <w:szCs w:val="22"/>
            <w:highlight w:val="white"/>
            <w:u w:val="single"/>
          </w:rPr>
          <w:t>https://doi.org/10.1080/01419870.2023.2229423</w:t>
        </w:r>
      </w:hyperlink>
    </w:p>
    <w:p w14:paraId="68A1B0AF" w14:textId="4553B2CA"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Kidman, J., Chu, C., Fernandez, S. and Abdi, A.</w:t>
      </w:r>
      <w:r>
        <w:rPr>
          <w:rFonts w:ascii="Arial" w:eastAsia="Arial" w:hAnsi="Arial" w:cs="Arial"/>
          <w:color w:val="000000"/>
          <w:sz w:val="22"/>
          <w:szCs w:val="22"/>
        </w:rPr>
        <w:t xml:space="preserve"> (2021). </w:t>
      </w:r>
      <w:r>
        <w:rPr>
          <w:rFonts w:ascii="Arial" w:eastAsia="Arial" w:hAnsi="Arial" w:cs="Arial"/>
          <w:i/>
          <w:iCs/>
          <w:color w:val="000000"/>
          <w:sz w:val="22"/>
          <w:szCs w:val="22"/>
        </w:rPr>
        <w:t>Decolonising the curriculum: Indigenous knowledges, the academy and higher education</w:t>
      </w:r>
      <w:r>
        <w:rPr>
          <w:rFonts w:ascii="Arial" w:eastAsia="Arial" w:hAnsi="Arial" w:cs="Arial"/>
          <w:color w:val="000000"/>
          <w:sz w:val="22"/>
          <w:szCs w:val="22"/>
        </w:rPr>
        <w:t xml:space="preserve">. </w:t>
      </w:r>
      <w:r>
        <w:rPr>
          <w:rFonts w:ascii="Arial" w:eastAsia="Arial" w:hAnsi="Arial" w:cs="Arial"/>
          <w:i/>
          <w:iCs/>
          <w:color w:val="000000"/>
          <w:sz w:val="22"/>
          <w:szCs w:val="22"/>
        </w:rPr>
        <w:t>Journal of Sociology</w:t>
      </w:r>
      <w:r>
        <w:rPr>
          <w:rFonts w:ascii="Arial" w:eastAsia="Arial" w:hAnsi="Arial" w:cs="Arial"/>
          <w:color w:val="000000"/>
          <w:sz w:val="22"/>
          <w:szCs w:val="22"/>
        </w:rPr>
        <w:t>, 57(1), pp.1–18.</w:t>
      </w:r>
    </w:p>
    <w:p w14:paraId="1E041267" w14:textId="77777777" w:rsidR="009F0C56" w:rsidRDefault="00653842">
      <w:pPr>
        <w:rPr>
          <w:rFonts w:ascii="Arial" w:eastAsia="Arial" w:hAnsi="Arial" w:cs="Arial"/>
          <w:color w:val="333333"/>
          <w:sz w:val="22"/>
          <w:szCs w:val="22"/>
          <w:highlight w:val="white"/>
        </w:rPr>
      </w:pPr>
      <w:r>
        <w:rPr>
          <w:rFonts w:ascii="Arial" w:eastAsia="Arial" w:hAnsi="Arial" w:cs="Arial"/>
          <w:color w:val="333333"/>
          <w:sz w:val="22"/>
          <w:szCs w:val="22"/>
          <w:highlight w:val="white"/>
        </w:rPr>
        <w:t>Kidman, J., MacDonald, L., Funaki, H., Ormond, A., Southon, P., &amp; Tomlins-Jahnkne, H. (2021). ‘Native time’ in the white city: indigenous youth temporalities in settler-colonial space. </w:t>
      </w:r>
      <w:r>
        <w:rPr>
          <w:rFonts w:ascii="Arial" w:eastAsia="Arial" w:hAnsi="Arial" w:cs="Arial"/>
          <w:i/>
          <w:iCs/>
          <w:color w:val="333333"/>
          <w:sz w:val="22"/>
          <w:szCs w:val="22"/>
          <w:highlight w:val="white"/>
        </w:rPr>
        <w:t>Children’s Geographies</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19</w:t>
      </w:r>
      <w:r>
        <w:rPr>
          <w:rFonts w:ascii="Arial" w:eastAsia="Arial" w:hAnsi="Arial" w:cs="Arial"/>
          <w:color w:val="333333"/>
          <w:sz w:val="22"/>
          <w:szCs w:val="22"/>
          <w:highlight w:val="white"/>
        </w:rPr>
        <w:t xml:space="preserve">(1), 24–36. </w:t>
      </w:r>
      <w:hyperlink r:id="rId113">
        <w:r>
          <w:rPr>
            <w:rFonts w:ascii="Arial" w:eastAsia="Arial" w:hAnsi="Arial" w:cs="Arial"/>
            <w:color w:val="467886"/>
            <w:sz w:val="22"/>
            <w:szCs w:val="22"/>
            <w:highlight w:val="white"/>
            <w:u w:val="single"/>
          </w:rPr>
          <w:t>https://doi.org/10.1080/14733285.2020.1722312</w:t>
        </w:r>
      </w:hyperlink>
    </w:p>
    <w:p w14:paraId="1D42B151" w14:textId="77777777" w:rsidR="009F0C56" w:rsidRDefault="00653842">
      <w:pPr>
        <w:rPr>
          <w:rFonts w:ascii="Arial" w:eastAsia="Arial" w:hAnsi="Arial" w:cs="Arial"/>
          <w:color w:val="000000"/>
          <w:sz w:val="22"/>
          <w:szCs w:val="22"/>
          <w:highlight w:val="white"/>
        </w:rPr>
      </w:pPr>
      <w:r>
        <w:rPr>
          <w:rFonts w:ascii="Arial" w:eastAsia="Arial" w:hAnsi="Arial" w:cs="Arial"/>
          <w:color w:val="000000"/>
          <w:sz w:val="22"/>
          <w:szCs w:val="22"/>
          <w:highlight w:val="white"/>
        </w:rPr>
        <w:lastRenderedPageBreak/>
        <w:t>Kokomoor, K. (2009). A Re-assessment of Seminoles, Africans, and Slavery on the Florida Frontier. </w:t>
      </w:r>
      <w:r>
        <w:rPr>
          <w:rFonts w:ascii="Arial" w:eastAsia="Arial" w:hAnsi="Arial" w:cs="Arial"/>
          <w:i/>
          <w:iCs/>
          <w:color w:val="000000"/>
          <w:sz w:val="22"/>
          <w:szCs w:val="22"/>
          <w:highlight w:val="white"/>
        </w:rPr>
        <w:t>The Florida Historical Quarterly</w:t>
      </w:r>
      <w:r>
        <w:rPr>
          <w:rFonts w:ascii="Arial" w:eastAsia="Arial" w:hAnsi="Arial" w:cs="Arial"/>
          <w:color w:val="000000"/>
          <w:sz w:val="22"/>
          <w:szCs w:val="22"/>
          <w:highlight w:val="white"/>
        </w:rPr>
        <w:t>, </w:t>
      </w:r>
      <w:r>
        <w:rPr>
          <w:rFonts w:ascii="Arial" w:eastAsia="Arial" w:hAnsi="Arial" w:cs="Arial"/>
          <w:i/>
          <w:iCs/>
          <w:color w:val="000000"/>
          <w:sz w:val="22"/>
          <w:szCs w:val="22"/>
          <w:highlight w:val="white"/>
        </w:rPr>
        <w:t>88</w:t>
      </w:r>
      <w:r>
        <w:rPr>
          <w:rFonts w:ascii="Arial" w:eastAsia="Arial" w:hAnsi="Arial" w:cs="Arial"/>
          <w:color w:val="000000"/>
          <w:sz w:val="22"/>
          <w:szCs w:val="22"/>
          <w:highlight w:val="white"/>
        </w:rPr>
        <w:t xml:space="preserve">(2), 209–236. </w:t>
      </w:r>
      <w:hyperlink r:id="rId114">
        <w:r>
          <w:rPr>
            <w:rFonts w:ascii="Arial" w:eastAsia="Arial" w:hAnsi="Arial" w:cs="Arial"/>
            <w:color w:val="467886"/>
            <w:sz w:val="22"/>
            <w:szCs w:val="22"/>
            <w:highlight w:val="white"/>
            <w:u w:val="single"/>
          </w:rPr>
          <w:t>http://www.jstor.org/stable/20700282</w:t>
        </w:r>
      </w:hyperlink>
    </w:p>
    <w:p w14:paraId="2299373C" w14:textId="77777777" w:rsidR="009F0C56" w:rsidRDefault="00653842">
      <w:pPr>
        <w:rPr>
          <w:rFonts w:ascii="Arial" w:eastAsia="Arial" w:hAnsi="Arial" w:cs="Arial"/>
          <w:sz w:val="22"/>
          <w:szCs w:val="22"/>
        </w:rPr>
      </w:pPr>
      <w:r>
        <w:rPr>
          <w:rFonts w:ascii="Arial" w:eastAsia="Arial" w:hAnsi="Arial" w:cs="Arial"/>
          <w:sz w:val="22"/>
          <w:szCs w:val="22"/>
        </w:rPr>
        <w:t xml:space="preserve">LaDuke Winona. (1999) “All our relations.” Haymarket Books. Massachusetts. </w:t>
      </w:r>
    </w:p>
    <w:p w14:paraId="6AE8C539" w14:textId="77777777" w:rsidR="009F0C56" w:rsidRDefault="00653842">
      <w:pPr>
        <w:shd w:val="clear" w:color="auto" w:fill="FFFFFF"/>
        <w:spacing w:after="280" w:line="240" w:lineRule="auto"/>
        <w:rPr>
          <w:rFonts w:ascii="Arial" w:eastAsia="Arial" w:hAnsi="Arial" w:cs="Arial"/>
          <w:color w:val="000000"/>
          <w:sz w:val="22"/>
          <w:szCs w:val="22"/>
        </w:rPr>
      </w:pPr>
      <w:r>
        <w:rPr>
          <w:rFonts w:ascii="Arial" w:eastAsia="Arial" w:hAnsi="Arial" w:cs="Arial"/>
          <w:color w:val="000000"/>
          <w:sz w:val="22"/>
          <w:szCs w:val="22"/>
        </w:rPr>
        <w:t>LaDuke Winona. (2020), ‘To be a water protector.’ Spotted Horse Press.</w:t>
      </w:r>
    </w:p>
    <w:p w14:paraId="7EE30008" w14:textId="77777777" w:rsidR="009F0C56" w:rsidRDefault="00653842">
      <w:pPr>
        <w:shd w:val="clear" w:color="auto" w:fill="FFFFFF"/>
        <w:spacing w:after="280" w:line="240" w:lineRule="auto"/>
        <w:rPr>
          <w:rFonts w:ascii="Arial" w:eastAsia="Arial" w:hAnsi="Arial" w:cs="Arial"/>
          <w:color w:val="000000"/>
          <w:sz w:val="22"/>
          <w:szCs w:val="22"/>
        </w:rPr>
      </w:pPr>
      <w:r>
        <w:rPr>
          <w:rFonts w:ascii="Arial" w:eastAsia="Arial" w:hAnsi="Arial" w:cs="Arial"/>
          <w:color w:val="000000"/>
          <w:sz w:val="22"/>
          <w:szCs w:val="22"/>
        </w:rPr>
        <w:t xml:space="preserve">LaDuke, (2016). ‘Wendigo Economy.’ FNX TV. (YouTube) Available from: </w:t>
      </w:r>
      <w:hyperlink r:id="rId115">
        <w:r>
          <w:rPr>
            <w:rFonts w:ascii="Arial" w:eastAsia="Arial" w:hAnsi="Arial" w:cs="Arial"/>
            <w:color w:val="467886"/>
            <w:sz w:val="22"/>
            <w:szCs w:val="22"/>
            <w:u w:val="single"/>
          </w:rPr>
          <w:t>https://youtu.be/wtV38boYWFs</w:t>
        </w:r>
      </w:hyperlink>
      <w:r>
        <w:rPr>
          <w:rFonts w:ascii="Arial" w:eastAsia="Arial" w:hAnsi="Arial" w:cs="Arial"/>
          <w:color w:val="000000"/>
          <w:sz w:val="22"/>
          <w:szCs w:val="22"/>
        </w:rPr>
        <w:t xml:space="preserve"> </w:t>
      </w:r>
    </w:p>
    <w:p w14:paraId="65853B80" w14:textId="643985C6"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LaDuke, W.</w:t>
      </w:r>
      <w:r>
        <w:rPr>
          <w:rFonts w:ascii="Arial" w:eastAsia="Arial" w:hAnsi="Arial" w:cs="Arial"/>
          <w:color w:val="000000"/>
          <w:sz w:val="22"/>
          <w:szCs w:val="22"/>
        </w:rPr>
        <w:t xml:space="preserve"> (1999). </w:t>
      </w:r>
      <w:r>
        <w:rPr>
          <w:rFonts w:ascii="Arial" w:eastAsia="Arial" w:hAnsi="Arial" w:cs="Arial"/>
          <w:i/>
          <w:iCs/>
          <w:color w:val="000000"/>
          <w:sz w:val="22"/>
          <w:szCs w:val="22"/>
        </w:rPr>
        <w:t>All Our Relations: Native Struggles for Land and Life</w:t>
      </w:r>
      <w:r>
        <w:rPr>
          <w:rFonts w:ascii="Arial" w:eastAsia="Arial" w:hAnsi="Arial" w:cs="Arial"/>
          <w:color w:val="000000"/>
          <w:sz w:val="22"/>
          <w:szCs w:val="22"/>
        </w:rPr>
        <w:t>. Cambridge, MA: South End Press.</w:t>
      </w:r>
    </w:p>
    <w:p w14:paraId="43487C6F" w14:textId="3D72A9F2"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LaDuke, W.</w:t>
      </w:r>
      <w:r>
        <w:rPr>
          <w:rFonts w:ascii="Arial" w:eastAsia="Arial" w:hAnsi="Arial" w:cs="Arial"/>
          <w:color w:val="000000"/>
          <w:sz w:val="22"/>
          <w:szCs w:val="22"/>
        </w:rPr>
        <w:t xml:space="preserve"> (2020). </w:t>
      </w:r>
      <w:r>
        <w:rPr>
          <w:rFonts w:ascii="Arial" w:eastAsia="Arial" w:hAnsi="Arial" w:cs="Arial"/>
          <w:i/>
          <w:iCs/>
          <w:color w:val="000000"/>
          <w:sz w:val="22"/>
          <w:szCs w:val="22"/>
        </w:rPr>
        <w:t>To Be a Water Protector: The Rise of the Wiindigoo Slayers</w:t>
      </w:r>
      <w:r>
        <w:rPr>
          <w:rFonts w:ascii="Arial" w:eastAsia="Arial" w:hAnsi="Arial" w:cs="Arial"/>
          <w:color w:val="000000"/>
          <w:sz w:val="22"/>
          <w:szCs w:val="22"/>
        </w:rPr>
        <w:t>. Black Point: Fernwood Publishing.</w:t>
      </w:r>
    </w:p>
    <w:p w14:paraId="4EDA8D7C" w14:textId="77777777" w:rsidR="009F0C56" w:rsidRDefault="00653842">
      <w:pPr>
        <w:spacing w:line="259" w:lineRule="auto"/>
        <w:rPr>
          <w:rFonts w:ascii="Arial" w:eastAsia="Arial" w:hAnsi="Arial" w:cs="Arial"/>
          <w:sz w:val="22"/>
          <w:szCs w:val="22"/>
        </w:rPr>
      </w:pPr>
      <w:r>
        <w:rPr>
          <w:rFonts w:ascii="Arial" w:eastAsia="Arial" w:hAnsi="Arial" w:cs="Arial"/>
          <w:sz w:val="22"/>
          <w:szCs w:val="22"/>
        </w:rPr>
        <w:t>LaDuke, Winona. (2015). ‘</w:t>
      </w:r>
      <w:r>
        <w:rPr>
          <w:rFonts w:ascii="Arial" w:eastAsia="Arial" w:hAnsi="Arial" w:cs="Arial"/>
          <w:i/>
          <w:iCs/>
          <w:sz w:val="22"/>
          <w:szCs w:val="22"/>
        </w:rPr>
        <w:t>Haunani-Kay Trask, Interview 1994</w:t>
      </w:r>
      <w:r>
        <w:rPr>
          <w:rFonts w:ascii="Arial" w:eastAsia="Arial" w:hAnsi="Arial" w:cs="Arial"/>
          <w:sz w:val="22"/>
          <w:szCs w:val="22"/>
        </w:rPr>
        <w:t xml:space="preserve">.’ All our relations. Haymarket Books. Massachusetts. </w:t>
      </w:r>
    </w:p>
    <w:p w14:paraId="31729BC0" w14:textId="77777777" w:rsidR="009F0C56" w:rsidRDefault="00653842">
      <w:pPr>
        <w:rPr>
          <w:rFonts w:ascii="Arial" w:eastAsia="Arial" w:hAnsi="Arial" w:cs="Arial"/>
          <w:color w:val="333333"/>
          <w:sz w:val="22"/>
          <w:szCs w:val="22"/>
          <w:highlight w:val="white"/>
        </w:rPr>
      </w:pPr>
      <w:r>
        <w:rPr>
          <w:rFonts w:ascii="Arial" w:eastAsia="Arial" w:hAnsi="Arial" w:cs="Arial"/>
          <w:color w:val="333333"/>
          <w:sz w:val="22"/>
          <w:szCs w:val="22"/>
          <w:highlight w:val="white"/>
        </w:rPr>
        <w:t>Laing, A. F. (2021). Decolonising pedagogies in undergraduate geography: student perspectives on a Decolonial Movements module. </w:t>
      </w:r>
      <w:r>
        <w:rPr>
          <w:rFonts w:ascii="Arial" w:eastAsia="Arial" w:hAnsi="Arial" w:cs="Arial"/>
          <w:i/>
          <w:iCs/>
          <w:color w:val="333333"/>
          <w:sz w:val="22"/>
          <w:szCs w:val="22"/>
          <w:highlight w:val="white"/>
        </w:rPr>
        <w:t>Journal of Geography in Higher Education</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45</w:t>
      </w:r>
      <w:r>
        <w:rPr>
          <w:rFonts w:ascii="Arial" w:eastAsia="Arial" w:hAnsi="Arial" w:cs="Arial"/>
          <w:color w:val="333333"/>
          <w:sz w:val="22"/>
          <w:szCs w:val="22"/>
          <w:highlight w:val="white"/>
        </w:rPr>
        <w:t xml:space="preserve">(1), 1–19. </w:t>
      </w:r>
      <w:hyperlink r:id="rId116">
        <w:r>
          <w:rPr>
            <w:rFonts w:ascii="Arial" w:eastAsia="Arial" w:hAnsi="Arial" w:cs="Arial"/>
            <w:color w:val="467886"/>
            <w:sz w:val="22"/>
            <w:szCs w:val="22"/>
            <w:highlight w:val="white"/>
            <w:u w:val="single"/>
          </w:rPr>
          <w:t>https://doi.org/10.1080/03098265.2020.1815180</w:t>
        </w:r>
      </w:hyperlink>
    </w:p>
    <w:p w14:paraId="14CDD617" w14:textId="77777777"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 xml:space="preserve">Lightfoot, S. (2016). Global Indigenous Politics: A Subtle Revolution (1st ed.). Routledge. </w:t>
      </w:r>
      <w:hyperlink r:id="rId117">
        <w:r>
          <w:rPr>
            <w:rFonts w:ascii="Arial" w:eastAsia="Arial" w:hAnsi="Arial" w:cs="Arial"/>
            <w:color w:val="467886"/>
            <w:sz w:val="22"/>
            <w:szCs w:val="22"/>
            <w:u w:val="single"/>
          </w:rPr>
          <w:t>https://doi.org/10.4324/9781315670669</w:t>
        </w:r>
      </w:hyperlink>
    </w:p>
    <w:p w14:paraId="379AF2D1" w14:textId="77777777" w:rsidR="009F0C56" w:rsidRDefault="00653842">
      <w:pPr>
        <w:pBdr>
          <w:top w:val="nil"/>
          <w:left w:val="nil"/>
          <w:bottom w:val="nil"/>
          <w:right w:val="nil"/>
          <w:between w:val="nil"/>
        </w:pBdr>
        <w:spacing w:line="240" w:lineRule="auto"/>
        <w:rPr>
          <w:rFonts w:ascii="Arial" w:eastAsia="Arial" w:hAnsi="Arial" w:cs="Arial"/>
          <w:color w:val="333333"/>
          <w:sz w:val="22"/>
          <w:szCs w:val="22"/>
          <w:highlight w:val="white"/>
        </w:rPr>
      </w:pPr>
      <w:r>
        <w:rPr>
          <w:rFonts w:ascii="Arial" w:eastAsia="Arial" w:hAnsi="Arial" w:cs="Arial"/>
          <w:color w:val="333333"/>
          <w:sz w:val="22"/>
          <w:szCs w:val="22"/>
          <w:highlight w:val="white"/>
        </w:rPr>
        <w:t>Lightfoot, S. R. (2012). Selective endorsement without intent to implement: indigenous rights and the Anglosphere. </w:t>
      </w:r>
      <w:r>
        <w:rPr>
          <w:rFonts w:ascii="Arial" w:eastAsia="Arial" w:hAnsi="Arial" w:cs="Arial"/>
          <w:i/>
          <w:iCs/>
          <w:color w:val="333333"/>
          <w:sz w:val="22"/>
          <w:szCs w:val="22"/>
          <w:highlight w:val="white"/>
        </w:rPr>
        <w:t>The International Journal of Human Rights</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16</w:t>
      </w:r>
      <w:r>
        <w:rPr>
          <w:rFonts w:ascii="Arial" w:eastAsia="Arial" w:hAnsi="Arial" w:cs="Arial"/>
          <w:color w:val="333333"/>
          <w:sz w:val="22"/>
          <w:szCs w:val="22"/>
          <w:highlight w:val="white"/>
        </w:rPr>
        <w:t xml:space="preserve">(1), 100–122. </w:t>
      </w:r>
      <w:hyperlink r:id="rId118">
        <w:r>
          <w:rPr>
            <w:rFonts w:ascii="Arial" w:eastAsia="Arial" w:hAnsi="Arial" w:cs="Arial"/>
            <w:color w:val="467886"/>
            <w:sz w:val="22"/>
            <w:szCs w:val="22"/>
            <w:highlight w:val="white"/>
            <w:u w:val="single"/>
          </w:rPr>
          <w:t>https://doi.org/10.1080/13642987.2012.622139</w:t>
        </w:r>
      </w:hyperlink>
    </w:p>
    <w:p w14:paraId="4E621A2F" w14:textId="76B0B307" w:rsidR="009F0C56" w:rsidRDefault="00653842">
      <w:pPr>
        <w:pBdr>
          <w:top w:val="nil"/>
          <w:left w:val="nil"/>
          <w:bottom w:val="nil"/>
          <w:right w:val="nil"/>
          <w:between w:val="nil"/>
        </w:pBdr>
        <w:spacing w:line="240" w:lineRule="auto"/>
        <w:rPr>
          <w:rFonts w:ascii="Arial" w:eastAsia="Arial" w:hAnsi="Arial" w:cs="Arial"/>
          <w:color w:val="000000"/>
          <w:sz w:val="22"/>
          <w:szCs w:val="22"/>
          <w:highlight w:val="white"/>
        </w:rPr>
      </w:pPr>
      <w:r>
        <w:rPr>
          <w:rFonts w:ascii="Arial" w:eastAsia="Arial" w:hAnsi="Arial" w:cs="Arial"/>
          <w:color w:val="000000"/>
          <w:sz w:val="22"/>
          <w:szCs w:val="22"/>
          <w:highlight w:val="white"/>
        </w:rPr>
        <w:t>Lindquist, K. (2024). Land, Labor, and Relationality: A Critical Engagement of Marx and Indigenous Studies. </w:t>
      </w:r>
      <w:r>
        <w:rPr>
          <w:rFonts w:ascii="Arial" w:eastAsia="Arial" w:hAnsi="Arial" w:cs="Arial"/>
          <w:i/>
          <w:iCs/>
          <w:color w:val="000000"/>
          <w:sz w:val="22"/>
          <w:szCs w:val="22"/>
          <w:highlight w:val="white"/>
        </w:rPr>
        <w:t>American Indian Culture and Research Journal</w:t>
      </w:r>
      <w:r>
        <w:rPr>
          <w:rFonts w:ascii="Arial" w:eastAsia="Arial" w:hAnsi="Arial" w:cs="Arial"/>
          <w:color w:val="000000"/>
          <w:sz w:val="22"/>
          <w:szCs w:val="22"/>
          <w:highlight w:val="white"/>
        </w:rPr>
        <w:t xml:space="preserve">, 47(2). http://dx.doi.org/10.17953/A3.1916 Retrieved from </w:t>
      </w:r>
      <w:hyperlink r:id="rId119">
        <w:r>
          <w:rPr>
            <w:rFonts w:ascii="Arial" w:eastAsia="Arial" w:hAnsi="Arial" w:cs="Arial"/>
            <w:color w:val="467886"/>
            <w:sz w:val="22"/>
            <w:szCs w:val="22"/>
            <w:highlight w:val="white"/>
            <w:u w:val="single"/>
          </w:rPr>
          <w:t>https://escholarship.org/uc/item/98r86679</w:t>
        </w:r>
      </w:hyperlink>
    </w:p>
    <w:p w14:paraId="24936A3F" w14:textId="77777777"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 xml:space="preserve">Locke, J., 1988 [1689]. </w:t>
      </w:r>
      <w:r>
        <w:rPr>
          <w:rFonts w:ascii="Arial" w:eastAsia="Arial" w:hAnsi="Arial" w:cs="Arial"/>
          <w:i/>
          <w:iCs/>
          <w:color w:val="000000"/>
          <w:sz w:val="22"/>
          <w:szCs w:val="22"/>
        </w:rPr>
        <w:t>Two Treatises of Government</w:t>
      </w:r>
      <w:r>
        <w:rPr>
          <w:rFonts w:ascii="Arial" w:eastAsia="Arial" w:hAnsi="Arial" w:cs="Arial"/>
          <w:color w:val="000000"/>
          <w:sz w:val="22"/>
          <w:szCs w:val="22"/>
        </w:rPr>
        <w:t>. Cambridge: Cambridge University Press.</w:t>
      </w:r>
    </w:p>
    <w:p w14:paraId="465FBF50" w14:textId="734632C0" w:rsidR="009F0C56" w:rsidRDefault="00653842">
      <w:pPr>
        <w:rPr>
          <w:rFonts w:ascii="Arial" w:eastAsia="Arial" w:hAnsi="Arial" w:cs="Arial"/>
          <w:sz w:val="22"/>
          <w:szCs w:val="22"/>
        </w:rPr>
      </w:pPr>
      <w:r>
        <w:rPr>
          <w:rFonts w:ascii="Arial" w:eastAsia="Arial" w:hAnsi="Arial" w:cs="Arial"/>
          <w:sz w:val="22"/>
          <w:szCs w:val="22"/>
        </w:rPr>
        <w:t xml:space="preserve">Lukas, G. (2017). History and Class Consciousness. London. </w:t>
      </w:r>
      <w:r w:rsidR="00F44422">
        <w:rPr>
          <w:rFonts w:ascii="Arial" w:eastAsia="Arial" w:hAnsi="Arial" w:cs="Arial"/>
          <w:sz w:val="22"/>
          <w:szCs w:val="22"/>
        </w:rPr>
        <w:t>Bibliotech Press</w:t>
      </w:r>
      <w:r>
        <w:rPr>
          <w:rFonts w:ascii="Arial" w:eastAsia="Arial" w:hAnsi="Arial" w:cs="Arial"/>
          <w:sz w:val="22"/>
          <w:szCs w:val="22"/>
        </w:rPr>
        <w:t xml:space="preserve"> </w:t>
      </w:r>
    </w:p>
    <w:p w14:paraId="623B4464" w14:textId="77777777" w:rsidR="009F0C56" w:rsidRDefault="00653842">
      <w:pPr>
        <w:rPr>
          <w:rFonts w:ascii="Arial" w:eastAsia="Arial" w:hAnsi="Arial" w:cs="Arial"/>
          <w:sz w:val="22"/>
          <w:szCs w:val="22"/>
        </w:rPr>
      </w:pPr>
      <w:r>
        <w:rPr>
          <w:rFonts w:ascii="Arial" w:eastAsia="Arial" w:hAnsi="Arial" w:cs="Arial"/>
          <w:color w:val="000000"/>
          <w:sz w:val="22"/>
          <w:szCs w:val="22"/>
          <w:highlight w:val="white"/>
        </w:rPr>
        <w:t>Manning, J. (2018). Becoming a decolonial feminist ethnographer: Addressing the complexities of positionality and representation. </w:t>
      </w:r>
      <w:r>
        <w:rPr>
          <w:rFonts w:ascii="Arial" w:eastAsia="Arial" w:hAnsi="Arial" w:cs="Arial"/>
          <w:i/>
          <w:iCs/>
          <w:color w:val="000000"/>
          <w:sz w:val="22"/>
          <w:szCs w:val="22"/>
          <w:highlight w:val="white"/>
        </w:rPr>
        <w:t>Management Learning</w:t>
      </w:r>
      <w:r>
        <w:rPr>
          <w:rFonts w:ascii="Arial" w:eastAsia="Arial" w:hAnsi="Arial" w:cs="Arial"/>
          <w:color w:val="000000"/>
          <w:sz w:val="22"/>
          <w:szCs w:val="22"/>
          <w:highlight w:val="white"/>
        </w:rPr>
        <w:t>, </w:t>
      </w:r>
      <w:r>
        <w:rPr>
          <w:rFonts w:ascii="Arial" w:eastAsia="Arial" w:hAnsi="Arial" w:cs="Arial"/>
          <w:i/>
          <w:iCs/>
          <w:color w:val="000000"/>
          <w:sz w:val="22"/>
          <w:szCs w:val="22"/>
          <w:highlight w:val="white"/>
        </w:rPr>
        <w:t>49</w:t>
      </w:r>
      <w:r>
        <w:rPr>
          <w:rFonts w:ascii="Arial" w:eastAsia="Arial" w:hAnsi="Arial" w:cs="Arial"/>
          <w:color w:val="000000"/>
          <w:sz w:val="22"/>
          <w:szCs w:val="22"/>
          <w:highlight w:val="white"/>
        </w:rPr>
        <w:t>(3), 311–326. </w:t>
      </w:r>
      <w:hyperlink r:id="rId120">
        <w:r>
          <w:rPr>
            <w:rFonts w:ascii="Arial" w:eastAsia="Arial" w:hAnsi="Arial" w:cs="Arial"/>
            <w:color w:val="006ACC"/>
            <w:sz w:val="22"/>
            <w:szCs w:val="22"/>
            <w:highlight w:val="white"/>
            <w:u w:val="single"/>
          </w:rPr>
          <w:t>https://doi.org/10.1177/1350507617745275</w:t>
        </w:r>
      </w:hyperlink>
    </w:p>
    <w:p w14:paraId="16BB927D" w14:textId="77777777" w:rsidR="009F0C56" w:rsidRDefault="00653842">
      <w:pPr>
        <w:shd w:val="clear" w:color="auto" w:fill="FFFFFF"/>
        <w:spacing w:after="280" w:line="240" w:lineRule="auto"/>
        <w:rPr>
          <w:rFonts w:ascii="Arial" w:eastAsia="Arial" w:hAnsi="Arial" w:cs="Arial"/>
          <w:color w:val="000000"/>
          <w:sz w:val="22"/>
          <w:szCs w:val="22"/>
        </w:rPr>
      </w:pPr>
      <w:r>
        <w:rPr>
          <w:rFonts w:ascii="Arial" w:eastAsia="Arial" w:hAnsi="Arial" w:cs="Arial"/>
          <w:color w:val="000000"/>
          <w:sz w:val="22"/>
          <w:szCs w:val="22"/>
        </w:rPr>
        <w:t xml:space="preserve">Mark Karl. (1992). Capital Volume II. Penguin Classics. London. </w:t>
      </w:r>
    </w:p>
    <w:p w14:paraId="34EF76F0" w14:textId="44526F48"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Marx, K.</w:t>
      </w:r>
      <w:r>
        <w:rPr>
          <w:rFonts w:ascii="Arial" w:eastAsia="Arial" w:hAnsi="Arial" w:cs="Arial"/>
          <w:color w:val="000000"/>
          <w:sz w:val="22"/>
          <w:szCs w:val="22"/>
        </w:rPr>
        <w:t xml:space="preserve"> (1971). </w:t>
      </w:r>
      <w:r>
        <w:rPr>
          <w:rFonts w:ascii="Arial" w:eastAsia="Arial" w:hAnsi="Arial" w:cs="Arial"/>
          <w:i/>
          <w:iCs/>
          <w:color w:val="000000"/>
          <w:sz w:val="22"/>
          <w:szCs w:val="22"/>
        </w:rPr>
        <w:t>Capital: A Critique of Political Economy, Vol. 1</w:t>
      </w:r>
      <w:r>
        <w:rPr>
          <w:rFonts w:ascii="Arial" w:eastAsia="Arial" w:hAnsi="Arial" w:cs="Arial"/>
          <w:color w:val="000000"/>
          <w:sz w:val="22"/>
          <w:szCs w:val="22"/>
        </w:rPr>
        <w:t>. New York: International Publishers.</w:t>
      </w:r>
    </w:p>
    <w:p w14:paraId="61B2B17F" w14:textId="2DFC8CA0"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Mategui, J.</w:t>
      </w:r>
      <w:r>
        <w:rPr>
          <w:rFonts w:ascii="Arial" w:eastAsia="Arial" w:hAnsi="Arial" w:cs="Arial"/>
          <w:color w:val="000000"/>
          <w:sz w:val="22"/>
          <w:szCs w:val="22"/>
        </w:rPr>
        <w:t xml:space="preserve"> (1971). </w:t>
      </w:r>
      <w:r>
        <w:rPr>
          <w:rFonts w:ascii="Arial" w:eastAsia="Arial" w:hAnsi="Arial" w:cs="Arial"/>
          <w:i/>
          <w:iCs/>
          <w:color w:val="000000"/>
          <w:sz w:val="22"/>
          <w:szCs w:val="22"/>
        </w:rPr>
        <w:t>Anthropology and the Colonial Imagination</w:t>
      </w:r>
      <w:r>
        <w:rPr>
          <w:rFonts w:ascii="Arial" w:eastAsia="Arial" w:hAnsi="Arial" w:cs="Arial"/>
          <w:color w:val="000000"/>
          <w:sz w:val="22"/>
          <w:szCs w:val="22"/>
        </w:rPr>
        <w:t>. New York: New York University Press.</w:t>
      </w:r>
    </w:p>
    <w:p w14:paraId="1F504CF3" w14:textId="77777777" w:rsidR="009F0C56" w:rsidRDefault="00653842">
      <w:pPr>
        <w:keepNext/>
        <w:keepLines/>
        <w:spacing w:after="0"/>
        <w:rPr>
          <w:rFonts w:ascii="Arial" w:eastAsia="Arial" w:hAnsi="Arial" w:cs="Arial"/>
          <w:color w:val="494949"/>
          <w:sz w:val="22"/>
          <w:szCs w:val="22"/>
        </w:rPr>
      </w:pPr>
      <w:r>
        <w:rPr>
          <w:rFonts w:ascii="Arial" w:eastAsia="Arial" w:hAnsi="Arial" w:cs="Arial"/>
          <w:color w:val="000000"/>
          <w:sz w:val="22"/>
          <w:szCs w:val="22"/>
        </w:rPr>
        <w:t xml:space="preserve">McLaren Deborah. (2003) </w:t>
      </w:r>
      <w:r>
        <w:rPr>
          <w:rFonts w:ascii="Arial" w:eastAsia="Arial" w:hAnsi="Arial" w:cs="Arial"/>
          <w:color w:val="0F4761"/>
          <w:sz w:val="22"/>
          <w:szCs w:val="22"/>
        </w:rPr>
        <w:t>“</w:t>
      </w:r>
      <w:r>
        <w:rPr>
          <w:rFonts w:ascii="Arial" w:eastAsia="Arial" w:hAnsi="Arial" w:cs="Arial"/>
          <w:color w:val="494949"/>
          <w:sz w:val="22"/>
          <w:szCs w:val="22"/>
        </w:rPr>
        <w:t>Rethinking Tourism and Ecotravel”. Second Edition. Kumarian Book Press.</w:t>
      </w:r>
    </w:p>
    <w:p w14:paraId="66A4CAC3" w14:textId="77777777" w:rsidR="009F0C56" w:rsidRDefault="00653842">
      <w:pPr>
        <w:spacing w:before="280" w:after="60" w:line="240" w:lineRule="auto"/>
        <w:rPr>
          <w:rFonts w:ascii="Arial" w:eastAsia="Arial" w:hAnsi="Arial" w:cs="Arial"/>
          <w:color w:val="343332"/>
          <w:sz w:val="22"/>
          <w:szCs w:val="22"/>
        </w:rPr>
      </w:pPr>
      <w:r>
        <w:rPr>
          <w:rFonts w:ascii="Arial" w:eastAsia="Arial" w:hAnsi="Arial" w:cs="Arial"/>
          <w:color w:val="343332"/>
          <w:sz w:val="22"/>
          <w:szCs w:val="22"/>
        </w:rPr>
        <w:t>McReynolds E. 1957.  The Semi- noles. Norman: University of Oklahoma Press, USA</w:t>
      </w:r>
    </w:p>
    <w:p w14:paraId="5B03756D" w14:textId="77777777" w:rsidR="009F0C56" w:rsidRDefault="009F0C56">
      <w:pPr>
        <w:keepNext/>
        <w:keepLines/>
        <w:spacing w:after="0"/>
        <w:rPr>
          <w:rFonts w:ascii="Arial" w:eastAsia="Arial" w:hAnsi="Arial" w:cs="Arial"/>
          <w:color w:val="494949"/>
          <w:sz w:val="22"/>
          <w:szCs w:val="22"/>
        </w:rPr>
      </w:pPr>
    </w:p>
    <w:p w14:paraId="2EBCC797" w14:textId="77777777" w:rsidR="009F0C56" w:rsidRDefault="00653842">
      <w:pPr>
        <w:rPr>
          <w:rFonts w:ascii="Arial" w:eastAsia="Arial" w:hAnsi="Arial" w:cs="Arial"/>
          <w:color w:val="123D80"/>
          <w:sz w:val="22"/>
          <w:szCs w:val="22"/>
        </w:rPr>
      </w:pPr>
      <w:r>
        <w:rPr>
          <w:rFonts w:ascii="Arial" w:eastAsia="Arial" w:hAnsi="Arial" w:cs="Arial"/>
          <w:sz w:val="22"/>
          <w:szCs w:val="22"/>
        </w:rPr>
        <w:t xml:space="preserve">Mélissa Manglou, Laurence Rocher, Jean-Baptiste Bahers. (2022) Waste colonialism and metabolic flows in island territories. Journal of Political Ecology, 29 (1), pp.1-19. </w:t>
      </w:r>
      <w:r>
        <w:rPr>
          <w:rFonts w:ascii="Cambria Math" w:eastAsia="Cambria Math" w:hAnsi="Cambria Math" w:cs="Cambria Math"/>
          <w:color w:val="123D80"/>
          <w:sz w:val="22"/>
          <w:szCs w:val="22"/>
        </w:rPr>
        <w:t>⟨</w:t>
      </w:r>
      <w:r>
        <w:rPr>
          <w:rFonts w:ascii="Arial" w:eastAsia="Arial" w:hAnsi="Arial" w:cs="Arial"/>
          <w:color w:val="123D80"/>
          <w:sz w:val="22"/>
          <w:szCs w:val="22"/>
        </w:rPr>
        <w:t>10.2458/jpe.2836</w:t>
      </w:r>
      <w:r>
        <w:rPr>
          <w:rFonts w:ascii="Cambria Math" w:eastAsia="Cambria Math" w:hAnsi="Cambria Math" w:cs="Cambria Math"/>
          <w:color w:val="123D80"/>
          <w:sz w:val="22"/>
          <w:szCs w:val="22"/>
        </w:rPr>
        <w:t>⟩</w:t>
      </w:r>
      <w:r>
        <w:rPr>
          <w:rFonts w:ascii="Arial" w:eastAsia="Arial" w:hAnsi="Arial" w:cs="Arial"/>
          <w:color w:val="123D80"/>
          <w:sz w:val="22"/>
          <w:szCs w:val="22"/>
        </w:rPr>
        <w:t xml:space="preserve">. </w:t>
      </w:r>
      <w:r>
        <w:rPr>
          <w:rFonts w:ascii="Cambria Math" w:eastAsia="Cambria Math" w:hAnsi="Cambria Math" w:cs="Cambria Math"/>
          <w:color w:val="123D80"/>
          <w:sz w:val="22"/>
          <w:szCs w:val="22"/>
        </w:rPr>
        <w:t>⟨</w:t>
      </w:r>
      <w:r>
        <w:rPr>
          <w:rFonts w:ascii="Arial" w:eastAsia="Arial" w:hAnsi="Arial" w:cs="Arial"/>
          <w:color w:val="123D80"/>
          <w:sz w:val="22"/>
          <w:szCs w:val="22"/>
        </w:rPr>
        <w:t>hal-03573186</w:t>
      </w:r>
      <w:r>
        <w:rPr>
          <w:rFonts w:ascii="Cambria Math" w:eastAsia="Cambria Math" w:hAnsi="Cambria Math" w:cs="Cambria Math"/>
          <w:color w:val="123D80"/>
          <w:sz w:val="22"/>
          <w:szCs w:val="22"/>
        </w:rPr>
        <w:t>⟩</w:t>
      </w:r>
    </w:p>
    <w:p w14:paraId="1B41C266" w14:textId="77777777" w:rsidR="009F0C56" w:rsidRDefault="00653842">
      <w:pPr>
        <w:rPr>
          <w:rFonts w:ascii="Arial" w:eastAsia="Arial" w:hAnsi="Arial" w:cs="Arial"/>
          <w:color w:val="333333"/>
          <w:sz w:val="22"/>
          <w:szCs w:val="22"/>
          <w:highlight w:val="white"/>
        </w:rPr>
      </w:pPr>
      <w:r>
        <w:rPr>
          <w:rFonts w:ascii="Arial" w:eastAsia="Arial" w:hAnsi="Arial" w:cs="Arial"/>
          <w:color w:val="333333"/>
          <w:sz w:val="22"/>
          <w:szCs w:val="22"/>
          <w:highlight w:val="white"/>
        </w:rPr>
        <w:t>Merrifield, A. (2011). The right to the city and beyond: Notes on a Lefebvrian re-conceptualization. </w:t>
      </w:r>
      <w:r>
        <w:rPr>
          <w:rFonts w:ascii="Arial" w:eastAsia="Arial" w:hAnsi="Arial" w:cs="Arial"/>
          <w:i/>
          <w:iCs/>
          <w:color w:val="333333"/>
          <w:sz w:val="22"/>
          <w:szCs w:val="22"/>
          <w:highlight w:val="white"/>
        </w:rPr>
        <w:t>City</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15</w:t>
      </w:r>
      <w:r>
        <w:rPr>
          <w:rFonts w:ascii="Arial" w:eastAsia="Arial" w:hAnsi="Arial" w:cs="Arial"/>
          <w:color w:val="333333"/>
          <w:sz w:val="22"/>
          <w:szCs w:val="22"/>
          <w:highlight w:val="white"/>
        </w:rPr>
        <w:t xml:space="preserve">(3–4), 473–481. </w:t>
      </w:r>
      <w:hyperlink r:id="rId121">
        <w:r>
          <w:rPr>
            <w:rFonts w:ascii="Arial" w:eastAsia="Arial" w:hAnsi="Arial" w:cs="Arial"/>
            <w:color w:val="467886"/>
            <w:sz w:val="22"/>
            <w:szCs w:val="22"/>
            <w:highlight w:val="white"/>
            <w:u w:val="single"/>
          </w:rPr>
          <w:t>https://doi.org/10.1080/13604813.2011.595116</w:t>
        </w:r>
      </w:hyperlink>
    </w:p>
    <w:p w14:paraId="44CB9507" w14:textId="35B47964"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Merrifield, A.</w:t>
      </w:r>
      <w:r>
        <w:rPr>
          <w:rFonts w:ascii="Arial" w:eastAsia="Arial" w:hAnsi="Arial" w:cs="Arial"/>
          <w:color w:val="000000"/>
          <w:sz w:val="22"/>
          <w:szCs w:val="22"/>
        </w:rPr>
        <w:t xml:space="preserve"> (2011). </w:t>
      </w:r>
      <w:r>
        <w:rPr>
          <w:rFonts w:ascii="Arial" w:eastAsia="Arial" w:hAnsi="Arial" w:cs="Arial"/>
          <w:i/>
          <w:iCs/>
          <w:color w:val="000000"/>
          <w:sz w:val="22"/>
          <w:szCs w:val="22"/>
        </w:rPr>
        <w:t>Magical Marxism: Subversive Politics and the Imagination</w:t>
      </w:r>
      <w:r>
        <w:rPr>
          <w:rFonts w:ascii="Arial" w:eastAsia="Arial" w:hAnsi="Arial" w:cs="Arial"/>
          <w:color w:val="000000"/>
          <w:sz w:val="22"/>
          <w:szCs w:val="22"/>
        </w:rPr>
        <w:t>. London: Pluto Press.</w:t>
      </w:r>
    </w:p>
    <w:p w14:paraId="5120FC71" w14:textId="2BDFD912"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Miccosukee Tribe</w:t>
      </w:r>
      <w:r>
        <w:rPr>
          <w:rFonts w:ascii="Arial" w:eastAsia="Arial" w:hAnsi="Arial" w:cs="Arial"/>
          <w:color w:val="000000"/>
          <w:sz w:val="22"/>
          <w:szCs w:val="22"/>
        </w:rPr>
        <w:t xml:space="preserve"> (2025). </w:t>
      </w:r>
      <w:r>
        <w:rPr>
          <w:rFonts w:ascii="Arial" w:eastAsia="Arial" w:hAnsi="Arial" w:cs="Arial"/>
          <w:i/>
          <w:iCs/>
          <w:color w:val="000000"/>
          <w:sz w:val="22"/>
          <w:szCs w:val="22"/>
        </w:rPr>
        <w:t>The Buckskin Declaration of 1954</w:t>
      </w:r>
      <w:r>
        <w:rPr>
          <w:rFonts w:ascii="Arial" w:eastAsia="Arial" w:hAnsi="Arial" w:cs="Arial"/>
          <w:color w:val="000000"/>
          <w:sz w:val="22"/>
          <w:szCs w:val="22"/>
        </w:rPr>
        <w:t xml:space="preserve">. Miccosukee Tribe. Available from:https://miccosukee.com/miccosukee-tribe-history/ </w:t>
      </w:r>
    </w:p>
    <w:p w14:paraId="79815F27" w14:textId="2E78D589"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Mignolo, W.D. and Walsh, C.</w:t>
      </w:r>
      <w:r>
        <w:rPr>
          <w:rFonts w:ascii="Arial" w:eastAsia="Arial" w:hAnsi="Arial" w:cs="Arial"/>
          <w:color w:val="000000"/>
          <w:sz w:val="22"/>
          <w:szCs w:val="22"/>
        </w:rPr>
        <w:t xml:space="preserve"> (2018). </w:t>
      </w:r>
      <w:r>
        <w:rPr>
          <w:rFonts w:ascii="Arial" w:eastAsia="Arial" w:hAnsi="Arial" w:cs="Arial"/>
          <w:i/>
          <w:iCs/>
          <w:color w:val="000000"/>
          <w:sz w:val="22"/>
          <w:szCs w:val="22"/>
        </w:rPr>
        <w:t>On Decoloniality: Concepts, Analytics, Praxis</w:t>
      </w:r>
      <w:r>
        <w:rPr>
          <w:rFonts w:ascii="Arial" w:eastAsia="Arial" w:hAnsi="Arial" w:cs="Arial"/>
          <w:color w:val="000000"/>
          <w:sz w:val="22"/>
          <w:szCs w:val="22"/>
        </w:rPr>
        <w:t>. Durham: Duke University Press.</w:t>
      </w:r>
    </w:p>
    <w:p w14:paraId="732C4EC8" w14:textId="2A0AACE4"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Mignolo, W.D.</w:t>
      </w:r>
      <w:r>
        <w:rPr>
          <w:rFonts w:ascii="Arial" w:eastAsia="Arial" w:hAnsi="Arial" w:cs="Arial"/>
          <w:color w:val="000000"/>
          <w:sz w:val="22"/>
          <w:szCs w:val="22"/>
        </w:rPr>
        <w:t xml:space="preserve"> (2011). </w:t>
      </w:r>
      <w:r>
        <w:rPr>
          <w:rFonts w:ascii="Arial" w:eastAsia="Arial" w:hAnsi="Arial" w:cs="Arial"/>
          <w:i/>
          <w:iCs/>
          <w:color w:val="000000"/>
          <w:sz w:val="22"/>
          <w:szCs w:val="22"/>
        </w:rPr>
        <w:t>The Darker Side of Western Modernity: Global Futures, Decolonial Options</w:t>
      </w:r>
      <w:r>
        <w:rPr>
          <w:rFonts w:ascii="Arial" w:eastAsia="Arial" w:hAnsi="Arial" w:cs="Arial"/>
          <w:color w:val="000000"/>
          <w:sz w:val="22"/>
          <w:szCs w:val="22"/>
        </w:rPr>
        <w:t>. Durham: Duke University Press.</w:t>
      </w:r>
    </w:p>
    <w:p w14:paraId="05D732FD" w14:textId="77777777" w:rsidR="009F0C56" w:rsidRDefault="00653842">
      <w:pPr>
        <w:keepNext/>
        <w:keepLines/>
        <w:spacing w:after="0"/>
        <w:rPr>
          <w:rFonts w:ascii="Arial" w:eastAsia="Arial" w:hAnsi="Arial" w:cs="Arial"/>
          <w:color w:val="494949"/>
          <w:sz w:val="22"/>
          <w:szCs w:val="22"/>
        </w:rPr>
      </w:pPr>
      <w:r>
        <w:rPr>
          <w:rFonts w:ascii="Arial" w:eastAsia="Arial" w:hAnsi="Arial" w:cs="Arial"/>
          <w:sz w:val="22"/>
          <w:szCs w:val="22"/>
        </w:rPr>
        <w:t>Mignolo, Walter. (2012). Local Histories/ Global Designs. Princeton University Press. Oxford.</w:t>
      </w:r>
    </w:p>
    <w:p w14:paraId="2BCBCFC8" w14:textId="77777777" w:rsidR="009F0C56" w:rsidRDefault="00653842">
      <w:pPr>
        <w:rPr>
          <w:rFonts w:ascii="Arial" w:eastAsia="Arial" w:hAnsi="Arial" w:cs="Arial"/>
          <w:sz w:val="22"/>
          <w:szCs w:val="22"/>
        </w:rPr>
      </w:pPr>
      <w:r>
        <w:rPr>
          <w:rFonts w:ascii="Arial" w:eastAsia="Arial" w:hAnsi="Arial" w:cs="Arial"/>
          <w:sz w:val="22"/>
          <w:szCs w:val="22"/>
        </w:rPr>
        <w:t xml:space="preserve">Mills, C. 2017. Black Rights / White Wrongs: The Critique of Racial Liberalism. Oxford. Oxford University Press. </w:t>
      </w:r>
    </w:p>
    <w:p w14:paraId="44EEE427" w14:textId="68EF6E47" w:rsidR="009F0C56" w:rsidRDefault="00653842">
      <w:pPr>
        <w:rPr>
          <w:rFonts w:ascii="Arial" w:eastAsia="Arial" w:hAnsi="Arial" w:cs="Arial"/>
          <w:sz w:val="22"/>
          <w:szCs w:val="22"/>
        </w:rPr>
      </w:pPr>
      <w:r>
        <w:rPr>
          <w:rFonts w:ascii="Arial" w:eastAsia="Arial" w:hAnsi="Arial" w:cs="Arial"/>
          <w:sz w:val="22"/>
          <w:szCs w:val="22"/>
        </w:rPr>
        <w:t>Mills, Charles</w:t>
      </w:r>
      <w:r>
        <w:rPr>
          <w:rFonts w:ascii="Arial" w:eastAsia="Arial" w:hAnsi="Arial" w:cs="Arial"/>
          <w:sz w:val="22"/>
          <w:szCs w:val="22"/>
        </w:rPr>
        <w:t xml:space="preserve"> (1999). The Racial </w:t>
      </w:r>
      <w:r w:rsidR="00F44422">
        <w:rPr>
          <w:rFonts w:ascii="Arial" w:eastAsia="Arial" w:hAnsi="Arial" w:cs="Arial"/>
          <w:sz w:val="22"/>
          <w:szCs w:val="22"/>
        </w:rPr>
        <w:t>Contract</w:t>
      </w:r>
      <w:r>
        <w:rPr>
          <w:rFonts w:ascii="Arial" w:eastAsia="Arial" w:hAnsi="Arial" w:cs="Arial"/>
          <w:sz w:val="22"/>
          <w:szCs w:val="22"/>
        </w:rPr>
        <w:t xml:space="preserve">. Cornell University </w:t>
      </w:r>
      <w:r w:rsidR="00F44422">
        <w:rPr>
          <w:rFonts w:ascii="Arial" w:eastAsia="Arial" w:hAnsi="Arial" w:cs="Arial"/>
          <w:sz w:val="22"/>
          <w:szCs w:val="22"/>
        </w:rPr>
        <w:t>Press</w:t>
      </w:r>
      <w:r>
        <w:rPr>
          <w:rFonts w:ascii="Arial" w:eastAsia="Arial" w:hAnsi="Arial" w:cs="Arial"/>
          <w:sz w:val="22"/>
          <w:szCs w:val="22"/>
        </w:rPr>
        <w:t>. London.</w:t>
      </w:r>
    </w:p>
    <w:p w14:paraId="1BB3845C" w14:textId="77777777" w:rsidR="009F0C56" w:rsidRDefault="00653842">
      <w:pPr>
        <w:rPr>
          <w:rFonts w:ascii="Arial" w:eastAsia="Arial" w:hAnsi="Arial" w:cs="Arial"/>
          <w:sz w:val="22"/>
          <w:szCs w:val="22"/>
        </w:rPr>
      </w:pPr>
      <w:r>
        <w:rPr>
          <w:rFonts w:ascii="Arial" w:eastAsia="Arial" w:hAnsi="Arial" w:cs="Arial"/>
          <w:color w:val="202124"/>
          <w:sz w:val="22"/>
          <w:szCs w:val="22"/>
          <w:highlight w:val="white"/>
        </w:rPr>
        <w:t>Miranda Cornelisse</w:t>
      </w:r>
      <w:r>
        <w:rPr>
          <w:rFonts w:ascii="Arial" w:eastAsia="Arial" w:hAnsi="Arial" w:cs="Arial"/>
          <w:sz w:val="22"/>
          <w:szCs w:val="22"/>
        </w:rPr>
        <w:t xml:space="preserve">. (2014). “The Sustainable tourism discourse – a critical discourse analysis.” Academia. Accessible on: </w:t>
      </w:r>
      <w:hyperlink r:id="rId122">
        <w:r>
          <w:rPr>
            <w:rFonts w:ascii="Arial" w:eastAsia="Arial" w:hAnsi="Arial" w:cs="Arial"/>
            <w:color w:val="467886"/>
            <w:sz w:val="22"/>
            <w:szCs w:val="22"/>
            <w:u w:val="single"/>
          </w:rPr>
          <w:t>https://d1wqtxts1xzle7.cloudfront.net/54802619/Paper_ISA_Japan-with-cover-page-v2.pdf?Expires=1665928230&amp;Signature=es7EP5BJOLRPlkvCyNbSUvaEYZWXmI3zGb8A5~d37cdkZJChTcj1HWOd8WELx5kalw5fuuwMLX3qRXHcqTqtDukjr4IWQ5KAdg5-hNI-Z9UnC9cTiKb4qVhHV2lPGVYnu9nXUEwGXiTHvM4gxdcnhWOP0JC9W75ujw8dQUefixFQB1oOlvfCBbkucAQrSyp~PWzQOE37ZYkJDtjL9~IAmEoK-FpH6fXAOgi5vvNEzKp9BCPOz3-9nHhjRk8WqK5NsJuoDgdlQUqnbR4RF5N3CtMIL2tqcIoXuIU3C5YUikRgfcKoSMd3ZbsecAZ2h4d72akmgVI0uk9PxYoBWfRtvA__&amp;Key-Pair-Id=APKAJLOHF5GGSLRBV4ZA</w:t>
        </w:r>
      </w:hyperlink>
      <w:r>
        <w:rPr>
          <w:rFonts w:ascii="Arial" w:eastAsia="Arial" w:hAnsi="Arial" w:cs="Arial"/>
          <w:sz w:val="22"/>
          <w:szCs w:val="22"/>
        </w:rPr>
        <w:t xml:space="preserve">  </w:t>
      </w:r>
    </w:p>
    <w:p w14:paraId="50E98F3E" w14:textId="18A3A6A0"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Moreton-Robinson, A.</w:t>
      </w:r>
      <w:r>
        <w:rPr>
          <w:rFonts w:ascii="Arial" w:eastAsia="Arial" w:hAnsi="Arial" w:cs="Arial"/>
          <w:color w:val="000000"/>
          <w:sz w:val="22"/>
          <w:szCs w:val="22"/>
        </w:rPr>
        <w:t xml:space="preserve"> (2015). </w:t>
      </w:r>
      <w:r>
        <w:rPr>
          <w:rFonts w:ascii="Arial" w:eastAsia="Arial" w:hAnsi="Arial" w:cs="Arial"/>
          <w:i/>
          <w:iCs/>
          <w:color w:val="000000"/>
          <w:sz w:val="22"/>
          <w:szCs w:val="22"/>
        </w:rPr>
        <w:t>The White Possessive: Property, Power, and Indigenous Sovereignty</w:t>
      </w:r>
      <w:r>
        <w:rPr>
          <w:rFonts w:ascii="Arial" w:eastAsia="Arial" w:hAnsi="Arial" w:cs="Arial"/>
          <w:color w:val="000000"/>
          <w:sz w:val="22"/>
          <w:szCs w:val="22"/>
        </w:rPr>
        <w:t>. Minneapolis: University of Minnesota Press.</w:t>
      </w:r>
    </w:p>
    <w:p w14:paraId="2B2924DA" w14:textId="0C4DA41D"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Morton, A.D.</w:t>
      </w:r>
      <w:r>
        <w:rPr>
          <w:rFonts w:ascii="Arial" w:eastAsia="Arial" w:hAnsi="Arial" w:cs="Arial"/>
          <w:color w:val="000000"/>
          <w:sz w:val="22"/>
          <w:szCs w:val="22"/>
        </w:rPr>
        <w:t xml:space="preserve"> (2008). </w:t>
      </w:r>
      <w:r>
        <w:rPr>
          <w:rFonts w:ascii="Arial" w:eastAsia="Arial" w:hAnsi="Arial" w:cs="Arial"/>
          <w:i/>
          <w:iCs/>
          <w:color w:val="000000"/>
          <w:sz w:val="22"/>
          <w:szCs w:val="22"/>
        </w:rPr>
        <w:t>Unravelling Gramsci: Hegemony and Passive Revolution in the Global Political Economy</w:t>
      </w:r>
      <w:r>
        <w:rPr>
          <w:rFonts w:ascii="Arial" w:eastAsia="Arial" w:hAnsi="Arial" w:cs="Arial"/>
          <w:color w:val="000000"/>
          <w:sz w:val="22"/>
          <w:szCs w:val="22"/>
        </w:rPr>
        <w:t>. London: Pluto Press.</w:t>
      </w:r>
    </w:p>
    <w:p w14:paraId="6477852D" w14:textId="1CAB6A9B" w:rsidR="009F0C56" w:rsidRDefault="00653842">
      <w:pPr>
        <w:rPr>
          <w:rFonts w:ascii="Arial" w:eastAsia="Arial" w:hAnsi="Arial" w:cs="Arial"/>
          <w:color w:val="464646"/>
          <w:sz w:val="22"/>
          <w:szCs w:val="22"/>
          <w:highlight w:val="white"/>
        </w:rPr>
      </w:pPr>
      <w:r>
        <w:rPr>
          <w:rFonts w:ascii="Arial" w:eastAsia="Arial" w:hAnsi="Arial" w:cs="Arial"/>
          <w:sz w:val="22"/>
          <w:szCs w:val="22"/>
          <w:highlight w:val="white"/>
        </w:rPr>
        <w:t>Müller-Mahn, D., Runkel, S., Schlottmann, A., and Stephan, C</w:t>
      </w:r>
      <w:r w:rsidR="00F44422">
        <w:rPr>
          <w:rFonts w:ascii="Arial" w:eastAsia="Arial" w:hAnsi="Arial" w:cs="Arial"/>
          <w:sz w:val="22"/>
          <w:szCs w:val="22"/>
          <w:highlight w:val="white"/>
        </w:rPr>
        <w:t>.</w:t>
      </w:r>
      <w:r>
        <w:rPr>
          <w:rFonts w:ascii="Arial" w:eastAsia="Arial" w:hAnsi="Arial" w:cs="Arial"/>
          <w:sz w:val="22"/>
          <w:szCs w:val="22"/>
          <w:highlight w:val="white"/>
        </w:rPr>
        <w:t xml:space="preserve"> (2025).</w:t>
      </w:r>
      <w:r>
        <w:rPr>
          <w:rFonts w:ascii="Arial" w:eastAsia="Arial" w:hAnsi="Arial" w:cs="Arial"/>
          <w:sz w:val="22"/>
          <w:szCs w:val="22"/>
          <w:highlight w:val="white"/>
        </w:rPr>
        <w:t xml:space="preserve">Geographies of the future, Geogr. Helv., 80, 177–185, </w:t>
      </w:r>
      <w:hyperlink r:id="rId123">
        <w:r>
          <w:rPr>
            <w:rFonts w:ascii="Arial" w:eastAsia="Arial" w:hAnsi="Arial" w:cs="Arial"/>
            <w:color w:val="000000"/>
            <w:sz w:val="22"/>
            <w:szCs w:val="22"/>
            <w:highlight w:val="white"/>
            <w:u w:val="single"/>
          </w:rPr>
          <w:t>https://doi.org/10.5194/gh-80-177-2025</w:t>
        </w:r>
      </w:hyperlink>
      <w:r>
        <w:rPr>
          <w:rFonts w:ascii="Arial" w:eastAsia="Arial" w:hAnsi="Arial" w:cs="Arial"/>
          <w:color w:val="464646"/>
          <w:sz w:val="22"/>
          <w:szCs w:val="22"/>
          <w:highlight w:val="white"/>
        </w:rPr>
        <w:t xml:space="preserve"> </w:t>
      </w:r>
    </w:p>
    <w:p w14:paraId="583D0236" w14:textId="77777777" w:rsidR="009F0C56" w:rsidRDefault="00653842">
      <w:pPr>
        <w:spacing w:after="0" w:line="240" w:lineRule="auto"/>
        <w:rPr>
          <w:rFonts w:ascii="Arial" w:eastAsia="Arial" w:hAnsi="Arial" w:cs="Arial"/>
          <w:sz w:val="22"/>
          <w:szCs w:val="22"/>
        </w:rPr>
      </w:pPr>
      <w:r>
        <w:rPr>
          <w:rFonts w:ascii="Arial" w:eastAsia="Arial" w:hAnsi="Arial" w:cs="Arial"/>
          <w:sz w:val="22"/>
          <w:szCs w:val="22"/>
        </w:rPr>
        <w:t xml:space="preserve">Nanni, G. (2011). Time, empire and resistance in settler-colonial Victoria. </w:t>
      </w:r>
      <w:r>
        <w:rPr>
          <w:rFonts w:ascii="Arial" w:eastAsia="Arial" w:hAnsi="Arial" w:cs="Arial"/>
          <w:i/>
          <w:iCs/>
          <w:sz w:val="22"/>
          <w:szCs w:val="22"/>
        </w:rPr>
        <w:t>Time &amp; Society</w:t>
      </w:r>
      <w:r>
        <w:rPr>
          <w:rFonts w:ascii="Arial" w:eastAsia="Arial" w:hAnsi="Arial" w:cs="Arial"/>
          <w:sz w:val="22"/>
          <w:szCs w:val="22"/>
        </w:rPr>
        <w:t xml:space="preserve">, </w:t>
      </w:r>
      <w:r>
        <w:rPr>
          <w:rFonts w:ascii="Arial" w:eastAsia="Arial" w:hAnsi="Arial" w:cs="Arial"/>
          <w:i/>
          <w:iCs/>
          <w:sz w:val="22"/>
          <w:szCs w:val="22"/>
        </w:rPr>
        <w:t>20</w:t>
      </w:r>
      <w:r>
        <w:rPr>
          <w:rFonts w:ascii="Arial" w:eastAsia="Arial" w:hAnsi="Arial" w:cs="Arial"/>
          <w:sz w:val="22"/>
          <w:szCs w:val="22"/>
        </w:rPr>
        <w:t xml:space="preserve">(1), 5-33. </w:t>
      </w:r>
      <w:hyperlink r:id="rId124">
        <w:r>
          <w:rPr>
            <w:rFonts w:ascii="Arial" w:eastAsia="Arial" w:hAnsi="Arial" w:cs="Arial"/>
            <w:color w:val="0000FF"/>
            <w:sz w:val="22"/>
            <w:szCs w:val="22"/>
            <w:u w:val="single"/>
          </w:rPr>
          <w:t>https://doi.org/10.1177/0961463X10369765</w:t>
        </w:r>
      </w:hyperlink>
      <w:r>
        <w:rPr>
          <w:rFonts w:ascii="Arial" w:eastAsia="Arial" w:hAnsi="Arial" w:cs="Arial"/>
          <w:sz w:val="22"/>
          <w:szCs w:val="22"/>
        </w:rPr>
        <w:t xml:space="preserve"> </w:t>
      </w:r>
    </w:p>
    <w:p w14:paraId="378ABCEA" w14:textId="77777777" w:rsidR="009F0C56" w:rsidRDefault="009F0C56">
      <w:pPr>
        <w:spacing w:after="0" w:line="240" w:lineRule="auto"/>
        <w:rPr>
          <w:rFonts w:ascii="Arial" w:eastAsia="Arial" w:hAnsi="Arial" w:cs="Arial"/>
          <w:sz w:val="22"/>
          <w:szCs w:val="22"/>
        </w:rPr>
      </w:pPr>
    </w:p>
    <w:p w14:paraId="607E3B0B" w14:textId="77777777" w:rsidR="009F0C56" w:rsidRDefault="00653842">
      <w:pPr>
        <w:rPr>
          <w:rFonts w:ascii="Arial" w:eastAsia="Arial" w:hAnsi="Arial" w:cs="Arial"/>
          <w:sz w:val="22"/>
          <w:szCs w:val="22"/>
        </w:rPr>
      </w:pPr>
      <w:r>
        <w:rPr>
          <w:rFonts w:ascii="Arial" w:eastAsia="Arial" w:hAnsi="Arial" w:cs="Arial"/>
          <w:sz w:val="22"/>
          <w:szCs w:val="22"/>
        </w:rPr>
        <w:t>Ndlovu, M. (2019). Performing Indigeneity: Spectacles of Culture and Identity in Coloniality. London. Pluto Press.</w:t>
      </w:r>
    </w:p>
    <w:p w14:paraId="65ABED42" w14:textId="77777777" w:rsidR="009F0C56" w:rsidRDefault="00653842">
      <w:pPr>
        <w:spacing w:after="0" w:line="240" w:lineRule="auto"/>
        <w:rPr>
          <w:rFonts w:ascii="Arial" w:eastAsia="Arial" w:hAnsi="Arial" w:cs="Arial"/>
          <w:sz w:val="22"/>
          <w:szCs w:val="22"/>
        </w:rPr>
      </w:pPr>
      <w:r>
        <w:rPr>
          <w:rFonts w:ascii="Arial" w:eastAsia="Arial" w:hAnsi="Arial" w:cs="Arial"/>
          <w:sz w:val="22"/>
          <w:szCs w:val="22"/>
        </w:rPr>
        <w:t xml:space="preserve">Neeganagwedgin, E. (2020). Indigenous ancestral lands and Elders epistemologies in a time of pandemic. </w:t>
      </w:r>
      <w:r>
        <w:rPr>
          <w:rFonts w:ascii="Arial" w:eastAsia="Arial" w:hAnsi="Arial" w:cs="Arial"/>
          <w:i/>
          <w:iCs/>
          <w:sz w:val="22"/>
          <w:szCs w:val="22"/>
        </w:rPr>
        <w:t>AlterNative: An International Journal of Indigenous Peoples</w:t>
      </w:r>
      <w:r>
        <w:rPr>
          <w:rFonts w:ascii="Arial" w:eastAsia="Arial" w:hAnsi="Arial" w:cs="Arial"/>
          <w:sz w:val="22"/>
          <w:szCs w:val="22"/>
        </w:rPr>
        <w:t xml:space="preserve">, </w:t>
      </w:r>
      <w:r>
        <w:rPr>
          <w:rFonts w:ascii="Arial" w:eastAsia="Arial" w:hAnsi="Arial" w:cs="Arial"/>
          <w:i/>
          <w:iCs/>
          <w:sz w:val="22"/>
          <w:szCs w:val="22"/>
        </w:rPr>
        <w:t>16</w:t>
      </w:r>
      <w:r>
        <w:rPr>
          <w:rFonts w:ascii="Arial" w:eastAsia="Arial" w:hAnsi="Arial" w:cs="Arial"/>
          <w:sz w:val="22"/>
          <w:szCs w:val="22"/>
        </w:rPr>
        <w:t xml:space="preserve">(4), 406-408. </w:t>
      </w:r>
      <w:hyperlink r:id="rId125">
        <w:r>
          <w:rPr>
            <w:rFonts w:ascii="Arial" w:eastAsia="Arial" w:hAnsi="Arial" w:cs="Arial"/>
            <w:color w:val="0000FF"/>
            <w:sz w:val="22"/>
            <w:szCs w:val="22"/>
            <w:u w:val="single"/>
          </w:rPr>
          <w:t>https://doi.org/10.1177/1177180120970939</w:t>
        </w:r>
      </w:hyperlink>
      <w:r>
        <w:rPr>
          <w:rFonts w:ascii="Arial" w:eastAsia="Arial" w:hAnsi="Arial" w:cs="Arial"/>
          <w:sz w:val="22"/>
          <w:szCs w:val="22"/>
        </w:rPr>
        <w:t xml:space="preserve"> </w:t>
      </w:r>
    </w:p>
    <w:p w14:paraId="0FB9FC22" w14:textId="77777777" w:rsidR="009F0C56" w:rsidRDefault="009F0C56">
      <w:pPr>
        <w:spacing w:after="0" w:line="240" w:lineRule="auto"/>
        <w:rPr>
          <w:rFonts w:ascii="Arial" w:eastAsia="Arial" w:hAnsi="Arial" w:cs="Arial"/>
          <w:sz w:val="22"/>
          <w:szCs w:val="22"/>
        </w:rPr>
      </w:pPr>
    </w:p>
    <w:p w14:paraId="6D0A6131" w14:textId="299683DC" w:rsidR="009F0C56" w:rsidRDefault="00653842">
      <w:pPr>
        <w:spacing w:after="0" w:line="240" w:lineRule="auto"/>
        <w:rPr>
          <w:rFonts w:ascii="Arial" w:eastAsia="Arial" w:hAnsi="Arial" w:cs="Arial"/>
          <w:sz w:val="22"/>
          <w:szCs w:val="22"/>
        </w:rPr>
      </w:pPr>
      <w:r>
        <w:rPr>
          <w:rFonts w:ascii="Arial" w:eastAsia="Arial" w:hAnsi="Arial" w:cs="Arial"/>
          <w:sz w:val="22"/>
          <w:szCs w:val="22"/>
        </w:rPr>
        <w:lastRenderedPageBreak/>
        <w:t>Newton, J.</w:t>
      </w:r>
      <w:r>
        <w:rPr>
          <w:rFonts w:ascii="Arial" w:eastAsia="Arial" w:hAnsi="Arial" w:cs="Arial"/>
          <w:sz w:val="22"/>
          <w:szCs w:val="22"/>
        </w:rPr>
        <w:t xml:space="preserve"> (2002). </w:t>
      </w:r>
      <w:r>
        <w:rPr>
          <w:rFonts w:ascii="Arial" w:eastAsia="Arial" w:hAnsi="Arial" w:cs="Arial"/>
          <w:i/>
          <w:iCs/>
          <w:sz w:val="22"/>
          <w:szCs w:val="22"/>
        </w:rPr>
        <w:t>From Panthers to Promise Keepers: Rethinking the Black Male Body in Contemporary U.S. Culture</w:t>
      </w:r>
      <w:r>
        <w:rPr>
          <w:rFonts w:ascii="Arial" w:eastAsia="Arial" w:hAnsi="Arial" w:cs="Arial"/>
          <w:sz w:val="22"/>
          <w:szCs w:val="22"/>
        </w:rPr>
        <w:t>. New York: Columbia University Press.</w:t>
      </w:r>
    </w:p>
    <w:p w14:paraId="423F8186" w14:textId="77777777" w:rsidR="009F0C56" w:rsidRDefault="009F0C56">
      <w:pPr>
        <w:spacing w:after="0" w:line="240" w:lineRule="auto"/>
        <w:rPr>
          <w:rFonts w:ascii="Arial" w:eastAsia="Arial" w:hAnsi="Arial" w:cs="Arial"/>
          <w:sz w:val="22"/>
          <w:szCs w:val="22"/>
        </w:rPr>
      </w:pPr>
    </w:p>
    <w:p w14:paraId="1958BABD" w14:textId="77777777" w:rsidR="009F0C56" w:rsidRDefault="00653842">
      <w:pPr>
        <w:spacing w:after="0" w:line="240" w:lineRule="auto"/>
        <w:rPr>
          <w:rFonts w:ascii="Arial" w:eastAsia="Arial" w:hAnsi="Arial" w:cs="Arial"/>
          <w:sz w:val="22"/>
          <w:szCs w:val="22"/>
        </w:rPr>
      </w:pPr>
      <w:r>
        <w:rPr>
          <w:rFonts w:ascii="Arial" w:eastAsia="Arial" w:hAnsi="Arial" w:cs="Arial"/>
          <w:sz w:val="22"/>
          <w:szCs w:val="22"/>
        </w:rPr>
        <w:t xml:space="preserve">Newton, V. A. (2022). Hypervisibility and Invisibility: Black Women’s Experiences with Gendered Racial Microaggressions on a White Campus. </w:t>
      </w:r>
      <w:r>
        <w:rPr>
          <w:rFonts w:ascii="Arial" w:eastAsia="Arial" w:hAnsi="Arial" w:cs="Arial"/>
          <w:i/>
          <w:iCs/>
          <w:sz w:val="22"/>
          <w:szCs w:val="22"/>
        </w:rPr>
        <w:t>Sociology of Race and Ethnicity</w:t>
      </w:r>
      <w:r>
        <w:rPr>
          <w:rFonts w:ascii="Arial" w:eastAsia="Arial" w:hAnsi="Arial" w:cs="Arial"/>
          <w:sz w:val="22"/>
          <w:szCs w:val="22"/>
        </w:rPr>
        <w:t xml:space="preserve">, </w:t>
      </w:r>
      <w:r>
        <w:rPr>
          <w:rFonts w:ascii="Arial" w:eastAsia="Arial" w:hAnsi="Arial" w:cs="Arial"/>
          <w:i/>
          <w:iCs/>
          <w:sz w:val="22"/>
          <w:szCs w:val="22"/>
        </w:rPr>
        <w:t>9</w:t>
      </w:r>
      <w:r>
        <w:rPr>
          <w:rFonts w:ascii="Arial" w:eastAsia="Arial" w:hAnsi="Arial" w:cs="Arial"/>
          <w:sz w:val="22"/>
          <w:szCs w:val="22"/>
        </w:rPr>
        <w:t xml:space="preserve">(2), 164-178. </w:t>
      </w:r>
      <w:hyperlink r:id="rId126">
        <w:r>
          <w:rPr>
            <w:rFonts w:ascii="Arial" w:eastAsia="Arial" w:hAnsi="Arial" w:cs="Arial"/>
            <w:color w:val="0000FF"/>
            <w:sz w:val="22"/>
            <w:szCs w:val="22"/>
            <w:u w:val="single"/>
          </w:rPr>
          <w:t>https://doi.org/10.1177/23326492221138222</w:t>
        </w:r>
      </w:hyperlink>
      <w:r>
        <w:rPr>
          <w:rFonts w:ascii="Arial" w:eastAsia="Arial" w:hAnsi="Arial" w:cs="Arial"/>
          <w:sz w:val="22"/>
          <w:szCs w:val="22"/>
        </w:rPr>
        <w:t xml:space="preserve"> (Original work published 2023)</w:t>
      </w:r>
    </w:p>
    <w:p w14:paraId="7C009BF4" w14:textId="77777777" w:rsidR="009F0C56" w:rsidRDefault="009F0C56">
      <w:pPr>
        <w:spacing w:after="0" w:line="240" w:lineRule="auto"/>
        <w:rPr>
          <w:rFonts w:ascii="Arial" w:eastAsia="Arial" w:hAnsi="Arial" w:cs="Arial"/>
          <w:sz w:val="22"/>
          <w:szCs w:val="22"/>
        </w:rPr>
      </w:pPr>
    </w:p>
    <w:p w14:paraId="3E6BE1CB" w14:textId="77777777" w:rsidR="009F0C56" w:rsidRDefault="00653842">
      <w:pPr>
        <w:spacing w:after="0" w:line="240" w:lineRule="auto"/>
        <w:rPr>
          <w:rFonts w:ascii="Arial" w:eastAsia="Arial" w:hAnsi="Arial" w:cs="Arial"/>
          <w:sz w:val="22"/>
          <w:szCs w:val="22"/>
        </w:rPr>
      </w:pPr>
      <w:r>
        <w:rPr>
          <w:rFonts w:ascii="Arial" w:eastAsia="Arial" w:hAnsi="Arial" w:cs="Arial"/>
          <w:sz w:val="22"/>
          <w:szCs w:val="22"/>
        </w:rPr>
        <w:t xml:space="preserve">Nichols, R. (2013). Indigeneity and the Settler Contract today. </w:t>
      </w:r>
      <w:r>
        <w:rPr>
          <w:rFonts w:ascii="Arial" w:eastAsia="Arial" w:hAnsi="Arial" w:cs="Arial"/>
          <w:i/>
          <w:iCs/>
          <w:sz w:val="22"/>
          <w:szCs w:val="22"/>
        </w:rPr>
        <w:t>Philosophy &amp; Social Criticism</w:t>
      </w:r>
      <w:r>
        <w:rPr>
          <w:rFonts w:ascii="Arial" w:eastAsia="Arial" w:hAnsi="Arial" w:cs="Arial"/>
          <w:sz w:val="22"/>
          <w:szCs w:val="22"/>
        </w:rPr>
        <w:t xml:space="preserve">, </w:t>
      </w:r>
      <w:r>
        <w:rPr>
          <w:rFonts w:ascii="Arial" w:eastAsia="Arial" w:hAnsi="Arial" w:cs="Arial"/>
          <w:i/>
          <w:iCs/>
          <w:sz w:val="22"/>
          <w:szCs w:val="22"/>
        </w:rPr>
        <w:t>39</w:t>
      </w:r>
      <w:r>
        <w:rPr>
          <w:rFonts w:ascii="Arial" w:eastAsia="Arial" w:hAnsi="Arial" w:cs="Arial"/>
          <w:sz w:val="22"/>
          <w:szCs w:val="22"/>
        </w:rPr>
        <w:t xml:space="preserve">(2), 165-186. </w:t>
      </w:r>
      <w:hyperlink r:id="rId127">
        <w:r>
          <w:rPr>
            <w:rFonts w:ascii="Arial" w:eastAsia="Arial" w:hAnsi="Arial" w:cs="Arial"/>
            <w:color w:val="0000FF"/>
            <w:sz w:val="22"/>
            <w:szCs w:val="22"/>
            <w:u w:val="single"/>
          </w:rPr>
          <w:t>https://doi.org/10.1177/0191453712470359</w:t>
        </w:r>
      </w:hyperlink>
      <w:r>
        <w:rPr>
          <w:rFonts w:ascii="Arial" w:eastAsia="Arial" w:hAnsi="Arial" w:cs="Arial"/>
          <w:sz w:val="22"/>
          <w:szCs w:val="22"/>
        </w:rPr>
        <w:t xml:space="preserve"> (</w:t>
      </w:r>
    </w:p>
    <w:p w14:paraId="4BC1EFDA" w14:textId="77777777" w:rsidR="009F0C56" w:rsidRDefault="009F0C56">
      <w:pPr>
        <w:rPr>
          <w:rFonts w:ascii="Arial" w:eastAsia="Arial" w:hAnsi="Arial" w:cs="Arial"/>
          <w:sz w:val="22"/>
          <w:szCs w:val="22"/>
        </w:rPr>
      </w:pPr>
    </w:p>
    <w:p w14:paraId="6A1B667E" w14:textId="6F48BF65" w:rsidR="009F0C56" w:rsidRDefault="00653842">
      <w:pPr>
        <w:rPr>
          <w:rFonts w:ascii="Arial" w:eastAsia="Arial" w:hAnsi="Arial" w:cs="Arial"/>
          <w:sz w:val="22"/>
          <w:szCs w:val="22"/>
        </w:rPr>
      </w:pPr>
      <w:r>
        <w:rPr>
          <w:rFonts w:ascii="Arial" w:eastAsia="Arial" w:hAnsi="Arial" w:cs="Arial"/>
          <w:sz w:val="22"/>
          <w:szCs w:val="22"/>
        </w:rPr>
        <w:t>Nielsen, M. Heather</w:t>
      </w:r>
      <w:r>
        <w:rPr>
          <w:rFonts w:ascii="Arial" w:eastAsia="Arial" w:hAnsi="Arial" w:cs="Arial"/>
          <w:sz w:val="22"/>
          <w:szCs w:val="22"/>
        </w:rPr>
        <w:t xml:space="preserve"> B. (2022). Finding Right Relations: Quakers, Native Americans and Settler Colonialism. USA. The University of Arizona Press. </w:t>
      </w:r>
    </w:p>
    <w:p w14:paraId="3837E9FB" w14:textId="77777777" w:rsidR="009F0C56" w:rsidRDefault="00653842">
      <w:pPr>
        <w:spacing w:after="0" w:line="240" w:lineRule="auto"/>
        <w:rPr>
          <w:rFonts w:ascii="Arial" w:eastAsia="Arial" w:hAnsi="Arial" w:cs="Arial"/>
          <w:color w:val="000000"/>
          <w:sz w:val="22"/>
          <w:szCs w:val="22"/>
          <w:highlight w:val="white"/>
        </w:rPr>
      </w:pPr>
      <w:r>
        <w:rPr>
          <w:rFonts w:ascii="Arial" w:eastAsia="Arial" w:hAnsi="Arial" w:cs="Arial"/>
          <w:color w:val="000000"/>
          <w:sz w:val="22"/>
          <w:szCs w:val="22"/>
          <w:highlight w:val="white"/>
        </w:rPr>
        <w:t xml:space="preserve">Nitzan, J., &amp; Bichler, S. (2009). Capital as Power: A Study of Order and Creorder (1st ed.). Routledge. </w:t>
      </w:r>
      <w:hyperlink r:id="rId128">
        <w:r>
          <w:rPr>
            <w:rFonts w:ascii="Arial" w:eastAsia="Arial" w:hAnsi="Arial" w:cs="Arial"/>
            <w:color w:val="467886"/>
            <w:sz w:val="22"/>
            <w:szCs w:val="22"/>
            <w:highlight w:val="white"/>
            <w:u w:val="single"/>
          </w:rPr>
          <w:t>https://doi.org/10.4324/9780203876329</w:t>
        </w:r>
      </w:hyperlink>
    </w:p>
    <w:p w14:paraId="541825D6" w14:textId="2F091B8E" w:rsidR="009F0C56" w:rsidRDefault="00653842">
      <w:pPr>
        <w:rPr>
          <w:rFonts w:ascii="Arial" w:eastAsia="Arial" w:hAnsi="Arial" w:cs="Arial"/>
          <w:color w:val="29313D"/>
          <w:sz w:val="22"/>
          <w:szCs w:val="22"/>
        </w:rPr>
      </w:pPr>
      <w:r>
        <w:rPr>
          <w:rFonts w:ascii="Arial" w:eastAsia="Arial" w:hAnsi="Arial" w:cs="Arial"/>
          <w:color w:val="29313D"/>
          <w:sz w:val="22"/>
          <w:szCs w:val="22"/>
        </w:rPr>
        <w:t>Norton, J. </w:t>
      </w:r>
      <w:r>
        <w:rPr>
          <w:rFonts w:ascii="Arial" w:eastAsia="Arial" w:hAnsi="Arial" w:cs="Arial"/>
          <w:i/>
          <w:iCs/>
          <w:color w:val="29313D"/>
          <w:sz w:val="22"/>
          <w:szCs w:val="22"/>
        </w:rPr>
        <w:t>Genocide in Northwestern California: When Our Worlds Cried</w:t>
      </w:r>
      <w:r w:rsidR="00F44422">
        <w:rPr>
          <w:rFonts w:ascii="Arial" w:eastAsia="Arial" w:hAnsi="Arial" w:cs="Arial"/>
          <w:color w:val="29313D"/>
          <w:sz w:val="22"/>
          <w:szCs w:val="22"/>
        </w:rPr>
        <w:t>.</w:t>
      </w:r>
      <w:r>
        <w:rPr>
          <w:rFonts w:ascii="Arial" w:eastAsia="Arial" w:hAnsi="Arial" w:cs="Arial"/>
          <w:color w:val="29313D"/>
          <w:sz w:val="22"/>
          <w:szCs w:val="22"/>
        </w:rPr>
        <w:t xml:space="preserve"> Indian Historian Press: San Francisco, CA, USA, 1979</w:t>
      </w:r>
    </w:p>
    <w:p w14:paraId="3D7072E9" w14:textId="56AA5682" w:rsidR="009F0C56" w:rsidRDefault="00653842">
      <w:pPr>
        <w:shd w:val="clear" w:color="auto" w:fill="FFFFFF"/>
        <w:spacing w:after="280" w:line="240" w:lineRule="auto"/>
        <w:rPr>
          <w:rFonts w:ascii="Arial" w:eastAsia="Arial" w:hAnsi="Arial" w:cs="Arial"/>
          <w:sz w:val="22"/>
          <w:szCs w:val="22"/>
        </w:rPr>
      </w:pPr>
      <w:r>
        <w:rPr>
          <w:rFonts w:ascii="Arial" w:eastAsia="Arial" w:hAnsi="Arial" w:cs="Arial"/>
          <w:sz w:val="22"/>
          <w:szCs w:val="22"/>
        </w:rPr>
        <w:t>Noxolo, P</w:t>
      </w:r>
      <w:r w:rsidR="00F44422">
        <w:rPr>
          <w:rFonts w:ascii="Arial" w:eastAsia="Arial" w:hAnsi="Arial" w:cs="Arial"/>
          <w:sz w:val="22"/>
          <w:szCs w:val="22"/>
        </w:rPr>
        <w:t>.</w:t>
      </w:r>
      <w:r>
        <w:rPr>
          <w:rFonts w:ascii="Arial" w:eastAsia="Arial" w:hAnsi="Arial" w:cs="Arial"/>
          <w:sz w:val="22"/>
          <w:szCs w:val="22"/>
        </w:rPr>
        <w:t xml:space="preserve"> (2022), 'Geographies of race and ethnicity 1: Black Geographies', Progress in Human Geography. </w:t>
      </w:r>
      <w:hyperlink r:id="rId129">
        <w:r>
          <w:rPr>
            <w:rFonts w:ascii="Arial" w:eastAsia="Arial" w:hAnsi="Arial" w:cs="Arial"/>
            <w:color w:val="467886"/>
            <w:sz w:val="22"/>
            <w:szCs w:val="22"/>
            <w:u w:val="single"/>
          </w:rPr>
          <w:t>https://doi.org/10.1177/03091325221085291</w:t>
        </w:r>
      </w:hyperlink>
      <w:r>
        <w:rPr>
          <w:rFonts w:ascii="Arial" w:eastAsia="Arial" w:hAnsi="Arial" w:cs="Arial"/>
          <w:sz w:val="22"/>
          <w:szCs w:val="22"/>
        </w:rPr>
        <w:t xml:space="preserve"> </w:t>
      </w:r>
    </w:p>
    <w:p w14:paraId="1DF52B44" w14:textId="77777777" w:rsidR="009F0C56" w:rsidRDefault="00653842">
      <w:pPr>
        <w:rPr>
          <w:rFonts w:ascii="Arial" w:eastAsia="Arial" w:hAnsi="Arial" w:cs="Arial"/>
          <w:sz w:val="22"/>
          <w:szCs w:val="22"/>
        </w:rPr>
      </w:pPr>
      <w:r>
        <w:rPr>
          <w:rFonts w:ascii="Arial" w:eastAsia="Arial" w:hAnsi="Arial" w:cs="Arial"/>
          <w:sz w:val="22"/>
          <w:szCs w:val="22"/>
        </w:rPr>
        <w:t xml:space="preserve">Nunpa, C. (2020). The Great Evil: Christianity, The Bible, and The Native American Genocide. USA. See Sharp Press. </w:t>
      </w:r>
    </w:p>
    <w:p w14:paraId="61898247" w14:textId="77777777" w:rsidR="009F0C56" w:rsidRDefault="00653842">
      <w:pPr>
        <w:rPr>
          <w:rFonts w:ascii="Arial" w:eastAsia="Arial" w:hAnsi="Arial" w:cs="Arial"/>
          <w:color w:val="0A0A0A"/>
          <w:sz w:val="22"/>
          <w:szCs w:val="22"/>
          <w:highlight w:val="white"/>
        </w:rPr>
      </w:pPr>
      <w:r>
        <w:rPr>
          <w:rFonts w:ascii="Arial" w:eastAsia="Arial" w:hAnsi="Arial" w:cs="Arial"/>
          <w:color w:val="0A0A0A"/>
          <w:sz w:val="22"/>
          <w:szCs w:val="22"/>
          <w:highlight w:val="white"/>
        </w:rPr>
        <w:t>Oertel, K.T. (2023). The “First” Emancipation Proclamation: Black Rebellion, Removal, and Freedom during the Seminole Wars. </w:t>
      </w:r>
      <w:r>
        <w:rPr>
          <w:rFonts w:ascii="Arial" w:eastAsia="Arial" w:hAnsi="Arial" w:cs="Arial"/>
          <w:i/>
          <w:iCs/>
          <w:color w:val="0A0A0A"/>
          <w:sz w:val="22"/>
          <w:szCs w:val="22"/>
          <w:highlight w:val="white"/>
        </w:rPr>
        <w:t>Civil War History</w:t>
      </w:r>
      <w:r>
        <w:rPr>
          <w:rFonts w:ascii="Arial" w:eastAsia="Arial" w:hAnsi="Arial" w:cs="Arial"/>
          <w:color w:val="0A0A0A"/>
          <w:sz w:val="22"/>
          <w:szCs w:val="22"/>
          <w:highlight w:val="white"/>
        </w:rPr>
        <w:t> </w:t>
      </w:r>
      <w:r>
        <w:rPr>
          <w:rFonts w:ascii="Arial" w:eastAsia="Arial" w:hAnsi="Arial" w:cs="Arial"/>
          <w:i/>
          <w:iCs/>
          <w:color w:val="0A0A0A"/>
          <w:sz w:val="22"/>
          <w:szCs w:val="22"/>
          <w:highlight w:val="white"/>
        </w:rPr>
        <w:t>69</w:t>
      </w:r>
      <w:r>
        <w:rPr>
          <w:rFonts w:ascii="Arial" w:eastAsia="Arial" w:hAnsi="Arial" w:cs="Arial"/>
          <w:color w:val="0A0A0A"/>
          <w:sz w:val="22"/>
          <w:szCs w:val="22"/>
          <w:highlight w:val="white"/>
        </w:rPr>
        <w:t>(4), 11-35. </w:t>
      </w:r>
      <w:hyperlink r:id="rId130">
        <w:r>
          <w:rPr>
            <w:rFonts w:ascii="Arial" w:eastAsia="Arial" w:hAnsi="Arial" w:cs="Arial"/>
            <w:color w:val="3262A4"/>
            <w:sz w:val="22"/>
            <w:szCs w:val="22"/>
            <w:highlight w:val="white"/>
            <w:u w:val="single"/>
          </w:rPr>
          <w:t>https://dx.doi.org/10.1353/cwh.2023.a912507</w:t>
        </w:r>
      </w:hyperlink>
      <w:r>
        <w:rPr>
          <w:rFonts w:ascii="Arial" w:eastAsia="Arial" w:hAnsi="Arial" w:cs="Arial"/>
          <w:color w:val="0A0A0A"/>
          <w:sz w:val="22"/>
          <w:szCs w:val="22"/>
          <w:highlight w:val="white"/>
        </w:rPr>
        <w:t xml:space="preserve">. </w:t>
      </w:r>
    </w:p>
    <w:p w14:paraId="7357CEEF" w14:textId="77777777" w:rsidR="009F0C56" w:rsidRDefault="00653842">
      <w:pPr>
        <w:shd w:val="clear" w:color="auto" w:fill="FFFFFF"/>
        <w:spacing w:after="280" w:line="240" w:lineRule="auto"/>
        <w:rPr>
          <w:rFonts w:ascii="Arial" w:eastAsia="Arial" w:hAnsi="Arial" w:cs="Arial"/>
          <w:sz w:val="22"/>
          <w:szCs w:val="22"/>
        </w:rPr>
      </w:pPr>
      <w:r>
        <w:rPr>
          <w:rFonts w:ascii="Arial" w:eastAsia="Arial" w:hAnsi="Arial" w:cs="Arial"/>
          <w:color w:val="000000"/>
          <w:sz w:val="22"/>
          <w:szCs w:val="22"/>
        </w:rPr>
        <w:t xml:space="preserve">Okazaki, H. </w:t>
      </w:r>
      <w:r>
        <w:rPr>
          <w:rFonts w:ascii="Arial" w:eastAsia="Arial" w:hAnsi="Arial" w:cs="Arial"/>
          <w:color w:val="000000"/>
          <w:sz w:val="22"/>
          <w:szCs w:val="22"/>
          <w:highlight w:val="white"/>
        </w:rPr>
        <w:t>(1994). DIS/LOCATION AND “‘CONNECTEDNESS’” IN CARYL PHILLIPS. </w:t>
      </w:r>
      <w:r>
        <w:rPr>
          <w:rFonts w:ascii="Arial" w:eastAsia="Arial" w:hAnsi="Arial" w:cs="Arial"/>
          <w:i/>
          <w:iCs/>
          <w:color w:val="000000"/>
          <w:sz w:val="22"/>
          <w:szCs w:val="22"/>
          <w:highlight w:val="white"/>
        </w:rPr>
        <w:t>Journal of West Indian Literature</w:t>
      </w:r>
      <w:r>
        <w:rPr>
          <w:rFonts w:ascii="Arial" w:eastAsia="Arial" w:hAnsi="Arial" w:cs="Arial"/>
          <w:color w:val="000000"/>
          <w:sz w:val="22"/>
          <w:szCs w:val="22"/>
          <w:highlight w:val="white"/>
        </w:rPr>
        <w:t>, </w:t>
      </w:r>
      <w:r>
        <w:rPr>
          <w:rFonts w:ascii="Arial" w:eastAsia="Arial" w:hAnsi="Arial" w:cs="Arial"/>
          <w:i/>
          <w:iCs/>
          <w:color w:val="000000"/>
          <w:sz w:val="22"/>
          <w:szCs w:val="22"/>
          <w:highlight w:val="white"/>
        </w:rPr>
        <w:t>6</w:t>
      </w:r>
      <w:r>
        <w:rPr>
          <w:rFonts w:ascii="Arial" w:eastAsia="Arial" w:hAnsi="Arial" w:cs="Arial"/>
          <w:color w:val="000000"/>
          <w:sz w:val="22"/>
          <w:szCs w:val="22"/>
          <w:highlight w:val="white"/>
        </w:rPr>
        <w:t xml:space="preserve">(2), 88–96. </w:t>
      </w:r>
      <w:hyperlink r:id="rId131">
        <w:r>
          <w:rPr>
            <w:rFonts w:ascii="Arial" w:eastAsia="Arial" w:hAnsi="Arial" w:cs="Arial"/>
            <w:color w:val="467886"/>
            <w:sz w:val="22"/>
            <w:szCs w:val="22"/>
            <w:highlight w:val="white"/>
            <w:u w:val="single"/>
          </w:rPr>
          <w:t>http://www.jstor.org/stable/23019872</w:t>
        </w:r>
      </w:hyperlink>
    </w:p>
    <w:p w14:paraId="0AAA8B4F" w14:textId="77777777" w:rsidR="009F0C56" w:rsidRDefault="00653842">
      <w:pPr>
        <w:rPr>
          <w:rFonts w:ascii="Arial" w:eastAsia="Arial" w:hAnsi="Arial" w:cs="Arial"/>
          <w:color w:val="666666"/>
          <w:sz w:val="22"/>
          <w:szCs w:val="22"/>
          <w:highlight w:val="white"/>
        </w:rPr>
      </w:pPr>
      <w:r>
        <w:rPr>
          <w:rFonts w:ascii="Arial" w:eastAsia="Arial" w:hAnsi="Arial" w:cs="Arial"/>
          <w:sz w:val="22"/>
          <w:szCs w:val="22"/>
          <w:highlight w:val="white"/>
        </w:rPr>
        <w:t>Oldham, O., Newton, P., &amp; Short, N. (2024). Land-based resistance: Enacting Indigenous self-determination and kai sovereignty. </w:t>
      </w:r>
      <w:r>
        <w:rPr>
          <w:rFonts w:ascii="Arial" w:eastAsia="Arial" w:hAnsi="Arial" w:cs="Arial"/>
          <w:i/>
          <w:iCs/>
          <w:sz w:val="22"/>
          <w:szCs w:val="22"/>
          <w:highlight w:val="white"/>
        </w:rPr>
        <w:t>Elementa: Science of the Anthropocene</w:t>
      </w:r>
      <w:r>
        <w:rPr>
          <w:rFonts w:ascii="Arial" w:eastAsia="Arial" w:hAnsi="Arial" w:cs="Arial"/>
          <w:sz w:val="22"/>
          <w:szCs w:val="22"/>
          <w:highlight w:val="white"/>
        </w:rPr>
        <w:t>, </w:t>
      </w:r>
      <w:r>
        <w:rPr>
          <w:rFonts w:ascii="Arial" w:eastAsia="Arial" w:hAnsi="Arial" w:cs="Arial"/>
          <w:i/>
          <w:iCs/>
          <w:sz w:val="22"/>
          <w:szCs w:val="22"/>
          <w:highlight w:val="white"/>
        </w:rPr>
        <w:t>12</w:t>
      </w:r>
      <w:r>
        <w:rPr>
          <w:rFonts w:ascii="Arial" w:eastAsia="Arial" w:hAnsi="Arial" w:cs="Arial"/>
          <w:sz w:val="22"/>
          <w:szCs w:val="22"/>
          <w:highlight w:val="white"/>
        </w:rPr>
        <w:t>(1), 1-22. Article 2300118.</w:t>
      </w:r>
      <w:r>
        <w:rPr>
          <w:rFonts w:ascii="Arial" w:eastAsia="Arial" w:hAnsi="Arial" w:cs="Arial"/>
          <w:color w:val="666666"/>
          <w:sz w:val="22"/>
          <w:szCs w:val="22"/>
          <w:highlight w:val="white"/>
        </w:rPr>
        <w:t> </w:t>
      </w:r>
      <w:hyperlink r:id="rId132">
        <w:r>
          <w:rPr>
            <w:rFonts w:ascii="Arial" w:eastAsia="Arial" w:hAnsi="Arial" w:cs="Arial"/>
            <w:color w:val="467886"/>
            <w:sz w:val="22"/>
            <w:szCs w:val="22"/>
            <w:highlight w:val="white"/>
            <w:u w:val="single"/>
          </w:rPr>
          <w:t>https://doi.org/10.1525/elementa.2023.00118</w:t>
        </w:r>
      </w:hyperlink>
    </w:p>
    <w:p w14:paraId="4BAEF924" w14:textId="7479D762"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Olusoga, D.</w:t>
      </w:r>
      <w:r>
        <w:rPr>
          <w:rFonts w:ascii="Arial" w:eastAsia="Arial" w:hAnsi="Arial" w:cs="Arial"/>
          <w:color w:val="000000"/>
          <w:sz w:val="22"/>
          <w:szCs w:val="22"/>
        </w:rPr>
        <w:t xml:space="preserve"> (2021). </w:t>
      </w:r>
      <w:r>
        <w:rPr>
          <w:rFonts w:ascii="Arial" w:eastAsia="Arial" w:hAnsi="Arial" w:cs="Arial"/>
          <w:i/>
          <w:iCs/>
          <w:color w:val="000000"/>
          <w:sz w:val="22"/>
          <w:szCs w:val="22"/>
        </w:rPr>
        <w:t>Empire: What Ruling the World Did to the British</w:t>
      </w:r>
      <w:r>
        <w:rPr>
          <w:rFonts w:ascii="Arial" w:eastAsia="Arial" w:hAnsi="Arial" w:cs="Arial"/>
          <w:color w:val="000000"/>
          <w:sz w:val="22"/>
          <w:szCs w:val="22"/>
        </w:rPr>
        <w:t>. London: Head of Zeus.</w:t>
      </w:r>
    </w:p>
    <w:p w14:paraId="1298B0B3" w14:textId="77777777" w:rsidR="009F0C56" w:rsidRDefault="00653842">
      <w:pPr>
        <w:rPr>
          <w:rFonts w:ascii="Arial" w:eastAsia="Arial" w:hAnsi="Arial" w:cs="Arial"/>
          <w:color w:val="0A0A0A"/>
          <w:sz w:val="22"/>
          <w:szCs w:val="22"/>
          <w:highlight w:val="white"/>
        </w:rPr>
      </w:pPr>
      <w:r>
        <w:rPr>
          <w:rFonts w:ascii="Arial" w:eastAsia="Arial" w:hAnsi="Arial" w:cs="Arial"/>
          <w:color w:val="0A0A0A"/>
          <w:sz w:val="22"/>
          <w:szCs w:val="22"/>
          <w:highlight w:val="white"/>
        </w:rPr>
        <w:t>Oxman, E. (2010). Sensing the Image: Roland Barthes and the Affect of the Visual. </w:t>
      </w:r>
      <w:r>
        <w:rPr>
          <w:rFonts w:ascii="Arial" w:eastAsia="Arial" w:hAnsi="Arial" w:cs="Arial"/>
          <w:i/>
          <w:iCs/>
          <w:color w:val="0A0A0A"/>
          <w:sz w:val="22"/>
          <w:szCs w:val="22"/>
          <w:highlight w:val="white"/>
        </w:rPr>
        <w:t>SubStance</w:t>
      </w:r>
      <w:r>
        <w:rPr>
          <w:rFonts w:ascii="Arial" w:eastAsia="Arial" w:hAnsi="Arial" w:cs="Arial"/>
          <w:color w:val="0A0A0A"/>
          <w:sz w:val="22"/>
          <w:szCs w:val="22"/>
          <w:highlight w:val="white"/>
        </w:rPr>
        <w:t> </w:t>
      </w:r>
      <w:r>
        <w:rPr>
          <w:rFonts w:ascii="Arial" w:eastAsia="Arial" w:hAnsi="Arial" w:cs="Arial"/>
          <w:i/>
          <w:iCs/>
          <w:color w:val="0A0A0A"/>
          <w:sz w:val="22"/>
          <w:szCs w:val="22"/>
          <w:highlight w:val="white"/>
        </w:rPr>
        <w:t>39</w:t>
      </w:r>
      <w:r>
        <w:rPr>
          <w:rFonts w:ascii="Arial" w:eastAsia="Arial" w:hAnsi="Arial" w:cs="Arial"/>
          <w:color w:val="0A0A0A"/>
          <w:sz w:val="22"/>
          <w:szCs w:val="22"/>
          <w:highlight w:val="white"/>
        </w:rPr>
        <w:t>(2), 71-90. </w:t>
      </w:r>
      <w:hyperlink r:id="rId133">
        <w:r>
          <w:rPr>
            <w:rFonts w:ascii="Arial" w:eastAsia="Arial" w:hAnsi="Arial" w:cs="Arial"/>
            <w:color w:val="3262A4"/>
            <w:sz w:val="22"/>
            <w:szCs w:val="22"/>
            <w:highlight w:val="white"/>
            <w:u w:val="single"/>
          </w:rPr>
          <w:t>https://dx.doi.org/10.1353/sub.0.0083</w:t>
        </w:r>
      </w:hyperlink>
      <w:r>
        <w:rPr>
          <w:rFonts w:ascii="Arial" w:eastAsia="Arial" w:hAnsi="Arial" w:cs="Arial"/>
          <w:color w:val="0A0A0A"/>
          <w:sz w:val="22"/>
          <w:szCs w:val="22"/>
          <w:highlight w:val="white"/>
        </w:rPr>
        <w:t>.</w:t>
      </w:r>
    </w:p>
    <w:p w14:paraId="06BF759C" w14:textId="77777777" w:rsidR="009F0C56" w:rsidRDefault="00653842">
      <w:pPr>
        <w:rPr>
          <w:rFonts w:ascii="Arial" w:eastAsia="Arial" w:hAnsi="Arial" w:cs="Arial"/>
          <w:color w:val="333333"/>
          <w:sz w:val="22"/>
          <w:szCs w:val="22"/>
          <w:shd w:val="clear" w:color="auto" w:fill="FCFCFC"/>
        </w:rPr>
      </w:pPr>
      <w:r>
        <w:rPr>
          <w:rFonts w:ascii="Arial" w:eastAsia="Arial" w:hAnsi="Arial" w:cs="Arial"/>
          <w:color w:val="000000"/>
          <w:sz w:val="22"/>
          <w:szCs w:val="22"/>
        </w:rPr>
        <w:t>Palacios-Florencio, B., Santos-Roldán</w:t>
      </w:r>
      <w:r>
        <w:rPr>
          <w:rFonts w:ascii="Arial" w:eastAsia="Arial" w:hAnsi="Arial" w:cs="Arial"/>
          <w:color w:val="000000"/>
          <w:sz w:val="22"/>
          <w:szCs w:val="22"/>
          <w:shd w:val="clear" w:color="auto" w:fill="FCFCFC"/>
        </w:rPr>
        <w:t>, L., Berbel-Pineda, J.M. </w:t>
      </w:r>
      <w:r>
        <w:rPr>
          <w:rFonts w:ascii="Arial" w:eastAsia="Arial" w:hAnsi="Arial" w:cs="Arial"/>
          <w:i/>
          <w:iCs/>
          <w:color w:val="000000"/>
          <w:sz w:val="22"/>
          <w:szCs w:val="22"/>
          <w:shd w:val="clear" w:color="auto" w:fill="FCFCFC"/>
        </w:rPr>
        <w:t>et al. (2021)</w:t>
      </w:r>
      <w:r>
        <w:rPr>
          <w:rFonts w:ascii="Arial" w:eastAsia="Arial" w:hAnsi="Arial" w:cs="Arial"/>
          <w:color w:val="000000"/>
          <w:sz w:val="22"/>
          <w:szCs w:val="22"/>
          <w:shd w:val="clear" w:color="auto" w:fill="FCFCFC"/>
        </w:rPr>
        <w:t> Sustainable Tourism as a Driving force of the Tourism Industry in a Post-Covid-19 Scenario. </w:t>
      </w:r>
      <w:r>
        <w:rPr>
          <w:rFonts w:ascii="Arial" w:eastAsia="Arial" w:hAnsi="Arial" w:cs="Arial"/>
          <w:i/>
          <w:iCs/>
          <w:color w:val="000000"/>
          <w:sz w:val="22"/>
          <w:szCs w:val="22"/>
          <w:shd w:val="clear" w:color="auto" w:fill="FCFCFC"/>
        </w:rPr>
        <w:t>Soc Indic Res</w:t>
      </w:r>
      <w:r>
        <w:rPr>
          <w:rFonts w:ascii="Arial" w:eastAsia="Arial" w:hAnsi="Arial" w:cs="Arial"/>
          <w:color w:val="000000"/>
          <w:sz w:val="22"/>
          <w:szCs w:val="22"/>
          <w:shd w:val="clear" w:color="auto" w:fill="FCFCFC"/>
        </w:rPr>
        <w:t xml:space="preserve"> 158, 991–1011 . </w:t>
      </w:r>
      <w:hyperlink r:id="rId134">
        <w:r>
          <w:rPr>
            <w:rFonts w:ascii="Arial" w:eastAsia="Arial" w:hAnsi="Arial" w:cs="Arial"/>
            <w:color w:val="467886"/>
            <w:sz w:val="22"/>
            <w:szCs w:val="22"/>
            <w:u w:val="single"/>
            <w:shd w:val="clear" w:color="auto" w:fill="FCFCFC"/>
          </w:rPr>
          <w:t>https://doi.org/10.1007/s11205-021-02735-2</w:t>
        </w:r>
      </w:hyperlink>
      <w:r>
        <w:rPr>
          <w:rFonts w:ascii="Arial" w:eastAsia="Arial" w:hAnsi="Arial" w:cs="Arial"/>
          <w:color w:val="333333"/>
          <w:sz w:val="22"/>
          <w:szCs w:val="22"/>
          <w:shd w:val="clear" w:color="auto" w:fill="FCFCFC"/>
        </w:rPr>
        <w:t xml:space="preserve"> </w:t>
      </w:r>
    </w:p>
    <w:p w14:paraId="7A0F8615" w14:textId="77777777" w:rsidR="009F0C56" w:rsidRDefault="00653842">
      <w:pPr>
        <w:rPr>
          <w:rFonts w:ascii="Arial" w:eastAsia="Arial" w:hAnsi="Arial" w:cs="Arial"/>
          <w:sz w:val="22"/>
          <w:szCs w:val="22"/>
        </w:rPr>
      </w:pPr>
      <w:r>
        <w:rPr>
          <w:rFonts w:ascii="Arial" w:eastAsia="Arial" w:hAnsi="Arial" w:cs="Arial"/>
          <w:sz w:val="22"/>
          <w:szCs w:val="22"/>
        </w:rPr>
        <w:t xml:space="preserve">Quijano, Aníbal(2007) </w:t>
      </w:r>
      <w:r>
        <w:rPr>
          <w:rFonts w:ascii="Arial" w:eastAsia="Arial" w:hAnsi="Arial" w:cs="Arial"/>
          <w:i/>
          <w:iCs/>
          <w:sz w:val="22"/>
          <w:szCs w:val="22"/>
        </w:rPr>
        <w:t>'COLONIALITY AND MODERNITY/RATIONALITY'</w:t>
      </w:r>
      <w:r>
        <w:rPr>
          <w:rFonts w:ascii="Arial" w:eastAsia="Arial" w:hAnsi="Arial" w:cs="Arial"/>
          <w:sz w:val="22"/>
          <w:szCs w:val="22"/>
        </w:rPr>
        <w:t xml:space="preserve">, Cultural Studies, 21: 2, 168 — 178. Available from: </w:t>
      </w:r>
      <w:hyperlink r:id="rId135">
        <w:r>
          <w:rPr>
            <w:rFonts w:ascii="Arial" w:eastAsia="Arial" w:hAnsi="Arial" w:cs="Arial"/>
            <w:color w:val="0000FF"/>
            <w:sz w:val="22"/>
            <w:szCs w:val="22"/>
            <w:u w:val="single"/>
          </w:rPr>
          <w:t>COLONIALITY AND MODERNITY/RATIONALITY: Cultural Studies: Vol 21, No 2-3 (tandfonline.com)</w:t>
        </w:r>
      </w:hyperlink>
    </w:p>
    <w:p w14:paraId="4097DE79" w14:textId="0B19E6D9" w:rsidR="009F0C56" w:rsidRDefault="00653842">
      <w:pPr>
        <w:shd w:val="clear" w:color="auto" w:fill="FFFFFF"/>
        <w:spacing w:after="0" w:line="240" w:lineRule="auto"/>
        <w:rPr>
          <w:rFonts w:ascii="Arial" w:eastAsia="Arial" w:hAnsi="Arial" w:cs="Arial"/>
          <w:sz w:val="22"/>
          <w:szCs w:val="22"/>
        </w:rPr>
      </w:pPr>
      <w:r>
        <w:rPr>
          <w:rFonts w:ascii="Arial" w:eastAsia="Arial" w:hAnsi="Arial" w:cs="Arial"/>
          <w:sz w:val="22"/>
          <w:szCs w:val="22"/>
        </w:rPr>
        <w:t xml:space="preserve">Quijano, </w:t>
      </w:r>
      <w:r w:rsidR="00F44422">
        <w:rPr>
          <w:rFonts w:ascii="Arial" w:eastAsia="Arial" w:hAnsi="Arial" w:cs="Arial"/>
          <w:sz w:val="22"/>
          <w:szCs w:val="22"/>
        </w:rPr>
        <w:t>Aníbal</w:t>
      </w:r>
      <w:r>
        <w:rPr>
          <w:rFonts w:ascii="Arial" w:eastAsia="Arial" w:hAnsi="Arial" w:cs="Arial"/>
          <w:sz w:val="22"/>
          <w:szCs w:val="22"/>
        </w:rPr>
        <w:t xml:space="preserve">. 2018. Beyond Eurocentrism: On </w:t>
      </w:r>
      <w:r w:rsidR="00F44422">
        <w:rPr>
          <w:rFonts w:ascii="Arial" w:eastAsia="Arial" w:hAnsi="Arial" w:cs="Arial"/>
          <w:sz w:val="22"/>
          <w:szCs w:val="22"/>
        </w:rPr>
        <w:t>José</w:t>
      </w:r>
      <w:r>
        <w:rPr>
          <w:rFonts w:ascii="Arial" w:eastAsia="Arial" w:hAnsi="Arial" w:cs="Arial"/>
          <w:sz w:val="22"/>
          <w:szCs w:val="22"/>
        </w:rPr>
        <w:t xml:space="preserve"> Carlos </w:t>
      </w:r>
      <w:r w:rsidR="00F44422">
        <w:rPr>
          <w:rFonts w:ascii="Arial" w:eastAsia="Arial" w:hAnsi="Arial" w:cs="Arial"/>
          <w:sz w:val="22"/>
          <w:szCs w:val="22"/>
        </w:rPr>
        <w:t>Mariátegui</w:t>
      </w:r>
      <w:r>
        <w:rPr>
          <w:rFonts w:ascii="Arial" w:eastAsia="Arial" w:hAnsi="Arial" w:cs="Arial"/>
          <w:sz w:val="22"/>
          <w:szCs w:val="22"/>
        </w:rPr>
        <w:t xml:space="preserve">. Website. Verso. Available from:  </w:t>
      </w:r>
      <w:hyperlink r:id="rId136">
        <w:r>
          <w:rPr>
            <w:rFonts w:ascii="Arial" w:eastAsia="Arial" w:hAnsi="Arial" w:cs="Arial"/>
            <w:color w:val="467886"/>
            <w:sz w:val="22"/>
            <w:szCs w:val="22"/>
            <w:u w:val="single"/>
          </w:rPr>
          <w:t>https://www.versobooks.com/blogs/3976-beyond-eurocentrism-on-jose-carlos-mariategui</w:t>
        </w:r>
      </w:hyperlink>
      <w:r>
        <w:rPr>
          <w:rFonts w:ascii="Arial" w:eastAsia="Arial" w:hAnsi="Arial" w:cs="Arial"/>
          <w:sz w:val="22"/>
          <w:szCs w:val="22"/>
        </w:rPr>
        <w:t xml:space="preserve"> </w:t>
      </w:r>
    </w:p>
    <w:p w14:paraId="1D3E91C4" w14:textId="77777777" w:rsidR="009F0C56" w:rsidRDefault="009F0C56">
      <w:pPr>
        <w:shd w:val="clear" w:color="auto" w:fill="FFFFFF"/>
        <w:spacing w:after="280" w:line="240" w:lineRule="auto"/>
        <w:rPr>
          <w:rFonts w:ascii="Arial" w:eastAsia="Arial" w:hAnsi="Arial" w:cs="Arial"/>
          <w:color w:val="333333"/>
          <w:sz w:val="22"/>
          <w:szCs w:val="22"/>
          <w:highlight w:val="white"/>
        </w:rPr>
      </w:pPr>
    </w:p>
    <w:p w14:paraId="046ABC76" w14:textId="77777777" w:rsidR="009F0C56" w:rsidRDefault="00653842">
      <w:pPr>
        <w:shd w:val="clear" w:color="auto" w:fill="FFFFFF"/>
        <w:spacing w:after="280" w:line="240" w:lineRule="auto"/>
        <w:rPr>
          <w:rFonts w:ascii="Arial" w:eastAsia="Arial" w:hAnsi="Arial" w:cs="Arial"/>
          <w:color w:val="333333"/>
          <w:sz w:val="22"/>
          <w:szCs w:val="22"/>
          <w:highlight w:val="white"/>
        </w:rPr>
      </w:pPr>
      <w:r>
        <w:rPr>
          <w:rFonts w:ascii="Arial" w:eastAsia="Arial" w:hAnsi="Arial" w:cs="Arial"/>
          <w:color w:val="333333"/>
          <w:sz w:val="22"/>
          <w:szCs w:val="22"/>
          <w:highlight w:val="white"/>
        </w:rPr>
        <w:lastRenderedPageBreak/>
        <w:t>Reed, G., Brunet, N. D., McGregor, D., Scurr, C., Sadik, T., Lavigne, J., &amp; Longboat, S. (2022). Toward Indigenous visions of nature-based solutions: an exploration into Canadian federal climate policy. </w:t>
      </w:r>
      <w:r>
        <w:rPr>
          <w:rFonts w:ascii="Arial" w:eastAsia="Arial" w:hAnsi="Arial" w:cs="Arial"/>
          <w:i/>
          <w:iCs/>
          <w:color w:val="333333"/>
          <w:sz w:val="22"/>
          <w:szCs w:val="22"/>
          <w:highlight w:val="white"/>
        </w:rPr>
        <w:t>Climate Policy</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22</w:t>
      </w:r>
      <w:r>
        <w:rPr>
          <w:rFonts w:ascii="Arial" w:eastAsia="Arial" w:hAnsi="Arial" w:cs="Arial"/>
          <w:color w:val="333333"/>
          <w:sz w:val="22"/>
          <w:szCs w:val="22"/>
          <w:highlight w:val="white"/>
        </w:rPr>
        <w:t xml:space="preserve">(4), 514–533. </w:t>
      </w:r>
      <w:hyperlink r:id="rId137">
        <w:r>
          <w:rPr>
            <w:rFonts w:ascii="Arial" w:eastAsia="Arial" w:hAnsi="Arial" w:cs="Arial"/>
            <w:color w:val="467886"/>
            <w:sz w:val="22"/>
            <w:szCs w:val="22"/>
            <w:highlight w:val="white"/>
            <w:u w:val="single"/>
          </w:rPr>
          <w:t>https://doi.org/10.1080/14693062.2022.2047585</w:t>
        </w:r>
      </w:hyperlink>
    </w:p>
    <w:p w14:paraId="0DCCAD72" w14:textId="77777777" w:rsidR="009F0C56" w:rsidRDefault="00653842">
      <w:pPr>
        <w:rPr>
          <w:rFonts w:ascii="Arial" w:eastAsia="Arial" w:hAnsi="Arial" w:cs="Arial"/>
          <w:sz w:val="22"/>
          <w:szCs w:val="22"/>
        </w:rPr>
      </w:pPr>
      <w:r>
        <w:rPr>
          <w:rFonts w:ascii="Arial" w:eastAsia="Arial" w:hAnsi="Arial" w:cs="Arial"/>
          <w:color w:val="1C1D1E"/>
          <w:sz w:val="22"/>
          <w:szCs w:val="22"/>
          <w:highlight w:val="white"/>
        </w:rPr>
        <w:t>Reed, G., Brunet, N.D., Longboat, S. and Natcher, D.C. (2021), Indigenous guardians as an emerging approach to indigenous environmental governance. Conservation Biology, 35: 179-189. </w:t>
      </w:r>
      <w:hyperlink r:id="rId138">
        <w:r>
          <w:rPr>
            <w:rFonts w:ascii="Arial" w:eastAsia="Arial" w:hAnsi="Arial" w:cs="Arial"/>
            <w:color w:val="4A709F"/>
            <w:sz w:val="22"/>
            <w:szCs w:val="22"/>
            <w:highlight w:val="white"/>
            <w:u w:val="single"/>
          </w:rPr>
          <w:t>https://doi.org/10.1111/cobi.13532</w:t>
        </w:r>
      </w:hyperlink>
    </w:p>
    <w:p w14:paraId="0026B932" w14:textId="77777777" w:rsidR="009F0C56" w:rsidRDefault="00653842">
      <w:pPr>
        <w:rPr>
          <w:rFonts w:ascii="Arial" w:eastAsia="Arial" w:hAnsi="Arial" w:cs="Arial"/>
          <w:sz w:val="22"/>
          <w:szCs w:val="22"/>
        </w:rPr>
      </w:pPr>
      <w:r>
        <w:rPr>
          <w:rFonts w:ascii="Arial" w:eastAsia="Arial" w:hAnsi="Arial" w:cs="Arial"/>
          <w:sz w:val="22"/>
          <w:szCs w:val="22"/>
        </w:rPr>
        <w:t xml:space="preserve">ResearchandMarkets. (2021) “Global sustainable tourism market 2021-2025” Research and Markets. (online) Accessible on: </w:t>
      </w:r>
      <w:hyperlink r:id="rId139">
        <w:r>
          <w:rPr>
            <w:rFonts w:ascii="Arial" w:eastAsia="Arial" w:hAnsi="Arial" w:cs="Arial"/>
            <w:color w:val="467886"/>
            <w:sz w:val="22"/>
            <w:szCs w:val="22"/>
            <w:u w:val="single"/>
          </w:rPr>
          <w:t>https://www.researchandmarkets.com/reports/5187384/global-sustainable-tourism-market-2021-c</w:t>
        </w:r>
      </w:hyperlink>
      <w:r>
        <w:rPr>
          <w:rFonts w:ascii="Arial" w:eastAsia="Arial" w:hAnsi="Arial" w:cs="Arial"/>
          <w:sz w:val="22"/>
          <w:szCs w:val="22"/>
        </w:rPr>
        <w:t xml:space="preserve"> </w:t>
      </w:r>
    </w:p>
    <w:p w14:paraId="689B7147" w14:textId="77777777" w:rsidR="009F0C56" w:rsidRDefault="00653842">
      <w:pPr>
        <w:rPr>
          <w:rFonts w:ascii="Arial" w:eastAsia="Arial" w:hAnsi="Arial" w:cs="Arial"/>
          <w:color w:val="333333"/>
          <w:sz w:val="22"/>
          <w:szCs w:val="22"/>
          <w:highlight w:val="white"/>
        </w:rPr>
      </w:pPr>
      <w:r>
        <w:rPr>
          <w:rFonts w:ascii="Arial" w:eastAsia="Arial" w:hAnsi="Arial" w:cs="Arial"/>
          <w:color w:val="333333"/>
          <w:sz w:val="22"/>
          <w:szCs w:val="22"/>
          <w:highlight w:val="white"/>
        </w:rPr>
        <w:t>Rice, C., Dion, S. D., Fowlie, H., &amp; Mündel, I. (2022). Re/turning the gaze: unsettling settler logics through multimedia storytelling. </w:t>
      </w:r>
      <w:r>
        <w:rPr>
          <w:rFonts w:ascii="Arial" w:eastAsia="Arial" w:hAnsi="Arial" w:cs="Arial"/>
          <w:i/>
          <w:iCs/>
          <w:color w:val="333333"/>
          <w:sz w:val="22"/>
          <w:szCs w:val="22"/>
          <w:highlight w:val="white"/>
        </w:rPr>
        <w:t>Feminist Media Studies</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22</w:t>
      </w:r>
      <w:r>
        <w:rPr>
          <w:rFonts w:ascii="Arial" w:eastAsia="Arial" w:hAnsi="Arial" w:cs="Arial"/>
          <w:color w:val="333333"/>
          <w:sz w:val="22"/>
          <w:szCs w:val="22"/>
          <w:highlight w:val="white"/>
        </w:rPr>
        <w:t xml:space="preserve">(3), 638–656. </w:t>
      </w:r>
      <w:hyperlink r:id="rId140">
        <w:r>
          <w:rPr>
            <w:rFonts w:ascii="Arial" w:eastAsia="Arial" w:hAnsi="Arial" w:cs="Arial"/>
            <w:color w:val="467886"/>
            <w:sz w:val="22"/>
            <w:szCs w:val="22"/>
            <w:highlight w:val="white"/>
            <w:u w:val="single"/>
          </w:rPr>
          <w:t>https://doi.org/10.1080/14680777.2019.1707256</w:t>
        </w:r>
      </w:hyperlink>
    </w:p>
    <w:p w14:paraId="2E55A0E3" w14:textId="77777777" w:rsidR="009F0C56" w:rsidRDefault="00653842">
      <w:pPr>
        <w:rPr>
          <w:rFonts w:ascii="Arial" w:eastAsia="Arial" w:hAnsi="Arial" w:cs="Arial"/>
          <w:color w:val="333333"/>
          <w:sz w:val="22"/>
          <w:szCs w:val="22"/>
          <w:highlight w:val="white"/>
        </w:rPr>
      </w:pPr>
      <w:r>
        <w:rPr>
          <w:rFonts w:ascii="Arial" w:eastAsia="Arial" w:hAnsi="Arial" w:cs="Arial"/>
          <w:color w:val="333333"/>
          <w:sz w:val="22"/>
          <w:szCs w:val="22"/>
          <w:highlight w:val="white"/>
        </w:rPr>
        <w:t>Ring, A. (2025). A Critical Semiology of Settler Colonial Meaning-Making. </w:t>
      </w:r>
      <w:r>
        <w:rPr>
          <w:rFonts w:ascii="Arial" w:eastAsia="Arial" w:hAnsi="Arial" w:cs="Arial"/>
          <w:i/>
          <w:iCs/>
          <w:color w:val="333333"/>
          <w:sz w:val="22"/>
          <w:szCs w:val="22"/>
          <w:highlight w:val="white"/>
        </w:rPr>
        <w:t>Settler Colonial Studies</w:t>
      </w:r>
      <w:r>
        <w:rPr>
          <w:rFonts w:ascii="Arial" w:eastAsia="Arial" w:hAnsi="Arial" w:cs="Arial"/>
          <w:color w:val="333333"/>
          <w:sz w:val="22"/>
          <w:szCs w:val="22"/>
          <w:highlight w:val="white"/>
        </w:rPr>
        <w:t xml:space="preserve">, 1–43. </w:t>
      </w:r>
      <w:hyperlink r:id="rId141">
        <w:r>
          <w:rPr>
            <w:rFonts w:ascii="Arial" w:eastAsia="Arial" w:hAnsi="Arial" w:cs="Arial"/>
            <w:color w:val="467886"/>
            <w:sz w:val="22"/>
            <w:szCs w:val="22"/>
            <w:highlight w:val="white"/>
            <w:u w:val="single"/>
          </w:rPr>
          <w:t>https://doi.org/10.1080/2201473X.2025.2511405</w:t>
        </w:r>
      </w:hyperlink>
    </w:p>
    <w:p w14:paraId="260A0280" w14:textId="77777777" w:rsidR="009F0C56" w:rsidRDefault="00653842">
      <w:pPr>
        <w:shd w:val="clear" w:color="auto" w:fill="FFFFFF"/>
        <w:spacing w:after="280" w:line="240" w:lineRule="auto"/>
        <w:rPr>
          <w:rFonts w:ascii="Arial" w:eastAsia="Arial" w:hAnsi="Arial" w:cs="Arial"/>
          <w:color w:val="000000"/>
          <w:sz w:val="22"/>
          <w:szCs w:val="22"/>
        </w:rPr>
      </w:pPr>
      <w:r>
        <w:rPr>
          <w:rFonts w:ascii="Arial" w:eastAsia="Arial" w:hAnsi="Arial" w:cs="Arial"/>
          <w:color w:val="000000"/>
          <w:sz w:val="22"/>
          <w:szCs w:val="22"/>
        </w:rPr>
        <w:t xml:space="preserve">Robinson, Cedric. 2000. ‘Black Marxism.’ UNC Press. California </w:t>
      </w:r>
    </w:p>
    <w:p w14:paraId="690EC0C3" w14:textId="77777777" w:rsidR="009F0C56" w:rsidRDefault="00653842">
      <w:pPr>
        <w:rPr>
          <w:rFonts w:ascii="Arial" w:eastAsia="Arial" w:hAnsi="Arial" w:cs="Arial"/>
          <w:color w:val="222222"/>
          <w:sz w:val="22"/>
          <w:szCs w:val="22"/>
          <w:highlight w:val="white"/>
        </w:rPr>
      </w:pPr>
      <w:r>
        <w:rPr>
          <w:rFonts w:ascii="Arial" w:eastAsia="Arial" w:hAnsi="Arial" w:cs="Arial"/>
          <w:color w:val="222222"/>
          <w:sz w:val="22"/>
          <w:szCs w:val="22"/>
          <w:highlight w:val="white"/>
        </w:rPr>
        <w:t>Rocha Beardall, T., &amp; Edwards, F. (2021). Abolition, Settler Colonialism, and the Persistent Threat of Indian Child Welfare. </w:t>
      </w:r>
      <w:r>
        <w:rPr>
          <w:rFonts w:ascii="Arial" w:eastAsia="Arial" w:hAnsi="Arial" w:cs="Arial"/>
          <w:i/>
          <w:iCs/>
          <w:color w:val="222222"/>
          <w:sz w:val="22"/>
          <w:szCs w:val="22"/>
          <w:highlight w:val="white"/>
        </w:rPr>
        <w:t>Columbia Journal of Race and Law</w:t>
      </w:r>
      <w:r>
        <w:rPr>
          <w:rFonts w:ascii="Arial" w:eastAsia="Arial" w:hAnsi="Arial" w:cs="Arial"/>
          <w:color w:val="222222"/>
          <w:sz w:val="22"/>
          <w:szCs w:val="22"/>
          <w:highlight w:val="white"/>
        </w:rPr>
        <w:t>, </w:t>
      </w:r>
      <w:r>
        <w:rPr>
          <w:rFonts w:ascii="Arial" w:eastAsia="Arial" w:hAnsi="Arial" w:cs="Arial"/>
          <w:i/>
          <w:iCs/>
          <w:color w:val="222222"/>
          <w:sz w:val="22"/>
          <w:szCs w:val="22"/>
          <w:highlight w:val="white"/>
        </w:rPr>
        <w:t>11</w:t>
      </w:r>
      <w:r>
        <w:rPr>
          <w:rFonts w:ascii="Arial" w:eastAsia="Arial" w:hAnsi="Arial" w:cs="Arial"/>
          <w:color w:val="222222"/>
          <w:sz w:val="22"/>
          <w:szCs w:val="22"/>
          <w:highlight w:val="white"/>
        </w:rPr>
        <w:t xml:space="preserve">(3), 533–574. </w:t>
      </w:r>
      <w:hyperlink r:id="rId142">
        <w:r>
          <w:rPr>
            <w:rFonts w:ascii="Arial" w:eastAsia="Arial" w:hAnsi="Arial" w:cs="Arial"/>
            <w:color w:val="467886"/>
            <w:sz w:val="22"/>
            <w:szCs w:val="22"/>
            <w:highlight w:val="white"/>
            <w:u w:val="single"/>
          </w:rPr>
          <w:t>https://doi.org/10.52214/cjrl.v11i3.8744</w:t>
        </w:r>
      </w:hyperlink>
    </w:p>
    <w:p w14:paraId="7605F7FD" w14:textId="77777777" w:rsidR="009F0C56" w:rsidRDefault="00653842">
      <w:pPr>
        <w:rPr>
          <w:rFonts w:ascii="Arial" w:eastAsia="Arial" w:hAnsi="Arial" w:cs="Arial"/>
          <w:sz w:val="22"/>
          <w:szCs w:val="22"/>
        </w:rPr>
      </w:pPr>
      <w:r>
        <w:rPr>
          <w:rFonts w:ascii="Arial" w:eastAsia="Arial" w:hAnsi="Arial" w:cs="Arial"/>
          <w:sz w:val="22"/>
          <w:szCs w:val="22"/>
        </w:rPr>
        <w:t xml:space="preserve">Roothaan, A. (2019). Indigenous, Modern and Postcolonial Relations to Nature: Negotiating the Environment (1st ed.). Routledge. </w:t>
      </w:r>
      <w:hyperlink r:id="rId143">
        <w:r>
          <w:rPr>
            <w:rFonts w:ascii="Arial" w:eastAsia="Arial" w:hAnsi="Arial" w:cs="Arial"/>
            <w:color w:val="467886"/>
            <w:sz w:val="22"/>
            <w:szCs w:val="22"/>
            <w:u w:val="single"/>
          </w:rPr>
          <w:t>https://doi.org/10.4324/9780429442162</w:t>
        </w:r>
      </w:hyperlink>
    </w:p>
    <w:p w14:paraId="5E07AE7A" w14:textId="77777777" w:rsidR="009F0C56" w:rsidRDefault="00653842">
      <w:pPr>
        <w:rPr>
          <w:rFonts w:ascii="Arial" w:eastAsia="Arial" w:hAnsi="Arial" w:cs="Arial"/>
          <w:color w:val="333333"/>
          <w:sz w:val="22"/>
          <w:szCs w:val="22"/>
          <w:highlight w:val="white"/>
        </w:rPr>
      </w:pPr>
      <w:r>
        <w:rPr>
          <w:rFonts w:ascii="Arial" w:eastAsia="Arial" w:hAnsi="Arial" w:cs="Arial"/>
          <w:color w:val="333333"/>
          <w:sz w:val="22"/>
          <w:szCs w:val="22"/>
          <w:highlight w:val="white"/>
        </w:rPr>
        <w:t>Rose, G. (1996). Teaching visualised geographies: towards a methodology for the interpretation of visual materials. </w:t>
      </w:r>
      <w:r>
        <w:rPr>
          <w:rFonts w:ascii="Arial" w:eastAsia="Arial" w:hAnsi="Arial" w:cs="Arial"/>
          <w:i/>
          <w:iCs/>
          <w:color w:val="333333"/>
          <w:sz w:val="22"/>
          <w:szCs w:val="22"/>
          <w:highlight w:val="white"/>
        </w:rPr>
        <w:t>Journal of Geography in Higher Education</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20</w:t>
      </w:r>
      <w:r>
        <w:rPr>
          <w:rFonts w:ascii="Arial" w:eastAsia="Arial" w:hAnsi="Arial" w:cs="Arial"/>
          <w:color w:val="333333"/>
          <w:sz w:val="22"/>
          <w:szCs w:val="22"/>
          <w:highlight w:val="white"/>
        </w:rPr>
        <w:t xml:space="preserve">(3), 281–294. </w:t>
      </w:r>
      <w:hyperlink r:id="rId144">
        <w:r>
          <w:rPr>
            <w:rFonts w:ascii="Arial" w:eastAsia="Arial" w:hAnsi="Arial" w:cs="Arial"/>
            <w:color w:val="467886"/>
            <w:sz w:val="22"/>
            <w:szCs w:val="22"/>
            <w:highlight w:val="white"/>
            <w:u w:val="single"/>
          </w:rPr>
          <w:t>https://doi.org/10.1080/03098269608709373</w:t>
        </w:r>
      </w:hyperlink>
    </w:p>
    <w:p w14:paraId="67BD6B0A" w14:textId="77777777" w:rsidR="009F0C56" w:rsidRDefault="00653842">
      <w:pPr>
        <w:spacing w:after="0" w:line="240" w:lineRule="auto"/>
        <w:rPr>
          <w:rFonts w:ascii="Arial" w:eastAsia="Arial" w:hAnsi="Arial" w:cs="Arial"/>
          <w:sz w:val="22"/>
          <w:szCs w:val="22"/>
        </w:rPr>
      </w:pPr>
      <w:r>
        <w:rPr>
          <w:rFonts w:ascii="Arial" w:eastAsia="Arial" w:hAnsi="Arial" w:cs="Arial"/>
          <w:sz w:val="22"/>
          <w:szCs w:val="22"/>
        </w:rPr>
        <w:t xml:space="preserve">Rose, G. (2014). On the Relation between ‘Visual Research Methods’ and Contemporary Visual Culture. </w:t>
      </w:r>
      <w:r>
        <w:rPr>
          <w:rFonts w:ascii="Arial" w:eastAsia="Arial" w:hAnsi="Arial" w:cs="Arial"/>
          <w:i/>
          <w:iCs/>
          <w:sz w:val="22"/>
          <w:szCs w:val="22"/>
        </w:rPr>
        <w:t>The Sociological Review</w:t>
      </w:r>
      <w:r>
        <w:rPr>
          <w:rFonts w:ascii="Arial" w:eastAsia="Arial" w:hAnsi="Arial" w:cs="Arial"/>
          <w:sz w:val="22"/>
          <w:szCs w:val="22"/>
        </w:rPr>
        <w:t xml:space="preserve">, </w:t>
      </w:r>
      <w:r>
        <w:rPr>
          <w:rFonts w:ascii="Arial" w:eastAsia="Arial" w:hAnsi="Arial" w:cs="Arial"/>
          <w:i/>
          <w:iCs/>
          <w:sz w:val="22"/>
          <w:szCs w:val="22"/>
        </w:rPr>
        <w:t>62</w:t>
      </w:r>
      <w:r>
        <w:rPr>
          <w:rFonts w:ascii="Arial" w:eastAsia="Arial" w:hAnsi="Arial" w:cs="Arial"/>
          <w:sz w:val="22"/>
          <w:szCs w:val="22"/>
        </w:rPr>
        <w:t xml:space="preserve">(1), 24-46. </w:t>
      </w:r>
      <w:hyperlink r:id="rId145">
        <w:r>
          <w:rPr>
            <w:rFonts w:ascii="Arial" w:eastAsia="Arial" w:hAnsi="Arial" w:cs="Arial"/>
            <w:color w:val="0000FF"/>
            <w:sz w:val="22"/>
            <w:szCs w:val="22"/>
            <w:u w:val="single"/>
          </w:rPr>
          <w:t>https://doi.org/10.1111/1467-954X.12109</w:t>
        </w:r>
      </w:hyperlink>
      <w:r>
        <w:rPr>
          <w:rFonts w:ascii="Arial" w:eastAsia="Arial" w:hAnsi="Arial" w:cs="Arial"/>
          <w:sz w:val="22"/>
          <w:szCs w:val="22"/>
        </w:rPr>
        <w:t xml:space="preserve"> </w:t>
      </w:r>
    </w:p>
    <w:p w14:paraId="68C04DF9" w14:textId="77777777" w:rsidR="009F0C56" w:rsidRDefault="009F0C56">
      <w:pPr>
        <w:spacing w:after="0" w:line="240" w:lineRule="auto"/>
        <w:rPr>
          <w:rFonts w:ascii="Arial" w:eastAsia="Arial" w:hAnsi="Arial" w:cs="Arial"/>
          <w:sz w:val="22"/>
          <w:szCs w:val="22"/>
        </w:rPr>
      </w:pPr>
    </w:p>
    <w:p w14:paraId="347C4683" w14:textId="77777777" w:rsidR="009F0C56" w:rsidRDefault="00653842">
      <w:pPr>
        <w:spacing w:after="0" w:line="240" w:lineRule="auto"/>
        <w:rPr>
          <w:rFonts w:ascii="Arial" w:eastAsia="Arial" w:hAnsi="Arial" w:cs="Arial"/>
          <w:sz w:val="22"/>
          <w:szCs w:val="22"/>
        </w:rPr>
      </w:pPr>
      <w:r>
        <w:rPr>
          <w:rFonts w:ascii="Arial" w:eastAsia="Arial" w:hAnsi="Arial" w:cs="Arial"/>
          <w:sz w:val="22"/>
          <w:szCs w:val="22"/>
        </w:rPr>
        <w:t xml:space="preserve">Rose, G. (2015). Rethinking the geographies of cultural ‘objects’ through digital technologies: Interface, network and friction: Interface, network and friction. </w:t>
      </w:r>
      <w:r>
        <w:rPr>
          <w:rFonts w:ascii="Arial" w:eastAsia="Arial" w:hAnsi="Arial" w:cs="Arial"/>
          <w:i/>
          <w:iCs/>
          <w:sz w:val="22"/>
          <w:szCs w:val="22"/>
        </w:rPr>
        <w:t>Progress in Human Geography</w:t>
      </w:r>
      <w:r>
        <w:rPr>
          <w:rFonts w:ascii="Arial" w:eastAsia="Arial" w:hAnsi="Arial" w:cs="Arial"/>
          <w:sz w:val="22"/>
          <w:szCs w:val="22"/>
        </w:rPr>
        <w:t xml:space="preserve">, </w:t>
      </w:r>
      <w:r>
        <w:rPr>
          <w:rFonts w:ascii="Arial" w:eastAsia="Arial" w:hAnsi="Arial" w:cs="Arial"/>
          <w:i/>
          <w:iCs/>
          <w:sz w:val="22"/>
          <w:szCs w:val="22"/>
        </w:rPr>
        <w:t>40</w:t>
      </w:r>
      <w:r>
        <w:rPr>
          <w:rFonts w:ascii="Arial" w:eastAsia="Arial" w:hAnsi="Arial" w:cs="Arial"/>
          <w:sz w:val="22"/>
          <w:szCs w:val="22"/>
        </w:rPr>
        <w:t xml:space="preserve">(3), 334-351. </w:t>
      </w:r>
      <w:hyperlink r:id="rId146">
        <w:r>
          <w:rPr>
            <w:rFonts w:ascii="Arial" w:eastAsia="Arial" w:hAnsi="Arial" w:cs="Arial"/>
            <w:color w:val="0000FF"/>
            <w:sz w:val="22"/>
            <w:szCs w:val="22"/>
            <w:u w:val="single"/>
          </w:rPr>
          <w:t>https://doi.org/10.1177/0309132515580493</w:t>
        </w:r>
      </w:hyperlink>
      <w:r>
        <w:rPr>
          <w:rFonts w:ascii="Arial" w:eastAsia="Arial" w:hAnsi="Arial" w:cs="Arial"/>
          <w:sz w:val="22"/>
          <w:szCs w:val="22"/>
        </w:rPr>
        <w:t xml:space="preserve"> </w:t>
      </w:r>
    </w:p>
    <w:p w14:paraId="1EA9EF80" w14:textId="61EC566E"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Saad-Filho, A. and Morais, L.</w:t>
      </w:r>
      <w:r>
        <w:rPr>
          <w:rFonts w:ascii="Arial" w:eastAsia="Arial" w:hAnsi="Arial" w:cs="Arial"/>
          <w:color w:val="000000"/>
          <w:sz w:val="22"/>
          <w:szCs w:val="22"/>
        </w:rPr>
        <w:t xml:space="preserve"> (2018). </w:t>
      </w:r>
      <w:r>
        <w:rPr>
          <w:rFonts w:ascii="Arial" w:eastAsia="Arial" w:hAnsi="Arial" w:cs="Arial"/>
          <w:i/>
          <w:iCs/>
          <w:color w:val="000000"/>
          <w:sz w:val="22"/>
          <w:szCs w:val="22"/>
        </w:rPr>
        <w:t>Brazil: Neoliberalism versus Democracy</w:t>
      </w:r>
      <w:r>
        <w:rPr>
          <w:rFonts w:ascii="Arial" w:eastAsia="Arial" w:hAnsi="Arial" w:cs="Arial"/>
          <w:color w:val="000000"/>
          <w:sz w:val="22"/>
          <w:szCs w:val="22"/>
        </w:rPr>
        <w:t>. London: Pluto Press.</w:t>
      </w:r>
    </w:p>
    <w:p w14:paraId="7855C827" w14:textId="6FC03854" w:rsidR="009F0C56" w:rsidRDefault="00653842">
      <w:pPr>
        <w:rPr>
          <w:rFonts w:ascii="Arial" w:eastAsia="Arial" w:hAnsi="Arial" w:cs="Arial"/>
          <w:sz w:val="22"/>
          <w:szCs w:val="22"/>
        </w:rPr>
      </w:pPr>
      <w:r>
        <w:rPr>
          <w:rFonts w:ascii="Arial" w:eastAsia="Arial" w:hAnsi="Arial" w:cs="Arial"/>
          <w:sz w:val="22"/>
          <w:szCs w:val="22"/>
        </w:rPr>
        <w:t xml:space="preserve">Said, Edward. Orientalism. (2019). Penguin </w:t>
      </w:r>
      <w:r w:rsidR="00F44422">
        <w:rPr>
          <w:rFonts w:ascii="Arial" w:eastAsia="Arial" w:hAnsi="Arial" w:cs="Arial"/>
          <w:sz w:val="22"/>
          <w:szCs w:val="22"/>
        </w:rPr>
        <w:t>Books</w:t>
      </w:r>
      <w:r>
        <w:rPr>
          <w:rFonts w:ascii="Arial" w:eastAsia="Arial" w:hAnsi="Arial" w:cs="Arial"/>
          <w:sz w:val="22"/>
          <w:szCs w:val="22"/>
        </w:rPr>
        <w:t>. London</w:t>
      </w:r>
    </w:p>
    <w:p w14:paraId="0DEC8B63" w14:textId="77777777" w:rsidR="009F0C56" w:rsidRDefault="00653842">
      <w:pPr>
        <w:shd w:val="clear" w:color="auto" w:fill="FFFFFF"/>
        <w:spacing w:after="280" w:line="240" w:lineRule="auto"/>
        <w:rPr>
          <w:rFonts w:ascii="Arial" w:eastAsia="Arial" w:hAnsi="Arial" w:cs="Arial"/>
          <w:color w:val="000000"/>
          <w:sz w:val="22"/>
          <w:szCs w:val="22"/>
        </w:rPr>
      </w:pPr>
      <w:r>
        <w:rPr>
          <w:rFonts w:ascii="Arial" w:eastAsia="Arial" w:hAnsi="Arial" w:cs="Arial"/>
          <w:color w:val="000000"/>
          <w:sz w:val="22"/>
          <w:szCs w:val="22"/>
        </w:rPr>
        <w:t xml:space="preserve">Sanchez, Bobby, ‘Plutonomy.’ (2018). (YouTube) Available from: </w:t>
      </w:r>
      <w:hyperlink r:id="rId147">
        <w:r>
          <w:rPr>
            <w:rFonts w:ascii="Arial" w:eastAsia="Arial" w:hAnsi="Arial" w:cs="Arial"/>
            <w:color w:val="467886"/>
            <w:sz w:val="22"/>
            <w:szCs w:val="22"/>
            <w:u w:val="single"/>
          </w:rPr>
          <w:t>https://youtu.be/WoyWxoKumlU</w:t>
        </w:r>
      </w:hyperlink>
      <w:r>
        <w:rPr>
          <w:rFonts w:ascii="Arial" w:eastAsia="Arial" w:hAnsi="Arial" w:cs="Arial"/>
          <w:color w:val="000000"/>
          <w:sz w:val="22"/>
          <w:szCs w:val="22"/>
        </w:rPr>
        <w:t xml:space="preserve"> </w:t>
      </w:r>
    </w:p>
    <w:p w14:paraId="46AC1B53" w14:textId="77777777" w:rsidR="009F0C56" w:rsidRDefault="00653842">
      <w:pPr>
        <w:rPr>
          <w:rFonts w:ascii="Arial" w:eastAsia="Arial" w:hAnsi="Arial" w:cs="Arial"/>
          <w:sz w:val="22"/>
          <w:szCs w:val="22"/>
        </w:rPr>
      </w:pPr>
      <w:r>
        <w:rPr>
          <w:rFonts w:ascii="Arial" w:eastAsia="Arial" w:hAnsi="Arial" w:cs="Arial"/>
          <w:color w:val="333333"/>
          <w:sz w:val="22"/>
          <w:szCs w:val="22"/>
          <w:highlight w:val="white"/>
        </w:rPr>
        <w:t>Santiago Castro-Gómez (2007) THE MISSING CHAPTER OF EMPIRE, Cultural Studies, 21:2-3, 428-448, DOI: </w:t>
      </w:r>
      <w:hyperlink r:id="rId148">
        <w:r>
          <w:rPr>
            <w:rFonts w:ascii="Arial" w:eastAsia="Arial" w:hAnsi="Arial" w:cs="Arial"/>
            <w:color w:val="333333"/>
            <w:sz w:val="22"/>
            <w:szCs w:val="22"/>
            <w:highlight w:val="white"/>
            <w:u w:val="single"/>
          </w:rPr>
          <w:t>10.1080/09502380601162639</w:t>
        </w:r>
      </w:hyperlink>
      <w:r>
        <w:rPr>
          <w:rFonts w:ascii="Arial" w:eastAsia="Arial" w:hAnsi="Arial" w:cs="Arial"/>
          <w:sz w:val="22"/>
          <w:szCs w:val="22"/>
        </w:rPr>
        <w:t xml:space="preserve"> </w:t>
      </w:r>
    </w:p>
    <w:p w14:paraId="53A10822" w14:textId="77777777"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 xml:space="preserve">Seminole Tribe of Florida, 2023, 2024, 2025. </w:t>
      </w:r>
      <w:r>
        <w:rPr>
          <w:rFonts w:ascii="Arial" w:eastAsia="Arial" w:hAnsi="Arial" w:cs="Arial"/>
          <w:i/>
          <w:iCs/>
          <w:color w:val="000000"/>
          <w:sz w:val="22"/>
          <w:szCs w:val="22"/>
        </w:rPr>
        <w:t>Tribal History</w:t>
      </w:r>
      <w:r>
        <w:rPr>
          <w:rFonts w:ascii="Arial" w:eastAsia="Arial" w:hAnsi="Arial" w:cs="Arial"/>
          <w:color w:val="000000"/>
          <w:sz w:val="22"/>
          <w:szCs w:val="22"/>
        </w:rPr>
        <w:t xml:space="preserve">. [online] Available at: </w:t>
      </w:r>
      <w:hyperlink r:id="rId149">
        <w:r>
          <w:rPr>
            <w:rFonts w:ascii="Arial" w:eastAsia="Arial" w:hAnsi="Arial" w:cs="Arial"/>
            <w:color w:val="0000FF"/>
            <w:sz w:val="22"/>
            <w:szCs w:val="22"/>
            <w:u w:val="single"/>
          </w:rPr>
          <w:t>https://www.semtribe.com</w:t>
        </w:r>
      </w:hyperlink>
    </w:p>
    <w:p w14:paraId="63C1D70B" w14:textId="77777777" w:rsidR="009F0C56" w:rsidRDefault="00653842">
      <w:pPr>
        <w:rPr>
          <w:rFonts w:ascii="Arial" w:eastAsia="Arial" w:hAnsi="Arial" w:cs="Arial"/>
          <w:color w:val="222222"/>
          <w:sz w:val="22"/>
          <w:szCs w:val="22"/>
          <w:highlight w:val="white"/>
        </w:rPr>
      </w:pPr>
      <w:r>
        <w:rPr>
          <w:rFonts w:ascii="Arial" w:eastAsia="Arial" w:hAnsi="Arial" w:cs="Arial"/>
          <w:color w:val="222222"/>
          <w:sz w:val="22"/>
          <w:szCs w:val="22"/>
          <w:highlight w:val="white"/>
        </w:rPr>
        <w:lastRenderedPageBreak/>
        <w:t xml:space="preserve">Seminole. 2024. Seminole. Available from: </w:t>
      </w:r>
      <w:hyperlink r:id="rId150">
        <w:r>
          <w:rPr>
            <w:rFonts w:ascii="Arial" w:eastAsia="Arial" w:hAnsi="Arial" w:cs="Arial"/>
            <w:color w:val="467886"/>
            <w:sz w:val="22"/>
            <w:szCs w:val="22"/>
            <w:highlight w:val="white"/>
            <w:u w:val="single"/>
          </w:rPr>
          <w:t>https://www.semtribe.com/stof/enterprises/big-cypress-reservation</w:t>
        </w:r>
      </w:hyperlink>
      <w:r>
        <w:rPr>
          <w:rFonts w:ascii="Arial" w:eastAsia="Arial" w:hAnsi="Arial" w:cs="Arial"/>
          <w:color w:val="222222"/>
          <w:sz w:val="22"/>
          <w:szCs w:val="22"/>
          <w:highlight w:val="white"/>
        </w:rPr>
        <w:t xml:space="preserve"> </w:t>
      </w:r>
    </w:p>
    <w:p w14:paraId="1E63A0E8" w14:textId="77777777" w:rsidR="009F0C56" w:rsidRDefault="00653842">
      <w:r>
        <w:rPr>
          <w:rFonts w:ascii="Arial" w:eastAsia="Arial" w:hAnsi="Arial" w:cs="Arial"/>
          <w:color w:val="222222"/>
          <w:sz w:val="22"/>
          <w:szCs w:val="22"/>
          <w:highlight w:val="white"/>
        </w:rPr>
        <w:t>Sengar, B. (2023). Fracturing and formation of cultural spaces of Florida Seminole: From settlements to reservation. In B. Sengar &amp; A. M. E. Adjoumani (Eds.), </w:t>
      </w:r>
      <w:r>
        <w:rPr>
          <w:rFonts w:ascii="Arial" w:eastAsia="Arial" w:hAnsi="Arial" w:cs="Arial"/>
          <w:i/>
          <w:iCs/>
          <w:color w:val="222222"/>
          <w:sz w:val="22"/>
          <w:szCs w:val="22"/>
          <w:highlight w:val="white"/>
        </w:rPr>
        <w:t>Indigenous societies in the post-colonial world</w:t>
      </w:r>
      <w:r>
        <w:rPr>
          <w:rFonts w:ascii="Arial" w:eastAsia="Arial" w:hAnsi="Arial" w:cs="Arial"/>
          <w:color w:val="222222"/>
          <w:sz w:val="22"/>
          <w:szCs w:val="22"/>
          <w:highlight w:val="white"/>
        </w:rPr>
        <w:t>. Springer. </w:t>
      </w:r>
      <w:hyperlink r:id="rId151">
        <w:r>
          <w:rPr>
            <w:rFonts w:ascii="Arial" w:eastAsia="Arial" w:hAnsi="Arial" w:cs="Arial"/>
            <w:color w:val="025E8D"/>
            <w:sz w:val="22"/>
            <w:szCs w:val="22"/>
            <w:highlight w:val="white"/>
            <w:u w:val="single"/>
          </w:rPr>
          <w:t>https://doi.org/10.1007/978-981-19-8722-9_3</w:t>
        </w:r>
      </w:hyperlink>
    </w:p>
    <w:p w14:paraId="6F20AAF0" w14:textId="662559D5" w:rsidR="009F0C56" w:rsidRDefault="00653842">
      <w:pPr>
        <w:rPr>
          <w:rFonts w:ascii="Arial" w:eastAsia="Arial" w:hAnsi="Arial" w:cs="Arial"/>
          <w:sz w:val="22"/>
          <w:szCs w:val="22"/>
        </w:rPr>
      </w:pPr>
      <w:r>
        <w:rPr>
          <w:rFonts w:ascii="Arial" w:eastAsia="Arial" w:hAnsi="Arial" w:cs="Arial"/>
          <w:sz w:val="22"/>
          <w:szCs w:val="22"/>
        </w:rPr>
        <w:t xml:space="preserve">Sheriff, L. 2024. ‘The Bison Skull </w:t>
      </w:r>
      <w:r w:rsidR="00F44422">
        <w:rPr>
          <w:rFonts w:ascii="Arial" w:eastAsia="Arial" w:hAnsi="Arial" w:cs="Arial"/>
          <w:sz w:val="22"/>
          <w:szCs w:val="22"/>
        </w:rPr>
        <w:t>Mountain</w:t>
      </w:r>
      <w:r>
        <w:rPr>
          <w:rFonts w:ascii="Arial" w:eastAsia="Arial" w:hAnsi="Arial" w:cs="Arial"/>
          <w:sz w:val="22"/>
          <w:szCs w:val="22"/>
        </w:rPr>
        <w:t xml:space="preserve">’ Photo that reveals  the US’s  dark History.” BBC Earth. Available from: </w:t>
      </w:r>
      <w:hyperlink r:id="rId152">
        <w:r>
          <w:rPr>
            <w:rFonts w:ascii="Arial" w:eastAsia="Arial" w:hAnsi="Arial" w:cs="Arial"/>
            <w:color w:val="467886"/>
            <w:sz w:val="22"/>
            <w:szCs w:val="22"/>
            <w:u w:val="single"/>
          </w:rPr>
          <w:t>https://www.bbc.co.uk/future/article/20241203-the-bison-skulls-photo-revealing-americas-dark-history</w:t>
        </w:r>
      </w:hyperlink>
      <w:r>
        <w:rPr>
          <w:rFonts w:ascii="Arial" w:eastAsia="Arial" w:hAnsi="Arial" w:cs="Arial"/>
          <w:sz w:val="22"/>
          <w:szCs w:val="22"/>
        </w:rPr>
        <w:t xml:space="preserve"> </w:t>
      </w:r>
    </w:p>
    <w:p w14:paraId="534A9E0A" w14:textId="77777777" w:rsidR="009F0C56" w:rsidRDefault="00653842">
      <w:pPr>
        <w:rPr>
          <w:rFonts w:ascii="Arial" w:eastAsia="Arial" w:hAnsi="Arial" w:cs="Arial"/>
          <w:color w:val="333333"/>
          <w:sz w:val="22"/>
          <w:szCs w:val="22"/>
          <w:highlight w:val="white"/>
        </w:rPr>
      </w:pPr>
      <w:r>
        <w:rPr>
          <w:rFonts w:ascii="Arial" w:eastAsia="Arial" w:hAnsi="Arial" w:cs="Arial"/>
          <w:color w:val="333333"/>
          <w:sz w:val="22"/>
          <w:szCs w:val="22"/>
          <w:highlight w:val="white"/>
        </w:rPr>
        <w:t>Sherlock, S. (1997). The Future of Commodity Fetishism. </w:t>
      </w:r>
      <w:r>
        <w:rPr>
          <w:rFonts w:ascii="Arial" w:eastAsia="Arial" w:hAnsi="Arial" w:cs="Arial"/>
          <w:i/>
          <w:iCs/>
          <w:color w:val="333333"/>
          <w:sz w:val="22"/>
          <w:szCs w:val="22"/>
          <w:highlight w:val="white"/>
        </w:rPr>
        <w:t>Sociological Focus</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30</w:t>
      </w:r>
      <w:r>
        <w:rPr>
          <w:rFonts w:ascii="Arial" w:eastAsia="Arial" w:hAnsi="Arial" w:cs="Arial"/>
          <w:color w:val="333333"/>
          <w:sz w:val="22"/>
          <w:szCs w:val="22"/>
          <w:highlight w:val="white"/>
        </w:rPr>
        <w:t xml:space="preserve">(1), 61–78. </w:t>
      </w:r>
      <w:hyperlink r:id="rId153">
        <w:r>
          <w:rPr>
            <w:rFonts w:ascii="Arial" w:eastAsia="Arial" w:hAnsi="Arial" w:cs="Arial"/>
            <w:color w:val="467886"/>
            <w:sz w:val="22"/>
            <w:szCs w:val="22"/>
            <w:highlight w:val="white"/>
            <w:u w:val="single"/>
          </w:rPr>
          <w:t>https://doi.org/10.1080/00380237.1997.10570683</w:t>
        </w:r>
      </w:hyperlink>
    </w:p>
    <w:p w14:paraId="709DD25A" w14:textId="0E16D9AA" w:rsidR="009F0C56" w:rsidRDefault="00653842">
      <w:pPr>
        <w:rPr>
          <w:rFonts w:ascii="Arial" w:eastAsia="Arial" w:hAnsi="Arial" w:cs="Arial"/>
          <w:sz w:val="22"/>
          <w:szCs w:val="22"/>
        </w:rPr>
      </w:pPr>
      <w:r>
        <w:rPr>
          <w:rFonts w:ascii="Arial" w:eastAsia="Arial" w:hAnsi="Arial" w:cs="Arial"/>
          <w:color w:val="1A1A1A"/>
          <w:sz w:val="22"/>
          <w:szCs w:val="22"/>
          <w:highlight w:val="white"/>
        </w:rPr>
        <w:t>Shiri Pasternak (2020); Assimilation and Partition: How Settler Colonialism and Racial Capitalism Co-produce the Borders of Indigenous Economies. </w:t>
      </w:r>
      <w:r>
        <w:rPr>
          <w:rFonts w:ascii="Arial" w:eastAsia="Arial" w:hAnsi="Arial" w:cs="Arial"/>
          <w:i/>
          <w:iCs/>
          <w:color w:val="1A1A1A"/>
          <w:sz w:val="22"/>
          <w:szCs w:val="22"/>
          <w:highlight w:val="white"/>
        </w:rPr>
        <w:t>South Atlantic Quarterly</w:t>
      </w:r>
      <w:r>
        <w:rPr>
          <w:rFonts w:ascii="Arial" w:eastAsia="Arial" w:hAnsi="Arial" w:cs="Arial"/>
          <w:color w:val="1A1A1A"/>
          <w:sz w:val="22"/>
          <w:szCs w:val="22"/>
          <w:highlight w:val="white"/>
        </w:rPr>
        <w:t>; 119 (2): 301–324. doi: </w:t>
      </w:r>
      <w:hyperlink r:id="rId154">
        <w:r>
          <w:rPr>
            <w:rFonts w:ascii="Arial" w:eastAsia="Arial" w:hAnsi="Arial" w:cs="Arial"/>
            <w:color w:val="006FB7"/>
            <w:sz w:val="22"/>
            <w:szCs w:val="22"/>
            <w:highlight w:val="white"/>
            <w:u w:val="single"/>
          </w:rPr>
          <w:t>https://doi.org/10.1215/00382876-8177771</w:t>
        </w:r>
      </w:hyperlink>
      <w:r>
        <w:rPr>
          <w:rFonts w:ascii="Arial" w:eastAsia="Arial" w:hAnsi="Arial" w:cs="Arial"/>
          <w:sz w:val="22"/>
          <w:szCs w:val="22"/>
        </w:rPr>
        <w:t xml:space="preserve"> </w:t>
      </w:r>
    </w:p>
    <w:p w14:paraId="719BB609" w14:textId="77777777" w:rsidR="009F0C56" w:rsidRDefault="00653842">
      <w:pPr>
        <w:pBdr>
          <w:top w:val="nil"/>
          <w:left w:val="nil"/>
          <w:bottom w:val="nil"/>
          <w:right w:val="nil"/>
          <w:between w:val="nil"/>
        </w:pBdr>
        <w:spacing w:line="240" w:lineRule="auto"/>
        <w:rPr>
          <w:rFonts w:ascii="Arial" w:eastAsia="Arial" w:hAnsi="Arial" w:cs="Arial"/>
          <w:color w:val="0A0A0A"/>
          <w:sz w:val="22"/>
          <w:szCs w:val="22"/>
          <w:highlight w:val="white"/>
        </w:rPr>
      </w:pPr>
      <w:r>
        <w:rPr>
          <w:rFonts w:ascii="Arial" w:eastAsia="Arial" w:hAnsi="Arial" w:cs="Arial"/>
          <w:color w:val="0A0A0A"/>
          <w:sz w:val="22"/>
          <w:szCs w:val="22"/>
          <w:highlight w:val="white"/>
        </w:rPr>
        <w:t>Simpson, A. (2016). The State is a Man: Theresa Spence, Loretta Saunders and the Gender of Settler Sovereignty. </w:t>
      </w:r>
      <w:r>
        <w:rPr>
          <w:rFonts w:ascii="Arial" w:eastAsia="Arial" w:hAnsi="Arial" w:cs="Arial"/>
          <w:i/>
          <w:iCs/>
          <w:color w:val="0A0A0A"/>
          <w:sz w:val="22"/>
          <w:szCs w:val="22"/>
          <w:highlight w:val="white"/>
        </w:rPr>
        <w:t>Theory &amp; Event</w:t>
      </w:r>
      <w:r>
        <w:rPr>
          <w:rFonts w:ascii="Arial" w:eastAsia="Arial" w:hAnsi="Arial" w:cs="Arial"/>
          <w:color w:val="0A0A0A"/>
          <w:sz w:val="22"/>
          <w:szCs w:val="22"/>
          <w:highlight w:val="white"/>
        </w:rPr>
        <w:t> </w:t>
      </w:r>
      <w:r>
        <w:rPr>
          <w:rFonts w:ascii="Arial" w:eastAsia="Arial" w:hAnsi="Arial" w:cs="Arial"/>
          <w:i/>
          <w:iCs/>
          <w:color w:val="0A0A0A"/>
          <w:sz w:val="22"/>
          <w:szCs w:val="22"/>
          <w:highlight w:val="white"/>
        </w:rPr>
        <w:t>19</w:t>
      </w:r>
      <w:r>
        <w:rPr>
          <w:rFonts w:ascii="Arial" w:eastAsia="Arial" w:hAnsi="Arial" w:cs="Arial"/>
          <w:color w:val="0A0A0A"/>
          <w:sz w:val="22"/>
          <w:szCs w:val="22"/>
          <w:highlight w:val="white"/>
        </w:rPr>
        <w:t>(4), </w:t>
      </w:r>
      <w:hyperlink r:id="rId155">
        <w:r>
          <w:rPr>
            <w:rFonts w:ascii="Arial" w:eastAsia="Arial" w:hAnsi="Arial" w:cs="Arial"/>
            <w:color w:val="1A4C8C"/>
            <w:sz w:val="22"/>
            <w:szCs w:val="22"/>
            <w:highlight w:val="white"/>
            <w:u w:val="single"/>
          </w:rPr>
          <w:t>https://muse.jhu.edu/article/633280</w:t>
        </w:r>
      </w:hyperlink>
      <w:r>
        <w:rPr>
          <w:rFonts w:ascii="Arial" w:eastAsia="Arial" w:hAnsi="Arial" w:cs="Arial"/>
          <w:color w:val="0A0A0A"/>
          <w:sz w:val="22"/>
          <w:szCs w:val="22"/>
          <w:highlight w:val="white"/>
        </w:rPr>
        <w:t>.</w:t>
      </w:r>
    </w:p>
    <w:p w14:paraId="7DA37479" w14:textId="2AB9AC5A"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Simpson, L.B.</w:t>
      </w:r>
      <w:r>
        <w:rPr>
          <w:rFonts w:ascii="Arial" w:eastAsia="Arial" w:hAnsi="Arial" w:cs="Arial"/>
          <w:color w:val="000000"/>
          <w:sz w:val="22"/>
          <w:szCs w:val="22"/>
        </w:rPr>
        <w:t xml:space="preserve"> (2017). </w:t>
      </w:r>
      <w:r>
        <w:rPr>
          <w:rFonts w:ascii="Arial" w:eastAsia="Arial" w:hAnsi="Arial" w:cs="Arial"/>
          <w:i/>
          <w:iCs/>
          <w:color w:val="000000"/>
          <w:sz w:val="22"/>
          <w:szCs w:val="22"/>
        </w:rPr>
        <w:t>As We Have Always Done: Indigenous Freedom Through Radical Resistance</w:t>
      </w:r>
      <w:r>
        <w:rPr>
          <w:rFonts w:ascii="Arial" w:eastAsia="Arial" w:hAnsi="Arial" w:cs="Arial"/>
          <w:color w:val="000000"/>
          <w:sz w:val="22"/>
          <w:szCs w:val="22"/>
        </w:rPr>
        <w:t>. Minneapolis: University of Minnesota Press.</w:t>
      </w:r>
    </w:p>
    <w:p w14:paraId="02B833E2" w14:textId="77777777" w:rsidR="009F0C56" w:rsidRDefault="00653842">
      <w:pPr>
        <w:shd w:val="clear" w:color="auto" w:fill="FFFFFF"/>
        <w:spacing w:after="280" w:line="240" w:lineRule="auto"/>
        <w:rPr>
          <w:rFonts w:ascii="Arial" w:eastAsia="Arial" w:hAnsi="Arial" w:cs="Arial"/>
          <w:color w:val="000000"/>
          <w:sz w:val="22"/>
          <w:szCs w:val="22"/>
          <w:highlight w:val="white"/>
        </w:rPr>
      </w:pPr>
      <w:r>
        <w:rPr>
          <w:rFonts w:ascii="Arial" w:eastAsia="Arial" w:hAnsi="Arial" w:cs="Arial"/>
          <w:color w:val="000000"/>
          <w:sz w:val="22"/>
          <w:szCs w:val="22"/>
          <w:highlight w:val="white"/>
        </w:rPr>
        <w:t>Sithole, T. (2016). The Concept of the Black Subject in Fanon. </w:t>
      </w:r>
      <w:r>
        <w:rPr>
          <w:rFonts w:ascii="Arial" w:eastAsia="Arial" w:hAnsi="Arial" w:cs="Arial"/>
          <w:i/>
          <w:iCs/>
          <w:color w:val="000000"/>
          <w:sz w:val="22"/>
          <w:szCs w:val="22"/>
          <w:highlight w:val="white"/>
        </w:rPr>
        <w:t>Journal of Black Studies</w:t>
      </w:r>
      <w:r>
        <w:rPr>
          <w:rFonts w:ascii="Arial" w:eastAsia="Arial" w:hAnsi="Arial" w:cs="Arial"/>
          <w:color w:val="000000"/>
          <w:sz w:val="22"/>
          <w:szCs w:val="22"/>
          <w:highlight w:val="white"/>
        </w:rPr>
        <w:t>, </w:t>
      </w:r>
      <w:r>
        <w:rPr>
          <w:rFonts w:ascii="Arial" w:eastAsia="Arial" w:hAnsi="Arial" w:cs="Arial"/>
          <w:i/>
          <w:iCs/>
          <w:color w:val="000000"/>
          <w:sz w:val="22"/>
          <w:szCs w:val="22"/>
          <w:highlight w:val="white"/>
        </w:rPr>
        <w:t>47</w:t>
      </w:r>
      <w:r>
        <w:rPr>
          <w:rFonts w:ascii="Arial" w:eastAsia="Arial" w:hAnsi="Arial" w:cs="Arial"/>
          <w:color w:val="000000"/>
          <w:sz w:val="22"/>
          <w:szCs w:val="22"/>
          <w:highlight w:val="white"/>
        </w:rPr>
        <w:t xml:space="preserve">(1), 24–40. </w:t>
      </w:r>
      <w:hyperlink r:id="rId156">
        <w:r>
          <w:rPr>
            <w:rFonts w:ascii="Arial" w:eastAsia="Arial" w:hAnsi="Arial" w:cs="Arial"/>
            <w:color w:val="467886"/>
            <w:sz w:val="22"/>
            <w:szCs w:val="22"/>
            <w:highlight w:val="white"/>
            <w:u w:val="single"/>
          </w:rPr>
          <w:t>http://www.jstor.org/stable/24572957</w:t>
        </w:r>
      </w:hyperlink>
    </w:p>
    <w:p w14:paraId="6FAB0432" w14:textId="77777777" w:rsidR="009F0C56" w:rsidRDefault="00653842">
      <w:pPr>
        <w:spacing w:after="0" w:line="240" w:lineRule="auto"/>
        <w:rPr>
          <w:rFonts w:ascii="Arial" w:eastAsia="Arial" w:hAnsi="Arial" w:cs="Arial"/>
          <w:sz w:val="22"/>
          <w:szCs w:val="22"/>
        </w:rPr>
      </w:pPr>
      <w:r>
        <w:rPr>
          <w:rFonts w:ascii="Arial" w:eastAsia="Arial" w:hAnsi="Arial" w:cs="Arial"/>
          <w:sz w:val="22"/>
          <w:szCs w:val="22"/>
        </w:rPr>
        <w:t xml:space="preserve">Smiles, D. (2021). George Floyd, Minneapolis, and spaces of hope and liberation. </w:t>
      </w:r>
      <w:r>
        <w:rPr>
          <w:rFonts w:ascii="Arial" w:eastAsia="Arial" w:hAnsi="Arial" w:cs="Arial"/>
          <w:i/>
          <w:iCs/>
          <w:sz w:val="22"/>
          <w:szCs w:val="22"/>
        </w:rPr>
        <w:t>Dialogues in Human Geography</w:t>
      </w:r>
      <w:r>
        <w:rPr>
          <w:rFonts w:ascii="Arial" w:eastAsia="Arial" w:hAnsi="Arial" w:cs="Arial"/>
          <w:sz w:val="22"/>
          <w:szCs w:val="22"/>
        </w:rPr>
        <w:t xml:space="preserve">, </w:t>
      </w:r>
      <w:r>
        <w:rPr>
          <w:rFonts w:ascii="Arial" w:eastAsia="Arial" w:hAnsi="Arial" w:cs="Arial"/>
          <w:i/>
          <w:iCs/>
          <w:sz w:val="22"/>
          <w:szCs w:val="22"/>
        </w:rPr>
        <w:t>11</w:t>
      </w:r>
      <w:r>
        <w:rPr>
          <w:rFonts w:ascii="Arial" w:eastAsia="Arial" w:hAnsi="Arial" w:cs="Arial"/>
          <w:sz w:val="22"/>
          <w:szCs w:val="22"/>
        </w:rPr>
        <w:t xml:space="preserve">(2), 165-169. </w:t>
      </w:r>
      <w:hyperlink r:id="rId157">
        <w:r>
          <w:rPr>
            <w:rFonts w:ascii="Arial" w:eastAsia="Arial" w:hAnsi="Arial" w:cs="Arial"/>
            <w:color w:val="0000FF"/>
            <w:sz w:val="22"/>
            <w:szCs w:val="22"/>
            <w:u w:val="single"/>
          </w:rPr>
          <w:t>https://doi.org/10.1177/20438206211027466</w:t>
        </w:r>
      </w:hyperlink>
      <w:r>
        <w:rPr>
          <w:rFonts w:ascii="Arial" w:eastAsia="Arial" w:hAnsi="Arial" w:cs="Arial"/>
          <w:sz w:val="22"/>
          <w:szCs w:val="22"/>
        </w:rPr>
        <w:t xml:space="preserve"> (Original work published 2021)</w:t>
      </w:r>
    </w:p>
    <w:p w14:paraId="0ECCDA9F" w14:textId="77777777"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 xml:space="preserve">Smiles, R., (2023). </w:t>
      </w:r>
      <w:r>
        <w:rPr>
          <w:rFonts w:ascii="Arial" w:eastAsia="Arial" w:hAnsi="Arial" w:cs="Arial"/>
          <w:i/>
          <w:iCs/>
          <w:color w:val="000000"/>
          <w:sz w:val="22"/>
          <w:szCs w:val="22"/>
        </w:rPr>
        <w:t>[Full title and publication info needed – inferred context: environmental or Indigenous ecological critique]</w:t>
      </w:r>
      <w:r>
        <w:rPr>
          <w:rFonts w:ascii="Arial" w:eastAsia="Arial" w:hAnsi="Arial" w:cs="Arial"/>
          <w:color w:val="000000"/>
          <w:sz w:val="22"/>
          <w:szCs w:val="22"/>
        </w:rPr>
        <w:t>.</w:t>
      </w:r>
    </w:p>
    <w:p w14:paraId="63EBB1E5" w14:textId="77777777" w:rsidR="009F0C56" w:rsidRDefault="00653842">
      <w:pPr>
        <w:rPr>
          <w:rFonts w:ascii="Arial" w:eastAsia="Arial" w:hAnsi="Arial" w:cs="Arial"/>
          <w:sz w:val="22"/>
          <w:szCs w:val="22"/>
        </w:rPr>
      </w:pPr>
      <w:r>
        <w:rPr>
          <w:rFonts w:ascii="Arial" w:eastAsia="Arial" w:hAnsi="Arial" w:cs="Arial"/>
          <w:sz w:val="22"/>
          <w:szCs w:val="22"/>
        </w:rPr>
        <w:t xml:space="preserve"> Sontag, Susan. (2019). On Photography. London. Penguin Classics.</w:t>
      </w:r>
    </w:p>
    <w:p w14:paraId="64147781" w14:textId="77777777" w:rsidR="009F0C56" w:rsidRDefault="00653842">
      <w:pPr>
        <w:rPr>
          <w:rFonts w:ascii="Arial" w:eastAsia="Arial" w:hAnsi="Arial" w:cs="Arial"/>
          <w:sz w:val="22"/>
          <w:szCs w:val="22"/>
        </w:rPr>
      </w:pPr>
      <w:r>
        <w:rPr>
          <w:rFonts w:ascii="Arial" w:eastAsia="Arial" w:hAnsi="Arial" w:cs="Arial"/>
          <w:color w:val="000000"/>
          <w:sz w:val="22"/>
          <w:szCs w:val="22"/>
          <w:highlight w:val="white"/>
        </w:rPr>
        <w:t>Sreedhar, S. (2023). Is the Hobbesian State of Nature Racialized?. </w:t>
      </w:r>
      <w:r>
        <w:rPr>
          <w:rFonts w:ascii="Arial" w:eastAsia="Arial" w:hAnsi="Arial" w:cs="Arial"/>
          <w:i/>
          <w:iCs/>
          <w:color w:val="000000"/>
          <w:sz w:val="22"/>
          <w:szCs w:val="22"/>
          <w:highlight w:val="white"/>
        </w:rPr>
        <w:t>Hobbes Studies</w:t>
      </w:r>
      <w:r>
        <w:rPr>
          <w:rFonts w:ascii="Arial" w:eastAsia="Arial" w:hAnsi="Arial" w:cs="Arial"/>
          <w:color w:val="000000"/>
          <w:sz w:val="22"/>
          <w:szCs w:val="22"/>
          <w:highlight w:val="white"/>
        </w:rPr>
        <w:t>, </w:t>
      </w:r>
      <w:r>
        <w:rPr>
          <w:rFonts w:ascii="Arial" w:eastAsia="Arial" w:hAnsi="Arial" w:cs="Arial"/>
          <w:i/>
          <w:iCs/>
          <w:color w:val="000000"/>
          <w:sz w:val="22"/>
          <w:szCs w:val="22"/>
          <w:highlight w:val="white"/>
        </w:rPr>
        <w:t>36</w:t>
      </w:r>
      <w:r>
        <w:rPr>
          <w:rFonts w:ascii="Arial" w:eastAsia="Arial" w:hAnsi="Arial" w:cs="Arial"/>
          <w:color w:val="000000"/>
          <w:sz w:val="22"/>
          <w:szCs w:val="22"/>
          <w:highlight w:val="white"/>
        </w:rPr>
        <w:t>(1), 28-50</w:t>
      </w:r>
      <w:r>
        <w:rPr>
          <w:rFonts w:ascii="Arial" w:eastAsia="Arial" w:hAnsi="Arial" w:cs="Arial"/>
          <w:b/>
          <w:bCs/>
          <w:color w:val="000000"/>
          <w:sz w:val="22"/>
          <w:szCs w:val="22"/>
          <w:highlight w:val="white"/>
        </w:rPr>
        <w:t>. </w:t>
      </w:r>
      <w:hyperlink r:id="rId158">
        <w:r>
          <w:rPr>
            <w:rFonts w:ascii="Arial" w:eastAsia="Arial" w:hAnsi="Arial" w:cs="Arial"/>
            <w:b/>
            <w:bCs/>
            <w:color w:val="0000FF"/>
            <w:sz w:val="22"/>
            <w:szCs w:val="22"/>
            <w:highlight w:val="white"/>
            <w:u w:val="single"/>
          </w:rPr>
          <w:t>https://doi.org/10.1163/18750257-bja10055</w:t>
        </w:r>
      </w:hyperlink>
    </w:p>
    <w:p w14:paraId="00397D7D" w14:textId="77777777" w:rsidR="009F0C56" w:rsidRDefault="00653842">
      <w:pPr>
        <w:shd w:val="clear" w:color="auto" w:fill="FFFFFF"/>
        <w:spacing w:after="280" w:line="240" w:lineRule="auto"/>
        <w:rPr>
          <w:rFonts w:ascii="Arial" w:eastAsia="Arial" w:hAnsi="Arial" w:cs="Arial"/>
          <w:sz w:val="22"/>
          <w:szCs w:val="22"/>
        </w:rPr>
      </w:pPr>
      <w:r>
        <w:rPr>
          <w:rFonts w:ascii="Arial" w:eastAsia="Arial" w:hAnsi="Arial" w:cs="Arial"/>
          <w:color w:val="333333"/>
          <w:sz w:val="22"/>
          <w:szCs w:val="22"/>
        </w:rPr>
        <w:t>Stephanie Huff, Debbie Laliberte Rudman, Lilian Magalhães, Erica Lawson &amp; Maimuna Kanyamala (2022) Enacting a critical decolonizing ethnographic approach in occupation-based research, Journal of Occupational Science, 29:1, 115-129, DOI: </w:t>
      </w:r>
      <w:hyperlink r:id="rId159">
        <w:r>
          <w:rPr>
            <w:rFonts w:ascii="Arial" w:eastAsia="Arial" w:hAnsi="Arial" w:cs="Arial"/>
            <w:color w:val="333333"/>
            <w:sz w:val="22"/>
            <w:szCs w:val="22"/>
            <w:u w:val="single"/>
          </w:rPr>
          <w:t>10.1080/14427591.2020.1824803</w:t>
        </w:r>
      </w:hyperlink>
    </w:p>
    <w:p w14:paraId="388FCDEC" w14:textId="39D2DF04"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Storey, J.</w:t>
      </w:r>
      <w:r>
        <w:rPr>
          <w:rFonts w:ascii="Arial" w:eastAsia="Arial" w:hAnsi="Arial" w:cs="Arial"/>
          <w:color w:val="000000"/>
          <w:sz w:val="22"/>
          <w:szCs w:val="22"/>
        </w:rPr>
        <w:t xml:space="preserve"> (2006). </w:t>
      </w:r>
      <w:r>
        <w:rPr>
          <w:rFonts w:ascii="Arial" w:eastAsia="Arial" w:hAnsi="Arial" w:cs="Arial"/>
          <w:i/>
          <w:iCs/>
          <w:color w:val="000000"/>
          <w:sz w:val="22"/>
          <w:szCs w:val="22"/>
        </w:rPr>
        <w:t>Cultural Theory and Popular Culture: An Introduction</w:t>
      </w:r>
      <w:r>
        <w:rPr>
          <w:rFonts w:ascii="Arial" w:eastAsia="Arial" w:hAnsi="Arial" w:cs="Arial"/>
          <w:color w:val="000000"/>
          <w:sz w:val="22"/>
          <w:szCs w:val="22"/>
        </w:rPr>
        <w:t>. 4th ed. Harlow: Pearson Education.</w:t>
      </w:r>
    </w:p>
    <w:p w14:paraId="7FDBA256" w14:textId="4857062A" w:rsidR="009F0C56" w:rsidRDefault="00653842">
      <w:pPr>
        <w:rPr>
          <w:rFonts w:ascii="Arial" w:eastAsia="Arial" w:hAnsi="Arial" w:cs="Arial"/>
          <w:sz w:val="22"/>
          <w:szCs w:val="22"/>
        </w:rPr>
      </w:pPr>
      <w:r>
        <w:rPr>
          <w:rFonts w:ascii="Arial" w:eastAsia="Arial" w:hAnsi="Arial" w:cs="Arial"/>
          <w:color w:val="1C1D1E"/>
          <w:sz w:val="22"/>
          <w:szCs w:val="22"/>
          <w:highlight w:val="white"/>
        </w:rPr>
        <w:t>Sultana, F. (2022)</w:t>
      </w:r>
      <w:r w:rsidR="00F44422">
        <w:rPr>
          <w:rFonts w:ascii="Arial" w:eastAsia="Arial" w:hAnsi="Arial" w:cs="Arial"/>
          <w:color w:val="1C1D1E"/>
          <w:sz w:val="22"/>
          <w:szCs w:val="22"/>
          <w:highlight w:val="white"/>
        </w:rPr>
        <w:t xml:space="preserve">. </w:t>
      </w:r>
      <w:r>
        <w:rPr>
          <w:rFonts w:ascii="Arial" w:eastAsia="Arial" w:hAnsi="Arial" w:cs="Arial"/>
          <w:color w:val="1C1D1E"/>
          <w:sz w:val="22"/>
          <w:szCs w:val="22"/>
          <w:highlight w:val="white"/>
        </w:rPr>
        <w:t>Critical climate justice. </w:t>
      </w:r>
      <w:r>
        <w:rPr>
          <w:rFonts w:ascii="Arial" w:eastAsia="Arial" w:hAnsi="Arial" w:cs="Arial"/>
          <w:i/>
          <w:iCs/>
          <w:color w:val="1C1D1E"/>
          <w:sz w:val="22"/>
          <w:szCs w:val="22"/>
          <w:highlight w:val="white"/>
        </w:rPr>
        <w:t>The Geographical Journal</w:t>
      </w:r>
      <w:r>
        <w:rPr>
          <w:rFonts w:ascii="Arial" w:eastAsia="Arial" w:hAnsi="Arial" w:cs="Arial"/>
          <w:color w:val="1C1D1E"/>
          <w:sz w:val="22"/>
          <w:szCs w:val="22"/>
          <w:highlight w:val="white"/>
        </w:rPr>
        <w:t>, 188, 118–124. </w:t>
      </w:r>
      <w:hyperlink r:id="rId160">
        <w:r>
          <w:rPr>
            <w:rFonts w:ascii="Arial" w:eastAsia="Arial" w:hAnsi="Arial" w:cs="Arial"/>
            <w:b/>
            <w:bCs/>
            <w:color w:val="1B1B1B"/>
            <w:sz w:val="22"/>
            <w:szCs w:val="22"/>
            <w:highlight w:val="white"/>
            <w:u w:val="single"/>
          </w:rPr>
          <w:t>https://doi.org/10.1111/geoj.12417</w:t>
        </w:r>
      </w:hyperlink>
    </w:p>
    <w:p w14:paraId="27EFB009" w14:textId="77777777" w:rsidR="009F0C56" w:rsidRDefault="00653842">
      <w:pPr>
        <w:shd w:val="clear" w:color="auto" w:fill="FFFFFF"/>
        <w:spacing w:after="280" w:line="240" w:lineRule="auto"/>
        <w:rPr>
          <w:rFonts w:ascii="Arial" w:eastAsia="Arial" w:hAnsi="Arial" w:cs="Arial"/>
          <w:color w:val="000000"/>
          <w:sz w:val="22"/>
          <w:szCs w:val="22"/>
          <w:highlight w:val="white"/>
        </w:rPr>
      </w:pPr>
      <w:r>
        <w:rPr>
          <w:rFonts w:ascii="Arial" w:eastAsia="Arial" w:hAnsi="Arial" w:cs="Arial"/>
          <w:color w:val="000000"/>
          <w:sz w:val="22"/>
          <w:szCs w:val="22"/>
        </w:rPr>
        <w:t xml:space="preserve">Swain, Jon, Spire, Zachery. 2020. </w:t>
      </w:r>
      <w:r>
        <w:rPr>
          <w:rFonts w:ascii="Arial" w:eastAsia="Arial" w:hAnsi="Arial" w:cs="Arial"/>
          <w:color w:val="000000"/>
          <w:sz w:val="22"/>
          <w:szCs w:val="22"/>
          <w:highlight w:val="white"/>
        </w:rPr>
        <w:t xml:space="preserve">The Role of Informal Conversations in Generating Data, and the Ethical and Methodological Issues They Raise. Website. Available from: </w:t>
      </w:r>
      <w:hyperlink r:id="rId161">
        <w:r>
          <w:rPr>
            <w:rFonts w:ascii="Arial" w:eastAsia="Arial" w:hAnsi="Arial" w:cs="Arial"/>
            <w:color w:val="467886"/>
            <w:sz w:val="22"/>
            <w:szCs w:val="22"/>
            <w:highlight w:val="white"/>
            <w:u w:val="single"/>
          </w:rPr>
          <w:t>https://www.qualitative-research.net/index.php/fqs/article/download/3344/4511?inline=1</w:t>
        </w:r>
      </w:hyperlink>
    </w:p>
    <w:p w14:paraId="3141073D" w14:textId="77777777" w:rsidR="009F0C56" w:rsidRDefault="00653842">
      <w:pPr>
        <w:rPr>
          <w:rFonts w:ascii="Arial" w:eastAsia="Arial" w:hAnsi="Arial" w:cs="Arial"/>
          <w:color w:val="000000"/>
          <w:sz w:val="22"/>
          <w:szCs w:val="22"/>
        </w:rPr>
      </w:pPr>
      <w:r>
        <w:rPr>
          <w:rFonts w:ascii="Arial" w:eastAsia="Arial" w:hAnsi="Arial" w:cs="Arial"/>
          <w:color w:val="000000"/>
          <w:sz w:val="22"/>
          <w:szCs w:val="22"/>
        </w:rPr>
        <w:t>Tallbear, K., &amp; Willey, A. (2019). Critical Relationality: Queer, Indigenous, and Multispecies Belonging Beyond Settler Sex &amp; Nature. </w:t>
      </w:r>
      <w:r>
        <w:rPr>
          <w:rFonts w:ascii="Arial" w:eastAsia="Arial" w:hAnsi="Arial" w:cs="Arial"/>
          <w:i/>
          <w:iCs/>
          <w:color w:val="000000"/>
          <w:sz w:val="22"/>
          <w:szCs w:val="22"/>
        </w:rPr>
        <w:t>Imaginations: Journal of Cross-Cultural Image Studies</w:t>
      </w:r>
      <w:r>
        <w:rPr>
          <w:rFonts w:ascii="Arial" w:eastAsia="Arial" w:hAnsi="Arial" w:cs="Arial"/>
          <w:color w:val="000000"/>
          <w:sz w:val="22"/>
          <w:szCs w:val="22"/>
        </w:rPr>
        <w:t>, </w:t>
      </w:r>
      <w:r>
        <w:rPr>
          <w:rFonts w:ascii="Arial" w:eastAsia="Arial" w:hAnsi="Arial" w:cs="Arial"/>
          <w:i/>
          <w:iCs/>
          <w:color w:val="000000"/>
          <w:sz w:val="22"/>
          <w:szCs w:val="22"/>
        </w:rPr>
        <w:t>10</w:t>
      </w:r>
      <w:r>
        <w:rPr>
          <w:rFonts w:ascii="Arial" w:eastAsia="Arial" w:hAnsi="Arial" w:cs="Arial"/>
          <w:color w:val="000000"/>
          <w:sz w:val="22"/>
          <w:szCs w:val="22"/>
        </w:rPr>
        <w:t xml:space="preserve">(1), 5–15. </w:t>
      </w:r>
      <w:hyperlink r:id="rId162">
        <w:r>
          <w:rPr>
            <w:rFonts w:ascii="Arial" w:eastAsia="Arial" w:hAnsi="Arial" w:cs="Arial"/>
            <w:color w:val="467886"/>
            <w:sz w:val="22"/>
            <w:szCs w:val="22"/>
            <w:u w:val="single"/>
          </w:rPr>
          <w:t>https://doi.org/10.17742/IMAGE.CR.10.1.1</w:t>
        </w:r>
      </w:hyperlink>
      <w:r>
        <w:rPr>
          <w:rFonts w:ascii="Arial" w:eastAsia="Arial" w:hAnsi="Arial" w:cs="Arial"/>
          <w:color w:val="000000"/>
          <w:sz w:val="22"/>
          <w:szCs w:val="22"/>
        </w:rPr>
        <w:t xml:space="preserve"> </w:t>
      </w:r>
    </w:p>
    <w:p w14:paraId="26BF6AF4" w14:textId="2B23A29D"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lastRenderedPageBreak/>
        <w:t>TallBear, K.</w:t>
      </w:r>
      <w:r>
        <w:rPr>
          <w:rFonts w:ascii="Arial" w:eastAsia="Arial" w:hAnsi="Arial" w:cs="Arial"/>
          <w:color w:val="000000"/>
          <w:sz w:val="22"/>
          <w:szCs w:val="22"/>
        </w:rPr>
        <w:t xml:space="preserve"> (2019). </w:t>
      </w:r>
      <w:r>
        <w:rPr>
          <w:rFonts w:ascii="Arial" w:eastAsia="Arial" w:hAnsi="Arial" w:cs="Arial"/>
          <w:i/>
          <w:iCs/>
          <w:color w:val="000000"/>
          <w:sz w:val="22"/>
          <w:szCs w:val="22"/>
        </w:rPr>
        <w:t>Beyond the life/not-life binary: A feminist-Indigenous reading of cryopreservation, interspecies thinking and the new materialisms</w:t>
      </w:r>
      <w:r>
        <w:rPr>
          <w:rFonts w:ascii="Arial" w:eastAsia="Arial" w:hAnsi="Arial" w:cs="Arial"/>
          <w:color w:val="000000"/>
          <w:sz w:val="22"/>
          <w:szCs w:val="22"/>
        </w:rPr>
        <w:t xml:space="preserve">. In: A. Clarke and D. Haraway, eds. </w:t>
      </w:r>
      <w:r>
        <w:rPr>
          <w:rFonts w:ascii="Arial" w:eastAsia="Arial" w:hAnsi="Arial" w:cs="Arial"/>
          <w:i/>
          <w:iCs/>
          <w:color w:val="000000"/>
          <w:sz w:val="22"/>
          <w:szCs w:val="22"/>
        </w:rPr>
        <w:t>Making Kin Not Population</w:t>
      </w:r>
      <w:r>
        <w:rPr>
          <w:rFonts w:ascii="Arial" w:eastAsia="Arial" w:hAnsi="Arial" w:cs="Arial"/>
          <w:color w:val="000000"/>
          <w:sz w:val="22"/>
          <w:szCs w:val="22"/>
        </w:rPr>
        <w:t xml:space="preserve">. Minneapolis: University of Minnesota Press. </w:t>
      </w:r>
    </w:p>
    <w:p w14:paraId="1876EA89" w14:textId="48C15A31" w:rsidR="009F0C56" w:rsidRDefault="00653842">
      <w:pPr>
        <w:rPr>
          <w:rFonts w:ascii="Arial" w:eastAsia="Arial" w:hAnsi="Arial" w:cs="Arial"/>
          <w:color w:val="333333"/>
          <w:sz w:val="22"/>
          <w:szCs w:val="22"/>
          <w:highlight w:val="white"/>
        </w:rPr>
      </w:pPr>
      <w:r>
        <w:rPr>
          <w:rFonts w:ascii="Arial" w:eastAsia="Arial" w:hAnsi="Arial" w:cs="Arial"/>
          <w:color w:val="333333"/>
          <w:sz w:val="22"/>
          <w:szCs w:val="22"/>
          <w:highlight w:val="white"/>
        </w:rPr>
        <w:t xml:space="preserve">Taschereau Mamers, D. (2020). ‘Last of the buffalo’: bison extermination, early conservation, and visual records of settler colonization in the North American </w:t>
      </w:r>
      <w:r w:rsidR="00F44422">
        <w:rPr>
          <w:rFonts w:ascii="Arial" w:eastAsia="Arial" w:hAnsi="Arial" w:cs="Arial"/>
          <w:color w:val="333333"/>
          <w:sz w:val="22"/>
          <w:szCs w:val="22"/>
          <w:highlight w:val="white"/>
        </w:rPr>
        <w:t>West</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Settler Colonial Studies</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10</w:t>
      </w:r>
      <w:r>
        <w:rPr>
          <w:rFonts w:ascii="Arial" w:eastAsia="Arial" w:hAnsi="Arial" w:cs="Arial"/>
          <w:color w:val="333333"/>
          <w:sz w:val="22"/>
          <w:szCs w:val="22"/>
          <w:highlight w:val="white"/>
        </w:rPr>
        <w:t xml:space="preserve">(1), 126–147. </w:t>
      </w:r>
      <w:hyperlink r:id="rId163">
        <w:r>
          <w:rPr>
            <w:rFonts w:ascii="Arial" w:eastAsia="Arial" w:hAnsi="Arial" w:cs="Arial"/>
            <w:color w:val="467886"/>
            <w:sz w:val="22"/>
            <w:szCs w:val="22"/>
            <w:highlight w:val="white"/>
            <w:u w:val="single"/>
          </w:rPr>
          <w:t>https://doi.org/10.1080/2201473X.2019.1677134</w:t>
        </w:r>
      </w:hyperlink>
    </w:p>
    <w:p w14:paraId="25103FB8" w14:textId="5EE96983"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Tlostanova, M. and Mignolo, W.</w:t>
      </w:r>
      <w:r>
        <w:rPr>
          <w:rFonts w:ascii="Arial" w:eastAsia="Arial" w:hAnsi="Arial" w:cs="Arial"/>
          <w:color w:val="000000"/>
          <w:sz w:val="22"/>
          <w:szCs w:val="22"/>
        </w:rPr>
        <w:t xml:space="preserve"> (2012). </w:t>
      </w:r>
      <w:r>
        <w:rPr>
          <w:rFonts w:ascii="Arial" w:eastAsia="Arial" w:hAnsi="Arial" w:cs="Arial"/>
          <w:i/>
          <w:iCs/>
          <w:color w:val="000000"/>
          <w:sz w:val="22"/>
          <w:szCs w:val="22"/>
        </w:rPr>
        <w:t>Learning to Unlearn: Decolonial Reflections from Eurasia and the Americas</w:t>
      </w:r>
      <w:r>
        <w:rPr>
          <w:rFonts w:ascii="Arial" w:eastAsia="Arial" w:hAnsi="Arial" w:cs="Arial"/>
          <w:color w:val="000000"/>
          <w:sz w:val="22"/>
          <w:szCs w:val="22"/>
        </w:rPr>
        <w:t>. Columbus: Ohio State University Press.</w:t>
      </w:r>
    </w:p>
    <w:p w14:paraId="7B69474A" w14:textId="77777777" w:rsidR="009F0C56" w:rsidRDefault="00653842">
      <w:pPr>
        <w:rPr>
          <w:rFonts w:ascii="Arial" w:eastAsia="Arial" w:hAnsi="Arial" w:cs="Arial"/>
          <w:color w:val="333333"/>
          <w:sz w:val="22"/>
          <w:szCs w:val="22"/>
          <w:highlight w:val="white"/>
        </w:rPr>
      </w:pPr>
      <w:r>
        <w:rPr>
          <w:rFonts w:ascii="Arial" w:eastAsia="Arial" w:hAnsi="Arial" w:cs="Arial"/>
          <w:color w:val="333333"/>
          <w:sz w:val="22"/>
          <w:szCs w:val="22"/>
          <w:highlight w:val="white"/>
        </w:rPr>
        <w:t>Tomiak, J. (2023). Land back / cities back. </w:t>
      </w:r>
      <w:r>
        <w:rPr>
          <w:rFonts w:ascii="Arial" w:eastAsia="Arial" w:hAnsi="Arial" w:cs="Arial"/>
          <w:i/>
          <w:iCs/>
          <w:color w:val="333333"/>
          <w:sz w:val="22"/>
          <w:szCs w:val="22"/>
          <w:highlight w:val="white"/>
        </w:rPr>
        <w:t>Urban Geography</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44</w:t>
      </w:r>
      <w:r>
        <w:rPr>
          <w:rFonts w:ascii="Arial" w:eastAsia="Arial" w:hAnsi="Arial" w:cs="Arial"/>
          <w:color w:val="333333"/>
          <w:sz w:val="22"/>
          <w:szCs w:val="22"/>
          <w:highlight w:val="white"/>
        </w:rPr>
        <w:t xml:space="preserve">(2), 292–294. </w:t>
      </w:r>
      <w:hyperlink r:id="rId164">
        <w:r>
          <w:rPr>
            <w:rFonts w:ascii="Arial" w:eastAsia="Arial" w:hAnsi="Arial" w:cs="Arial"/>
            <w:color w:val="467886"/>
            <w:sz w:val="22"/>
            <w:szCs w:val="22"/>
            <w:highlight w:val="white"/>
            <w:u w:val="single"/>
          </w:rPr>
          <w:t>https://doi.org/10.1080/02723638.2022.2126610</w:t>
        </w:r>
      </w:hyperlink>
    </w:p>
    <w:p w14:paraId="10E0CCBC" w14:textId="77777777" w:rsidR="009F0C56" w:rsidRDefault="00653842">
      <w:pPr>
        <w:rPr>
          <w:rFonts w:ascii="Arial" w:eastAsia="Arial" w:hAnsi="Arial" w:cs="Arial"/>
          <w:color w:val="1C1D1E"/>
          <w:sz w:val="22"/>
          <w:szCs w:val="22"/>
          <w:highlight w:val="white"/>
        </w:rPr>
      </w:pPr>
      <w:r>
        <w:rPr>
          <w:rFonts w:ascii="Arial" w:eastAsia="Arial" w:hAnsi="Arial" w:cs="Arial"/>
          <w:color w:val="1C1D1E"/>
          <w:sz w:val="22"/>
          <w:szCs w:val="22"/>
          <w:highlight w:val="white"/>
        </w:rPr>
        <w:t>Tomiak, J. (2017) Contesting the Settler City: Indigenous Self-Determination, New Urban Reserves, and the Neoliberalization of Colonialism. </w:t>
      </w:r>
      <w:r>
        <w:rPr>
          <w:rFonts w:ascii="Arial" w:eastAsia="Arial" w:hAnsi="Arial" w:cs="Arial"/>
          <w:i/>
          <w:iCs/>
          <w:color w:val="1C1D1E"/>
          <w:sz w:val="22"/>
          <w:szCs w:val="22"/>
          <w:highlight w:val="white"/>
        </w:rPr>
        <w:t>Antipode</w:t>
      </w:r>
      <w:r>
        <w:rPr>
          <w:rFonts w:ascii="Arial" w:eastAsia="Arial" w:hAnsi="Arial" w:cs="Arial"/>
          <w:color w:val="1C1D1E"/>
          <w:sz w:val="22"/>
          <w:szCs w:val="22"/>
          <w:highlight w:val="white"/>
        </w:rPr>
        <w:t>, 49: 928–945. doi: </w:t>
      </w:r>
      <w:hyperlink r:id="rId165">
        <w:r>
          <w:rPr>
            <w:rFonts w:ascii="Arial" w:eastAsia="Arial" w:hAnsi="Arial" w:cs="Arial"/>
            <w:color w:val="123D80"/>
            <w:sz w:val="22"/>
            <w:szCs w:val="22"/>
            <w:highlight w:val="white"/>
            <w:u w:val="single"/>
          </w:rPr>
          <w:t>10.1111/anti.12308</w:t>
        </w:r>
      </w:hyperlink>
      <w:r>
        <w:rPr>
          <w:rFonts w:ascii="Arial" w:eastAsia="Arial" w:hAnsi="Arial" w:cs="Arial"/>
          <w:color w:val="1C1D1E"/>
          <w:sz w:val="22"/>
          <w:szCs w:val="22"/>
          <w:highlight w:val="white"/>
        </w:rPr>
        <w:t>.</w:t>
      </w:r>
    </w:p>
    <w:p w14:paraId="1B1AFCAD" w14:textId="02D0DF04"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Trask, H.K.</w:t>
      </w:r>
      <w:r>
        <w:rPr>
          <w:rFonts w:ascii="Arial" w:eastAsia="Arial" w:hAnsi="Arial" w:cs="Arial"/>
          <w:color w:val="000000"/>
          <w:sz w:val="22"/>
          <w:szCs w:val="22"/>
        </w:rPr>
        <w:t xml:space="preserve"> (1999). </w:t>
      </w:r>
      <w:r>
        <w:rPr>
          <w:rFonts w:ascii="Arial" w:eastAsia="Arial" w:hAnsi="Arial" w:cs="Arial"/>
          <w:i/>
          <w:iCs/>
          <w:color w:val="000000"/>
          <w:sz w:val="22"/>
          <w:szCs w:val="22"/>
        </w:rPr>
        <w:t>From a Native Daughter: Colonialism and Sovereignty in Hawai’i</w:t>
      </w:r>
      <w:r>
        <w:rPr>
          <w:rFonts w:ascii="Arial" w:eastAsia="Arial" w:hAnsi="Arial" w:cs="Arial"/>
          <w:color w:val="000000"/>
          <w:sz w:val="22"/>
          <w:szCs w:val="22"/>
        </w:rPr>
        <w:t>. Honolulu: University of Hawai’i Press.</w:t>
      </w:r>
    </w:p>
    <w:p w14:paraId="755C2B0C" w14:textId="77777777" w:rsidR="009F0C56" w:rsidRDefault="00653842">
      <w:pPr>
        <w:rPr>
          <w:rFonts w:ascii="Arial" w:eastAsia="Arial" w:hAnsi="Arial" w:cs="Arial"/>
          <w:sz w:val="22"/>
          <w:szCs w:val="22"/>
        </w:rPr>
      </w:pPr>
      <w:r>
        <w:rPr>
          <w:rFonts w:ascii="Arial" w:eastAsia="Arial" w:hAnsi="Arial" w:cs="Arial"/>
          <w:sz w:val="22"/>
          <w:szCs w:val="22"/>
        </w:rPr>
        <w:t xml:space="preserve">Trask, Haunani-Kay. (1999) “From a Native Daughter.” Common Courage Press. Revised edition. United States of America. </w:t>
      </w:r>
    </w:p>
    <w:p w14:paraId="6BEC6005" w14:textId="77777777" w:rsidR="009F0C56" w:rsidRDefault="00653842">
      <w:pPr>
        <w:rPr>
          <w:rFonts w:ascii="Arial" w:eastAsia="Arial" w:hAnsi="Arial" w:cs="Arial"/>
          <w:sz w:val="22"/>
          <w:szCs w:val="22"/>
        </w:rPr>
      </w:pPr>
      <w:r>
        <w:rPr>
          <w:rFonts w:ascii="Arial" w:eastAsia="Arial" w:hAnsi="Arial" w:cs="Arial"/>
          <w:sz w:val="22"/>
          <w:szCs w:val="22"/>
        </w:rPr>
        <w:t>Trosper, R. (2022). Indigenous Economies: Sustaining Peoples and Their Lands. USA. The University of Arizona Press.</w:t>
      </w:r>
    </w:p>
    <w:p w14:paraId="662C98F9" w14:textId="77777777" w:rsidR="009F0C56" w:rsidRDefault="00653842">
      <w:pPr>
        <w:rPr>
          <w:rFonts w:ascii="Arial" w:eastAsia="Arial" w:hAnsi="Arial" w:cs="Arial"/>
          <w:color w:val="2D2D2D"/>
          <w:sz w:val="22"/>
          <w:szCs w:val="22"/>
          <w:highlight w:val="white"/>
        </w:rPr>
      </w:pPr>
      <w:r>
        <w:rPr>
          <w:rFonts w:ascii="Arial" w:eastAsia="Arial" w:hAnsi="Arial" w:cs="Arial"/>
          <w:color w:val="2D2D2D"/>
          <w:sz w:val="22"/>
          <w:szCs w:val="22"/>
          <w:highlight w:val="white"/>
        </w:rPr>
        <w:t>Tuck, E., &amp; Yang, K. W. (2021). Decolonization is not a metaphor. </w:t>
      </w:r>
      <w:r>
        <w:rPr>
          <w:rFonts w:ascii="Arial" w:eastAsia="Arial" w:hAnsi="Arial" w:cs="Arial"/>
          <w:i/>
          <w:iCs/>
          <w:color w:val="2D2D2D"/>
          <w:sz w:val="22"/>
          <w:szCs w:val="22"/>
          <w:highlight w:val="white"/>
        </w:rPr>
        <w:t>Tabula Rasa</w:t>
      </w:r>
      <w:r>
        <w:rPr>
          <w:rFonts w:ascii="Arial" w:eastAsia="Arial" w:hAnsi="Arial" w:cs="Arial"/>
          <w:color w:val="2D2D2D"/>
          <w:sz w:val="22"/>
          <w:szCs w:val="22"/>
          <w:highlight w:val="white"/>
        </w:rPr>
        <w:t>, </w:t>
      </w:r>
      <w:r>
        <w:rPr>
          <w:rFonts w:ascii="Arial" w:eastAsia="Arial" w:hAnsi="Arial" w:cs="Arial"/>
          <w:i/>
          <w:iCs/>
          <w:color w:val="2D2D2D"/>
          <w:sz w:val="22"/>
          <w:szCs w:val="22"/>
          <w:highlight w:val="white"/>
        </w:rPr>
        <w:t>38</w:t>
      </w:r>
      <w:r>
        <w:rPr>
          <w:rFonts w:ascii="Arial" w:eastAsia="Arial" w:hAnsi="Arial" w:cs="Arial"/>
          <w:color w:val="2D2D2D"/>
          <w:sz w:val="22"/>
          <w:szCs w:val="22"/>
          <w:highlight w:val="white"/>
        </w:rPr>
        <w:t xml:space="preserve">, 61–111. </w:t>
      </w:r>
      <w:hyperlink r:id="rId166">
        <w:r>
          <w:rPr>
            <w:rFonts w:ascii="Arial" w:eastAsia="Arial" w:hAnsi="Arial" w:cs="Arial"/>
            <w:color w:val="467886"/>
            <w:sz w:val="22"/>
            <w:szCs w:val="22"/>
            <w:highlight w:val="white"/>
            <w:u w:val="single"/>
          </w:rPr>
          <w:t>https://doi.org/10.25058/20112742.n38.04</w:t>
        </w:r>
      </w:hyperlink>
    </w:p>
    <w:p w14:paraId="57F57DB8" w14:textId="77777777" w:rsidR="009F0C56" w:rsidRDefault="00653842">
      <w:pPr>
        <w:rPr>
          <w:rFonts w:ascii="Arial" w:eastAsia="Arial" w:hAnsi="Arial" w:cs="Arial"/>
          <w:sz w:val="22"/>
          <w:szCs w:val="22"/>
        </w:rPr>
      </w:pPr>
      <w:r>
        <w:rPr>
          <w:rFonts w:ascii="Arial" w:eastAsia="Arial" w:hAnsi="Arial" w:cs="Arial"/>
          <w:sz w:val="22"/>
          <w:szCs w:val="22"/>
        </w:rPr>
        <w:t>Tuhiwai-Smith, Linda. (2014). “Decolonising methodologies.” Second edition. Zed Books London.</w:t>
      </w:r>
    </w:p>
    <w:p w14:paraId="7FE4DFF2" w14:textId="4AE97879" w:rsidR="009F0C56" w:rsidRDefault="00653842">
      <w:pPr>
        <w:shd w:val="clear" w:color="auto" w:fill="FFFFFF"/>
        <w:spacing w:after="0" w:line="240" w:lineRule="auto"/>
        <w:rPr>
          <w:rFonts w:ascii="Arial" w:eastAsia="Arial" w:hAnsi="Arial" w:cs="Arial"/>
          <w:color w:val="333333"/>
          <w:sz w:val="22"/>
          <w:szCs w:val="22"/>
        </w:rPr>
      </w:pPr>
      <w:r>
        <w:rPr>
          <w:rFonts w:ascii="Arial" w:eastAsia="Arial" w:hAnsi="Arial" w:cs="Arial"/>
          <w:color w:val="333333"/>
          <w:sz w:val="22"/>
          <w:szCs w:val="22"/>
        </w:rPr>
        <w:t>Tuhiwai-Smith, Linda. 2012. ‘Decolonising methodologies.’ 2</w:t>
      </w:r>
      <w:r>
        <w:rPr>
          <w:rFonts w:ascii="Arial" w:eastAsia="Arial" w:hAnsi="Arial" w:cs="Arial"/>
          <w:color w:val="333333"/>
          <w:sz w:val="22"/>
          <w:szCs w:val="22"/>
          <w:vertAlign w:val="superscript"/>
        </w:rPr>
        <w:t>nd</w:t>
      </w:r>
      <w:r>
        <w:rPr>
          <w:rFonts w:ascii="Arial" w:eastAsia="Arial" w:hAnsi="Arial" w:cs="Arial"/>
          <w:color w:val="333333"/>
          <w:sz w:val="22"/>
          <w:szCs w:val="22"/>
        </w:rPr>
        <w:t xml:space="preserve"> edition. Zed </w:t>
      </w:r>
      <w:r w:rsidR="00F44422">
        <w:rPr>
          <w:rFonts w:ascii="Arial" w:eastAsia="Arial" w:hAnsi="Arial" w:cs="Arial"/>
          <w:color w:val="333333"/>
          <w:sz w:val="22"/>
          <w:szCs w:val="22"/>
        </w:rPr>
        <w:t>Books</w:t>
      </w:r>
      <w:r>
        <w:rPr>
          <w:rFonts w:ascii="Arial" w:eastAsia="Arial" w:hAnsi="Arial" w:cs="Arial"/>
          <w:color w:val="333333"/>
          <w:sz w:val="22"/>
          <w:szCs w:val="22"/>
        </w:rPr>
        <w:t xml:space="preserve">. </w:t>
      </w:r>
      <w:r w:rsidR="00F44422">
        <w:rPr>
          <w:rFonts w:ascii="Arial" w:eastAsia="Arial" w:hAnsi="Arial" w:cs="Arial"/>
          <w:color w:val="333333"/>
          <w:sz w:val="22"/>
          <w:szCs w:val="22"/>
        </w:rPr>
        <w:t>London, England</w:t>
      </w:r>
      <w:r>
        <w:rPr>
          <w:rFonts w:ascii="Arial" w:eastAsia="Arial" w:hAnsi="Arial" w:cs="Arial"/>
          <w:color w:val="333333"/>
          <w:sz w:val="22"/>
          <w:szCs w:val="22"/>
        </w:rPr>
        <w:t xml:space="preserve">. </w:t>
      </w:r>
    </w:p>
    <w:p w14:paraId="0A703A88" w14:textId="6679092D" w:rsidR="009F0C56" w:rsidRDefault="00653842">
      <w:pPr>
        <w:rPr>
          <w:rFonts w:ascii="Arial" w:eastAsia="Arial" w:hAnsi="Arial" w:cs="Arial"/>
          <w:sz w:val="22"/>
          <w:szCs w:val="22"/>
        </w:rPr>
      </w:pPr>
      <w:r>
        <w:rPr>
          <w:rFonts w:ascii="Arial" w:eastAsia="Arial" w:hAnsi="Arial" w:cs="Arial"/>
          <w:sz w:val="22"/>
          <w:szCs w:val="22"/>
        </w:rPr>
        <w:t>UNTWO</w:t>
      </w:r>
      <w:r>
        <w:rPr>
          <w:rFonts w:ascii="Arial" w:eastAsia="Arial" w:hAnsi="Arial" w:cs="Arial"/>
          <w:sz w:val="22"/>
          <w:szCs w:val="22"/>
        </w:rPr>
        <w:t xml:space="preserve"> (2021). “Sustainable development.” UNTWO. (Online) Available from: </w:t>
      </w:r>
      <w:hyperlink r:id="rId167">
        <w:r>
          <w:rPr>
            <w:rFonts w:ascii="Arial" w:eastAsia="Arial" w:hAnsi="Arial" w:cs="Arial"/>
            <w:color w:val="467886"/>
            <w:sz w:val="22"/>
            <w:szCs w:val="22"/>
            <w:u w:val="single"/>
          </w:rPr>
          <w:t>https://www.unwto.org/sustainable-development</w:t>
        </w:r>
      </w:hyperlink>
      <w:r>
        <w:rPr>
          <w:rFonts w:ascii="Arial" w:eastAsia="Arial" w:hAnsi="Arial" w:cs="Arial"/>
          <w:sz w:val="22"/>
          <w:szCs w:val="22"/>
        </w:rPr>
        <w:t xml:space="preserve"> </w:t>
      </w:r>
    </w:p>
    <w:p w14:paraId="0E823160" w14:textId="77777777" w:rsidR="009F0C56" w:rsidRDefault="00653842">
      <w:pPr>
        <w:rPr>
          <w:rFonts w:ascii="Arial" w:eastAsia="Arial" w:hAnsi="Arial" w:cs="Arial"/>
          <w:sz w:val="22"/>
          <w:szCs w:val="22"/>
        </w:rPr>
      </w:pPr>
      <w:r>
        <w:rPr>
          <w:rFonts w:ascii="Arial" w:eastAsia="Arial" w:hAnsi="Arial" w:cs="Arial"/>
          <w:sz w:val="22"/>
          <w:szCs w:val="22"/>
        </w:rPr>
        <w:t>UNTWO. (2021). ‘</w:t>
      </w:r>
      <w:r>
        <w:rPr>
          <w:rFonts w:ascii="Arial" w:eastAsia="Arial" w:hAnsi="Arial" w:cs="Arial"/>
          <w:i/>
          <w:iCs/>
          <w:sz w:val="22"/>
          <w:szCs w:val="22"/>
        </w:rPr>
        <w:t>Empowering Indigenous communities to drive tourisms recovery</w:t>
      </w:r>
      <w:r>
        <w:rPr>
          <w:rFonts w:ascii="Arial" w:eastAsia="Arial" w:hAnsi="Arial" w:cs="Arial"/>
          <w:sz w:val="22"/>
          <w:szCs w:val="22"/>
        </w:rPr>
        <w:t xml:space="preserve">.’ The World Tourism Organisation. Website: </w:t>
      </w:r>
      <w:hyperlink r:id="rId168">
        <w:r>
          <w:rPr>
            <w:rFonts w:ascii="Arial" w:eastAsia="Arial" w:hAnsi="Arial" w:cs="Arial"/>
            <w:color w:val="467886"/>
            <w:sz w:val="22"/>
            <w:szCs w:val="22"/>
            <w:u w:val="single"/>
          </w:rPr>
          <w:t>https://www.unwto.org/news/empowering-indigenous-communities-to-drive-tourism-s-recovery</w:t>
        </w:r>
      </w:hyperlink>
      <w:r>
        <w:rPr>
          <w:rFonts w:ascii="Arial" w:eastAsia="Arial" w:hAnsi="Arial" w:cs="Arial"/>
          <w:sz w:val="22"/>
          <w:szCs w:val="22"/>
        </w:rPr>
        <w:t xml:space="preserve"> Accessed on: 2/08/2022</w:t>
      </w:r>
    </w:p>
    <w:p w14:paraId="33ACEBAB" w14:textId="77777777" w:rsidR="009F0C56" w:rsidRDefault="00653842">
      <w:pPr>
        <w:rPr>
          <w:rFonts w:ascii="Arial" w:eastAsia="Arial" w:hAnsi="Arial" w:cs="Arial"/>
          <w:color w:val="333333"/>
          <w:sz w:val="22"/>
          <w:szCs w:val="22"/>
          <w:highlight w:val="white"/>
        </w:rPr>
      </w:pPr>
      <w:r>
        <w:rPr>
          <w:rFonts w:ascii="Arial" w:eastAsia="Arial" w:hAnsi="Arial" w:cs="Arial"/>
          <w:color w:val="333333"/>
          <w:sz w:val="22"/>
          <w:szCs w:val="22"/>
          <w:highlight w:val="white"/>
        </w:rPr>
        <w:t>Veracini, L. (2007). Historylessness: Australia as a settler colonial collective. </w:t>
      </w:r>
      <w:r>
        <w:rPr>
          <w:rFonts w:ascii="Arial" w:eastAsia="Arial" w:hAnsi="Arial" w:cs="Arial"/>
          <w:i/>
          <w:iCs/>
          <w:color w:val="333333"/>
          <w:sz w:val="22"/>
          <w:szCs w:val="22"/>
          <w:highlight w:val="white"/>
        </w:rPr>
        <w:t>Postcolonial Studies</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10</w:t>
      </w:r>
      <w:r>
        <w:rPr>
          <w:rFonts w:ascii="Arial" w:eastAsia="Arial" w:hAnsi="Arial" w:cs="Arial"/>
          <w:color w:val="333333"/>
          <w:sz w:val="22"/>
          <w:szCs w:val="22"/>
          <w:highlight w:val="white"/>
        </w:rPr>
        <w:t xml:space="preserve">(3), 271–285. </w:t>
      </w:r>
      <w:hyperlink r:id="rId169">
        <w:r>
          <w:rPr>
            <w:rFonts w:ascii="Arial" w:eastAsia="Arial" w:hAnsi="Arial" w:cs="Arial"/>
            <w:color w:val="467886"/>
            <w:sz w:val="22"/>
            <w:szCs w:val="22"/>
            <w:highlight w:val="white"/>
            <w:u w:val="single"/>
          </w:rPr>
          <w:t>https://doi.org/10.1080/13688790701488155</w:t>
        </w:r>
      </w:hyperlink>
    </w:p>
    <w:p w14:paraId="0BD9D704" w14:textId="77777777" w:rsidR="009F0C56" w:rsidRDefault="00653842">
      <w:pPr>
        <w:rPr>
          <w:rFonts w:ascii="Arial" w:eastAsia="Arial" w:hAnsi="Arial" w:cs="Arial"/>
          <w:sz w:val="22"/>
          <w:szCs w:val="22"/>
        </w:rPr>
      </w:pPr>
      <w:r>
        <w:rPr>
          <w:rFonts w:ascii="Arial" w:eastAsia="Arial" w:hAnsi="Arial" w:cs="Arial"/>
          <w:sz w:val="22"/>
          <w:szCs w:val="22"/>
        </w:rPr>
        <w:t xml:space="preserve">Veracini, L. (2021). The World Turned Inside Out: Settler Colonialism as a Political Idea. London. Verso Books. </w:t>
      </w:r>
    </w:p>
    <w:p w14:paraId="3F1A6A67" w14:textId="1938EB4C"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Veracini, L.</w:t>
      </w:r>
      <w:r>
        <w:rPr>
          <w:rFonts w:ascii="Arial" w:eastAsia="Arial" w:hAnsi="Arial" w:cs="Arial"/>
          <w:color w:val="000000"/>
          <w:sz w:val="22"/>
          <w:szCs w:val="22"/>
        </w:rPr>
        <w:t xml:space="preserve"> (2008). </w:t>
      </w:r>
      <w:r>
        <w:rPr>
          <w:rFonts w:ascii="Arial" w:eastAsia="Arial" w:hAnsi="Arial" w:cs="Arial"/>
          <w:i/>
          <w:iCs/>
          <w:color w:val="000000"/>
          <w:sz w:val="22"/>
          <w:szCs w:val="22"/>
        </w:rPr>
        <w:t>Settler collective, foundational past and the politics of history</w:t>
      </w:r>
      <w:r>
        <w:rPr>
          <w:rFonts w:ascii="Arial" w:eastAsia="Arial" w:hAnsi="Arial" w:cs="Arial"/>
          <w:color w:val="000000"/>
          <w:sz w:val="22"/>
          <w:szCs w:val="22"/>
        </w:rPr>
        <w:t xml:space="preserve">. </w:t>
      </w:r>
      <w:r>
        <w:rPr>
          <w:rFonts w:ascii="Arial" w:eastAsia="Arial" w:hAnsi="Arial" w:cs="Arial"/>
          <w:i/>
          <w:iCs/>
          <w:color w:val="000000"/>
          <w:sz w:val="22"/>
          <w:szCs w:val="22"/>
        </w:rPr>
        <w:t>Journal of Intercultural Studies</w:t>
      </w:r>
      <w:r>
        <w:rPr>
          <w:rFonts w:ascii="Arial" w:eastAsia="Arial" w:hAnsi="Arial" w:cs="Arial"/>
          <w:color w:val="000000"/>
          <w:sz w:val="22"/>
          <w:szCs w:val="22"/>
        </w:rPr>
        <w:t>, 29(4), pp.363–379.</w:t>
      </w:r>
    </w:p>
    <w:p w14:paraId="7370C2DD" w14:textId="140A59AC"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Veracini, L.</w:t>
      </w:r>
      <w:r>
        <w:rPr>
          <w:rFonts w:ascii="Arial" w:eastAsia="Arial" w:hAnsi="Arial" w:cs="Arial"/>
          <w:color w:val="000000"/>
          <w:sz w:val="22"/>
          <w:szCs w:val="22"/>
        </w:rPr>
        <w:t xml:space="preserve"> (2010). </w:t>
      </w:r>
      <w:r>
        <w:rPr>
          <w:rFonts w:ascii="Arial" w:eastAsia="Arial" w:hAnsi="Arial" w:cs="Arial"/>
          <w:i/>
          <w:iCs/>
          <w:color w:val="000000"/>
          <w:sz w:val="22"/>
          <w:szCs w:val="22"/>
        </w:rPr>
        <w:t>Settler Colonialism: A Theoretical Overview</w:t>
      </w:r>
      <w:r>
        <w:rPr>
          <w:rFonts w:ascii="Arial" w:eastAsia="Arial" w:hAnsi="Arial" w:cs="Arial"/>
          <w:color w:val="000000"/>
          <w:sz w:val="22"/>
          <w:szCs w:val="22"/>
        </w:rPr>
        <w:t>. Basingstoke: Palgrave Macmillan.</w:t>
      </w:r>
    </w:p>
    <w:p w14:paraId="47F08322" w14:textId="589690DF"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Veracini, L.</w:t>
      </w:r>
      <w:r>
        <w:rPr>
          <w:rFonts w:ascii="Arial" w:eastAsia="Arial" w:hAnsi="Arial" w:cs="Arial"/>
          <w:color w:val="000000"/>
          <w:sz w:val="22"/>
          <w:szCs w:val="22"/>
        </w:rPr>
        <w:t xml:space="preserve"> (2014). </w:t>
      </w:r>
      <w:r>
        <w:rPr>
          <w:rFonts w:ascii="Arial" w:eastAsia="Arial" w:hAnsi="Arial" w:cs="Arial"/>
          <w:i/>
          <w:iCs/>
          <w:color w:val="000000"/>
          <w:sz w:val="22"/>
          <w:szCs w:val="22"/>
        </w:rPr>
        <w:t>The Settler Colonial Present</w:t>
      </w:r>
      <w:r>
        <w:rPr>
          <w:rFonts w:ascii="Arial" w:eastAsia="Arial" w:hAnsi="Arial" w:cs="Arial"/>
          <w:color w:val="000000"/>
          <w:sz w:val="22"/>
          <w:szCs w:val="22"/>
        </w:rPr>
        <w:t>. London: Palgrave Macmillan.</w:t>
      </w:r>
    </w:p>
    <w:p w14:paraId="70E38A16" w14:textId="77777777"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lastRenderedPageBreak/>
        <w:t xml:space="preserve">Virk, C. (2024). Settler Colonialism and Indigenous Tourism: The Pattern Of Exploitation, Assimilation and Erasure. Agoriad: A Journey of Spatial Theory. 1 2-20. </w:t>
      </w:r>
      <w:hyperlink r:id="rId170">
        <w:r>
          <w:rPr>
            <w:rFonts w:ascii="Arial" w:eastAsia="Arial" w:hAnsi="Arial" w:cs="Arial"/>
            <w:b/>
            <w:bCs/>
            <w:color w:val="90111A"/>
            <w:sz w:val="22"/>
            <w:szCs w:val="22"/>
            <w:highlight w:val="white"/>
            <w:u w:val="single"/>
          </w:rPr>
          <w:t>DOI: 10.18573/agoriad.11</w:t>
        </w:r>
      </w:hyperlink>
      <w:r>
        <w:rPr>
          <w:rFonts w:ascii="Arial" w:eastAsia="Arial" w:hAnsi="Arial" w:cs="Arial"/>
          <w:color w:val="000000"/>
          <w:sz w:val="22"/>
          <w:szCs w:val="22"/>
        </w:rPr>
        <w:t xml:space="preserve"> </w:t>
      </w:r>
    </w:p>
    <w:p w14:paraId="64356CEB" w14:textId="77777777" w:rsidR="009F0C56" w:rsidRDefault="00653842">
      <w:pPr>
        <w:rPr>
          <w:rFonts w:ascii="Arial" w:eastAsia="Arial" w:hAnsi="Arial" w:cs="Arial"/>
          <w:color w:val="333333"/>
          <w:sz w:val="22"/>
          <w:szCs w:val="22"/>
          <w:highlight w:val="white"/>
        </w:rPr>
      </w:pPr>
      <w:r>
        <w:rPr>
          <w:rFonts w:ascii="Arial" w:eastAsia="Arial" w:hAnsi="Arial" w:cs="Arial"/>
          <w:color w:val="333333"/>
          <w:sz w:val="22"/>
          <w:szCs w:val="22"/>
          <w:highlight w:val="white"/>
        </w:rPr>
        <w:t>Wa Thiong’o, N. (1986). The Writer in a Neocolonial State. </w:t>
      </w:r>
      <w:r>
        <w:rPr>
          <w:rFonts w:ascii="Arial" w:eastAsia="Arial" w:hAnsi="Arial" w:cs="Arial"/>
          <w:i/>
          <w:iCs/>
          <w:color w:val="333333"/>
          <w:sz w:val="22"/>
          <w:szCs w:val="22"/>
          <w:highlight w:val="white"/>
        </w:rPr>
        <w:t>The Black Scholar</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17</w:t>
      </w:r>
      <w:r>
        <w:rPr>
          <w:rFonts w:ascii="Arial" w:eastAsia="Arial" w:hAnsi="Arial" w:cs="Arial"/>
          <w:color w:val="333333"/>
          <w:sz w:val="22"/>
          <w:szCs w:val="22"/>
          <w:highlight w:val="white"/>
        </w:rPr>
        <w:t xml:space="preserve">(4), 2–10. </w:t>
      </w:r>
      <w:hyperlink r:id="rId171">
        <w:r>
          <w:rPr>
            <w:rFonts w:ascii="Arial" w:eastAsia="Arial" w:hAnsi="Arial" w:cs="Arial"/>
            <w:color w:val="467886"/>
            <w:sz w:val="22"/>
            <w:szCs w:val="22"/>
            <w:highlight w:val="white"/>
            <w:u w:val="single"/>
          </w:rPr>
          <w:t>https://doi.org/10.1080/00064246.1986.11414415</w:t>
        </w:r>
      </w:hyperlink>
      <w:r>
        <w:rPr>
          <w:rFonts w:ascii="Arial" w:eastAsia="Arial" w:hAnsi="Arial" w:cs="Arial"/>
          <w:color w:val="333333"/>
          <w:sz w:val="22"/>
          <w:szCs w:val="22"/>
          <w:highlight w:val="white"/>
        </w:rPr>
        <w:t xml:space="preserve"> </w:t>
      </w:r>
    </w:p>
    <w:p w14:paraId="70A0682F" w14:textId="77777777" w:rsidR="009F0C56" w:rsidRDefault="00653842">
      <w:pPr>
        <w:rPr>
          <w:rFonts w:ascii="Arial" w:eastAsia="Arial" w:hAnsi="Arial" w:cs="Arial"/>
          <w:sz w:val="22"/>
          <w:szCs w:val="22"/>
        </w:rPr>
      </w:pPr>
      <w:r>
        <w:rPr>
          <w:rFonts w:ascii="Arial" w:eastAsia="Arial" w:hAnsi="Arial" w:cs="Arial"/>
          <w:sz w:val="22"/>
          <w:szCs w:val="22"/>
        </w:rPr>
        <w:t xml:space="preserve">Waters, A. (2004). American Indian Thought. USA. Blackwell Publishing. </w:t>
      </w:r>
    </w:p>
    <w:p w14:paraId="54C9B3BB" w14:textId="7950F433"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Waters, A.</w:t>
      </w:r>
      <w:r>
        <w:rPr>
          <w:rFonts w:ascii="Arial" w:eastAsia="Arial" w:hAnsi="Arial" w:cs="Arial"/>
          <w:color w:val="000000"/>
          <w:sz w:val="22"/>
          <w:szCs w:val="22"/>
        </w:rPr>
        <w:t xml:space="preserve"> (2013). </w:t>
      </w:r>
      <w:r>
        <w:rPr>
          <w:rFonts w:ascii="Arial" w:eastAsia="Arial" w:hAnsi="Arial" w:cs="Arial"/>
          <w:i/>
          <w:iCs/>
          <w:color w:val="000000"/>
          <w:sz w:val="22"/>
          <w:szCs w:val="22"/>
        </w:rPr>
        <w:t>Indigenous ontologies and settler colonialism</w:t>
      </w:r>
      <w:r>
        <w:rPr>
          <w:rFonts w:ascii="Arial" w:eastAsia="Arial" w:hAnsi="Arial" w:cs="Arial"/>
          <w:color w:val="000000"/>
          <w:sz w:val="22"/>
          <w:szCs w:val="22"/>
        </w:rPr>
        <w:t xml:space="preserve">. </w:t>
      </w:r>
      <w:r>
        <w:rPr>
          <w:rFonts w:ascii="Arial" w:eastAsia="Arial" w:hAnsi="Arial" w:cs="Arial"/>
          <w:i/>
          <w:iCs/>
          <w:color w:val="000000"/>
          <w:sz w:val="22"/>
          <w:szCs w:val="22"/>
        </w:rPr>
        <w:t>Journal of World Philosophies</w:t>
      </w:r>
      <w:r>
        <w:rPr>
          <w:rFonts w:ascii="Arial" w:eastAsia="Arial" w:hAnsi="Arial" w:cs="Arial"/>
          <w:color w:val="000000"/>
          <w:sz w:val="22"/>
          <w:szCs w:val="22"/>
        </w:rPr>
        <w:t>, 2(1), pp.31–50.</w:t>
      </w:r>
    </w:p>
    <w:p w14:paraId="5900F30F" w14:textId="77777777" w:rsidR="009F0C56" w:rsidRDefault="00653842">
      <w:pPr>
        <w:rPr>
          <w:highlight w:val="white"/>
        </w:rPr>
      </w:pPr>
      <w:r>
        <w:rPr>
          <w:highlight w:val="white"/>
        </w:rPr>
        <w:t>Watts, V. (2016). SMUDGE THIS: ASSIMILATION, STATE-FAVOURED COMMUNITIES AND THE DENIAL OF INDIGENOUS SPIRITUAL LIVES. </w:t>
      </w:r>
      <w:r>
        <w:rPr>
          <w:i/>
          <w:iCs/>
          <w:highlight w:val="white"/>
        </w:rPr>
        <w:t>International Journal of Child, Youth and Family Studies</w:t>
      </w:r>
      <w:r>
        <w:rPr>
          <w:highlight w:val="white"/>
        </w:rPr>
        <w:t>, </w:t>
      </w:r>
      <w:r>
        <w:rPr>
          <w:i/>
          <w:iCs/>
          <w:highlight w:val="white"/>
        </w:rPr>
        <w:t>7</w:t>
      </w:r>
      <w:r>
        <w:rPr>
          <w:highlight w:val="white"/>
        </w:rPr>
        <w:t xml:space="preserve">(1), 148-170. </w:t>
      </w:r>
      <w:hyperlink r:id="rId172">
        <w:r>
          <w:rPr>
            <w:color w:val="467886"/>
            <w:highlight w:val="white"/>
            <w:u w:val="single"/>
          </w:rPr>
          <w:t>https://doi.org/10.18357/ijcyfs.71201615676</w:t>
        </w:r>
      </w:hyperlink>
    </w:p>
    <w:p w14:paraId="14797665" w14:textId="77E31328"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Watts, V.</w:t>
      </w:r>
      <w:r>
        <w:rPr>
          <w:rFonts w:ascii="Arial" w:eastAsia="Arial" w:hAnsi="Arial" w:cs="Arial"/>
          <w:color w:val="000000"/>
          <w:sz w:val="22"/>
          <w:szCs w:val="22"/>
        </w:rPr>
        <w:t xml:space="preserve"> (2013). "Indigenous Place-Thought and Agency Amongst Humans and Non-Humans (First Woman and Sky Woman Go on a European World Tour!)." </w:t>
      </w:r>
      <w:r>
        <w:rPr>
          <w:rFonts w:ascii="Arial" w:eastAsia="Arial" w:hAnsi="Arial" w:cs="Arial"/>
          <w:i/>
          <w:iCs/>
          <w:color w:val="000000"/>
          <w:sz w:val="22"/>
          <w:szCs w:val="22"/>
        </w:rPr>
        <w:t>Decolonization: Indigeneity, Education &amp; Society</w:t>
      </w:r>
      <w:r>
        <w:rPr>
          <w:rFonts w:ascii="Arial" w:eastAsia="Arial" w:hAnsi="Arial" w:cs="Arial"/>
          <w:color w:val="000000"/>
          <w:sz w:val="22"/>
          <w:szCs w:val="22"/>
        </w:rPr>
        <w:t xml:space="preserve">, 2(1), pp. 20–34. </w:t>
      </w:r>
      <w:hyperlink r:id="rId173">
        <w:r>
          <w:rPr>
            <w:rFonts w:ascii="Arial" w:eastAsia="Arial" w:hAnsi="Arial" w:cs="Arial"/>
            <w:color w:val="467886"/>
            <w:sz w:val="22"/>
            <w:szCs w:val="22"/>
            <w:u w:val="single"/>
          </w:rPr>
          <w:t>https://ikdll.nau.edu/id/eprint/80/</w:t>
        </w:r>
      </w:hyperlink>
      <w:r>
        <w:rPr>
          <w:rFonts w:ascii="Arial" w:eastAsia="Arial" w:hAnsi="Arial" w:cs="Arial"/>
          <w:color w:val="000000"/>
          <w:sz w:val="22"/>
          <w:szCs w:val="22"/>
        </w:rPr>
        <w:t xml:space="preserve"> </w:t>
      </w:r>
    </w:p>
    <w:p w14:paraId="12BFC268" w14:textId="77777777" w:rsidR="009F0C56" w:rsidRDefault="00653842">
      <w:r>
        <w:rPr>
          <w:color w:val="333333"/>
        </w:rPr>
        <w:t xml:space="preserve">Weiss, Elizabeth. (2022). </w:t>
      </w:r>
      <w:r>
        <w:t xml:space="preserve">Rewriting Florida’s History: Seminole Indians are Not Descended from the Tequesta. History reclaimed. Website. Available from: </w:t>
      </w:r>
      <w:hyperlink r:id="rId174">
        <w:r>
          <w:rPr>
            <w:color w:val="467886"/>
            <w:u w:val="single"/>
          </w:rPr>
          <w:t>https://historyreclaimed.co.uk/rewriting-floridas-history-seminole-indians-are-not-descended-from-the-tequesta/</w:t>
        </w:r>
      </w:hyperlink>
      <w:r>
        <w:t xml:space="preserve"> </w:t>
      </w:r>
    </w:p>
    <w:p w14:paraId="6191CEB8" w14:textId="28E719A8" w:rsidR="009F0C56" w:rsidRDefault="00653842">
      <w:pPr>
        <w:shd w:val="clear" w:color="auto" w:fill="FFFFFF"/>
        <w:spacing w:after="280" w:line="240" w:lineRule="auto"/>
        <w:rPr>
          <w:rFonts w:ascii="Arial" w:eastAsia="Arial" w:hAnsi="Arial" w:cs="Arial"/>
          <w:sz w:val="22"/>
          <w:szCs w:val="22"/>
        </w:rPr>
      </w:pPr>
      <w:r>
        <w:rPr>
          <w:rFonts w:ascii="Arial" w:eastAsia="Arial" w:hAnsi="Arial" w:cs="Arial"/>
          <w:sz w:val="22"/>
          <w:szCs w:val="22"/>
        </w:rPr>
        <w:t>West, Patsy</w:t>
      </w:r>
      <w:r>
        <w:rPr>
          <w:rFonts w:ascii="Arial" w:eastAsia="Arial" w:hAnsi="Arial" w:cs="Arial"/>
          <w:sz w:val="22"/>
          <w:szCs w:val="22"/>
        </w:rPr>
        <w:t xml:space="preserve"> (2008). The Enduring Seminoles: From Alligator Wrestling to Casino Gaming. UPF. Florida</w:t>
      </w:r>
    </w:p>
    <w:p w14:paraId="31B458DD" w14:textId="77777777" w:rsidR="009F0C56" w:rsidRDefault="00653842">
      <w:pPr>
        <w:pBdr>
          <w:top w:val="nil"/>
          <w:left w:val="nil"/>
          <w:bottom w:val="nil"/>
          <w:right w:val="nil"/>
          <w:between w:val="nil"/>
        </w:pBdr>
        <w:spacing w:line="240" w:lineRule="auto"/>
        <w:rPr>
          <w:rFonts w:ascii="Arial" w:eastAsia="Arial" w:hAnsi="Arial" w:cs="Arial"/>
          <w:color w:val="333333"/>
          <w:sz w:val="22"/>
          <w:szCs w:val="22"/>
          <w:highlight w:val="white"/>
        </w:rPr>
      </w:pPr>
      <w:r>
        <w:rPr>
          <w:rFonts w:ascii="Arial" w:eastAsia="Arial" w:hAnsi="Arial" w:cs="Arial"/>
          <w:color w:val="333333"/>
          <w:sz w:val="22"/>
          <w:szCs w:val="22"/>
          <w:highlight w:val="white"/>
        </w:rPr>
        <w:t>Westberg, G. (2023). Desiring the indigenous: affective commodification of the Sámi. </w:t>
      </w:r>
      <w:r>
        <w:rPr>
          <w:rFonts w:ascii="Arial" w:eastAsia="Arial" w:hAnsi="Arial" w:cs="Arial"/>
          <w:i/>
          <w:iCs/>
          <w:color w:val="333333"/>
          <w:sz w:val="22"/>
          <w:szCs w:val="22"/>
          <w:highlight w:val="white"/>
        </w:rPr>
        <w:t>Social Semiotics</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33</w:t>
      </w:r>
      <w:r>
        <w:rPr>
          <w:rFonts w:ascii="Arial" w:eastAsia="Arial" w:hAnsi="Arial" w:cs="Arial"/>
          <w:color w:val="333333"/>
          <w:sz w:val="22"/>
          <w:szCs w:val="22"/>
          <w:highlight w:val="white"/>
        </w:rPr>
        <w:t xml:space="preserve">(4), 769–786. </w:t>
      </w:r>
      <w:hyperlink r:id="rId175">
        <w:r>
          <w:rPr>
            <w:rFonts w:ascii="Arial" w:eastAsia="Arial" w:hAnsi="Arial" w:cs="Arial"/>
            <w:color w:val="467886"/>
            <w:sz w:val="22"/>
            <w:szCs w:val="22"/>
            <w:highlight w:val="white"/>
            <w:u w:val="single"/>
          </w:rPr>
          <w:t>https://doi.org/10.1080/10350330.2021.1942824</w:t>
        </w:r>
      </w:hyperlink>
    </w:p>
    <w:p w14:paraId="6EC1DEF7" w14:textId="77777777" w:rsidR="009F0C56" w:rsidRDefault="00653842">
      <w:pPr>
        <w:rPr>
          <w:rFonts w:ascii="Arial" w:eastAsia="Arial" w:hAnsi="Arial" w:cs="Arial"/>
          <w:sz w:val="22"/>
          <w:szCs w:val="22"/>
        </w:rPr>
      </w:pPr>
      <w:r>
        <w:rPr>
          <w:rFonts w:ascii="Arial" w:eastAsia="Arial" w:hAnsi="Arial" w:cs="Arial"/>
          <w:color w:val="1C1D1E"/>
          <w:sz w:val="22"/>
          <w:szCs w:val="22"/>
          <w:highlight w:val="white"/>
        </w:rPr>
        <w:t>Wijburg, G., Aalbers, M.B., Conte, V. and Stoffelen, A. (2024), Tourism-Led Rentier Capitalism: Extracting Rent and Value from Tourism Property Investment. Antipode, 56: 715-737. </w:t>
      </w:r>
      <w:hyperlink r:id="rId176">
        <w:r>
          <w:rPr>
            <w:rFonts w:ascii="Arial" w:eastAsia="Arial" w:hAnsi="Arial" w:cs="Arial"/>
            <w:color w:val="123D80"/>
            <w:sz w:val="22"/>
            <w:szCs w:val="22"/>
            <w:highlight w:val="white"/>
            <w:u w:val="single"/>
          </w:rPr>
          <w:t>https://doi.org/10.1111/anti.12989</w:t>
        </w:r>
      </w:hyperlink>
    </w:p>
    <w:p w14:paraId="1E938AEA" w14:textId="77777777" w:rsidR="009F0C56" w:rsidRDefault="00653842">
      <w:pPr>
        <w:rPr>
          <w:rFonts w:ascii="Arial" w:eastAsia="Arial" w:hAnsi="Arial" w:cs="Arial"/>
          <w:color w:val="0A0A0A"/>
          <w:sz w:val="22"/>
          <w:szCs w:val="22"/>
          <w:highlight w:val="white"/>
        </w:rPr>
      </w:pPr>
      <w:r>
        <w:rPr>
          <w:rFonts w:ascii="Arial" w:eastAsia="Arial" w:hAnsi="Arial" w:cs="Arial"/>
          <w:color w:val="0A0A0A"/>
          <w:sz w:val="22"/>
          <w:szCs w:val="22"/>
          <w:highlight w:val="white"/>
        </w:rPr>
        <w:t>Wilhelm, C. (2022). [Review of the book </w:t>
      </w:r>
      <w:r>
        <w:rPr>
          <w:rFonts w:ascii="Arial" w:eastAsia="Arial" w:hAnsi="Arial" w:cs="Arial"/>
          <w:i/>
          <w:iCs/>
          <w:color w:val="0A0A0A"/>
          <w:sz w:val="22"/>
          <w:szCs w:val="22"/>
          <w:highlight w:val="white"/>
        </w:rPr>
        <w:t>The Swamp Peddlers: How Lot Sellers, Land Scammers, and Retirees Built Modern Florida and Transformed the American Dream</w:t>
      </w:r>
      <w:r>
        <w:rPr>
          <w:rFonts w:ascii="Arial" w:eastAsia="Arial" w:hAnsi="Arial" w:cs="Arial"/>
          <w:color w:val="0A0A0A"/>
          <w:sz w:val="22"/>
          <w:szCs w:val="22"/>
          <w:highlight w:val="white"/>
        </w:rPr>
        <w:t>, by Jason Vuic]. </w:t>
      </w:r>
      <w:r>
        <w:rPr>
          <w:rFonts w:ascii="Arial" w:eastAsia="Arial" w:hAnsi="Arial" w:cs="Arial"/>
          <w:i/>
          <w:iCs/>
          <w:color w:val="0A0A0A"/>
          <w:sz w:val="22"/>
          <w:szCs w:val="22"/>
          <w:highlight w:val="white"/>
        </w:rPr>
        <w:t>Journal of Southern History</w:t>
      </w:r>
      <w:r>
        <w:rPr>
          <w:rFonts w:ascii="Arial" w:eastAsia="Arial" w:hAnsi="Arial" w:cs="Arial"/>
          <w:color w:val="0A0A0A"/>
          <w:sz w:val="22"/>
          <w:szCs w:val="22"/>
          <w:highlight w:val="white"/>
        </w:rPr>
        <w:t> </w:t>
      </w:r>
      <w:r>
        <w:rPr>
          <w:rFonts w:ascii="Arial" w:eastAsia="Arial" w:hAnsi="Arial" w:cs="Arial"/>
          <w:i/>
          <w:iCs/>
          <w:color w:val="0A0A0A"/>
          <w:sz w:val="22"/>
          <w:szCs w:val="22"/>
          <w:highlight w:val="white"/>
        </w:rPr>
        <w:t>88</w:t>
      </w:r>
      <w:r>
        <w:rPr>
          <w:rFonts w:ascii="Arial" w:eastAsia="Arial" w:hAnsi="Arial" w:cs="Arial"/>
          <w:color w:val="0A0A0A"/>
          <w:sz w:val="22"/>
          <w:szCs w:val="22"/>
          <w:highlight w:val="white"/>
        </w:rPr>
        <w:t>(3), 603-604. </w:t>
      </w:r>
      <w:hyperlink r:id="rId177">
        <w:r>
          <w:rPr>
            <w:rFonts w:ascii="Arial" w:eastAsia="Arial" w:hAnsi="Arial" w:cs="Arial"/>
            <w:color w:val="3262A4"/>
            <w:sz w:val="22"/>
            <w:szCs w:val="22"/>
            <w:highlight w:val="white"/>
            <w:u w:val="single"/>
          </w:rPr>
          <w:t>https://dx.doi.org/10.1353/soh.2022.0164</w:t>
        </w:r>
      </w:hyperlink>
      <w:r>
        <w:rPr>
          <w:rFonts w:ascii="Arial" w:eastAsia="Arial" w:hAnsi="Arial" w:cs="Arial"/>
          <w:color w:val="0A0A0A"/>
          <w:sz w:val="22"/>
          <w:szCs w:val="22"/>
          <w:highlight w:val="white"/>
        </w:rPr>
        <w:t>.</w:t>
      </w:r>
    </w:p>
    <w:p w14:paraId="1D44FD1D" w14:textId="11EB1BE9"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Wolfe, P.</w:t>
      </w:r>
      <w:r>
        <w:rPr>
          <w:rFonts w:ascii="Arial" w:eastAsia="Arial" w:hAnsi="Arial" w:cs="Arial"/>
          <w:color w:val="000000"/>
          <w:sz w:val="22"/>
          <w:szCs w:val="22"/>
        </w:rPr>
        <w:t xml:space="preserve"> (2016). </w:t>
      </w:r>
      <w:r>
        <w:rPr>
          <w:rFonts w:ascii="Arial" w:eastAsia="Arial" w:hAnsi="Arial" w:cs="Arial"/>
          <w:i/>
          <w:iCs/>
          <w:color w:val="000000"/>
          <w:sz w:val="22"/>
          <w:szCs w:val="22"/>
        </w:rPr>
        <w:t>Traces of History: Elementary Structures of Race</w:t>
      </w:r>
      <w:r>
        <w:rPr>
          <w:rFonts w:ascii="Arial" w:eastAsia="Arial" w:hAnsi="Arial" w:cs="Arial"/>
          <w:color w:val="000000"/>
          <w:sz w:val="22"/>
          <w:szCs w:val="22"/>
        </w:rPr>
        <w:t>. London: Verso.</w:t>
      </w:r>
    </w:p>
    <w:p w14:paraId="7AAF0DA9" w14:textId="19D11310" w:rsidR="009F0C56" w:rsidRDefault="00653842">
      <w:p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Wright-Maley, C.</w:t>
      </w:r>
      <w:r>
        <w:rPr>
          <w:rFonts w:ascii="Arial" w:eastAsia="Arial" w:hAnsi="Arial" w:cs="Arial"/>
          <w:color w:val="000000"/>
          <w:sz w:val="22"/>
          <w:szCs w:val="22"/>
        </w:rPr>
        <w:t xml:space="preserve"> (2018). </w:t>
      </w:r>
      <w:r>
        <w:rPr>
          <w:rFonts w:ascii="Arial" w:eastAsia="Arial" w:hAnsi="Arial" w:cs="Arial"/>
          <w:i/>
          <w:iCs/>
          <w:color w:val="000000"/>
          <w:sz w:val="22"/>
          <w:szCs w:val="22"/>
        </w:rPr>
        <w:t>Temporal blindness and the colonisation of time in social studies education</w:t>
      </w:r>
      <w:r>
        <w:rPr>
          <w:rFonts w:ascii="Arial" w:eastAsia="Arial" w:hAnsi="Arial" w:cs="Arial"/>
          <w:color w:val="000000"/>
          <w:sz w:val="22"/>
          <w:szCs w:val="22"/>
        </w:rPr>
        <w:t xml:space="preserve">. </w:t>
      </w:r>
      <w:r>
        <w:rPr>
          <w:rFonts w:ascii="Arial" w:eastAsia="Arial" w:hAnsi="Arial" w:cs="Arial"/>
          <w:i/>
          <w:iCs/>
          <w:color w:val="000000"/>
          <w:sz w:val="22"/>
          <w:szCs w:val="22"/>
        </w:rPr>
        <w:t>Theory &amp; Research in Social Education</w:t>
      </w:r>
      <w:r>
        <w:rPr>
          <w:rFonts w:ascii="Arial" w:eastAsia="Arial" w:hAnsi="Arial" w:cs="Arial"/>
          <w:color w:val="000000"/>
          <w:sz w:val="22"/>
          <w:szCs w:val="22"/>
        </w:rPr>
        <w:t>, 46(4), pp.528–573.</w:t>
      </w:r>
    </w:p>
    <w:p w14:paraId="28ABFB37" w14:textId="77777777" w:rsidR="009F0C56" w:rsidRDefault="00653842">
      <w:pPr>
        <w:rPr>
          <w:rFonts w:ascii="Arial" w:eastAsia="Arial" w:hAnsi="Arial" w:cs="Arial"/>
          <w:color w:val="333333"/>
          <w:sz w:val="22"/>
          <w:szCs w:val="22"/>
          <w:highlight w:val="white"/>
        </w:rPr>
      </w:pPr>
      <w:r>
        <w:rPr>
          <w:rFonts w:ascii="Arial" w:eastAsia="Arial" w:hAnsi="Arial" w:cs="Arial"/>
          <w:color w:val="333333"/>
          <w:sz w:val="22"/>
          <w:szCs w:val="22"/>
          <w:highlight w:val="white"/>
        </w:rPr>
        <w:t>Yoon-Ramirez, I., &amp; Ramirez, B. W. (2021). Unsettling Settler Colonial Feelings Through Contemporary Indigenous Art Practice. </w:t>
      </w:r>
      <w:r>
        <w:rPr>
          <w:rFonts w:ascii="Arial" w:eastAsia="Arial" w:hAnsi="Arial" w:cs="Arial"/>
          <w:i/>
          <w:iCs/>
          <w:color w:val="333333"/>
          <w:sz w:val="22"/>
          <w:szCs w:val="22"/>
          <w:highlight w:val="white"/>
        </w:rPr>
        <w:t>Studies in Art Education</w:t>
      </w:r>
      <w:r>
        <w:rPr>
          <w:rFonts w:ascii="Arial" w:eastAsia="Arial" w:hAnsi="Arial" w:cs="Arial"/>
          <w:color w:val="333333"/>
          <w:sz w:val="22"/>
          <w:szCs w:val="22"/>
          <w:highlight w:val="white"/>
        </w:rPr>
        <w:t>, </w:t>
      </w:r>
      <w:r>
        <w:rPr>
          <w:rFonts w:ascii="Arial" w:eastAsia="Arial" w:hAnsi="Arial" w:cs="Arial"/>
          <w:i/>
          <w:iCs/>
          <w:color w:val="333333"/>
          <w:sz w:val="22"/>
          <w:szCs w:val="22"/>
          <w:highlight w:val="white"/>
        </w:rPr>
        <w:t>62</w:t>
      </w:r>
      <w:r>
        <w:rPr>
          <w:rFonts w:ascii="Arial" w:eastAsia="Arial" w:hAnsi="Arial" w:cs="Arial"/>
          <w:color w:val="333333"/>
          <w:sz w:val="22"/>
          <w:szCs w:val="22"/>
          <w:highlight w:val="white"/>
        </w:rPr>
        <w:t xml:space="preserve">(2), 114–129. </w:t>
      </w:r>
      <w:hyperlink r:id="rId178">
        <w:r>
          <w:rPr>
            <w:rFonts w:ascii="Arial" w:eastAsia="Arial" w:hAnsi="Arial" w:cs="Arial"/>
            <w:color w:val="467886"/>
            <w:sz w:val="22"/>
            <w:szCs w:val="22"/>
            <w:highlight w:val="white"/>
            <w:u w:val="single"/>
          </w:rPr>
          <w:t>https://doi.org/10.1080/00393541.2021.1896416</w:t>
        </w:r>
      </w:hyperlink>
    </w:p>
    <w:p w14:paraId="68D13955" w14:textId="77777777" w:rsidR="009F0C56" w:rsidRDefault="00653842">
      <w:pPr>
        <w:keepNext/>
        <w:keepLines/>
        <w:shd w:val="clear" w:color="auto" w:fill="FFFFFF"/>
        <w:spacing w:before="240" w:after="0"/>
        <w:rPr>
          <w:rFonts w:ascii="Arial" w:eastAsia="Arial" w:hAnsi="Arial" w:cs="Arial"/>
          <w:color w:val="1C1D1E"/>
          <w:sz w:val="22"/>
          <w:szCs w:val="22"/>
        </w:rPr>
      </w:pPr>
      <w:r>
        <w:rPr>
          <w:rFonts w:ascii="Arial" w:eastAsia="Arial" w:hAnsi="Arial" w:cs="Arial"/>
          <w:color w:val="000000"/>
          <w:sz w:val="22"/>
          <w:szCs w:val="22"/>
        </w:rPr>
        <w:t xml:space="preserve">Zhang, Shiquin, Eric, Chan. (2019) “A </w:t>
      </w:r>
      <w:r>
        <w:rPr>
          <w:rFonts w:ascii="Arial" w:eastAsia="Arial" w:hAnsi="Arial" w:cs="Arial"/>
          <w:color w:val="1C1D1E"/>
          <w:sz w:val="22"/>
          <w:szCs w:val="22"/>
        </w:rPr>
        <w:t>modernism-based</w:t>
      </w:r>
      <w:r>
        <w:rPr>
          <w:rFonts w:ascii="Arial" w:eastAsia="Arial" w:hAnsi="Arial" w:cs="Arial"/>
          <w:b/>
          <w:bCs/>
          <w:color w:val="1C1D1E"/>
          <w:sz w:val="22"/>
          <w:szCs w:val="22"/>
        </w:rPr>
        <w:t xml:space="preserve"> </w:t>
      </w:r>
      <w:r>
        <w:rPr>
          <w:rFonts w:ascii="Arial" w:eastAsia="Arial" w:hAnsi="Arial" w:cs="Arial"/>
          <w:color w:val="1C1D1E"/>
          <w:sz w:val="22"/>
          <w:szCs w:val="22"/>
        </w:rPr>
        <w:t xml:space="preserve">interpretation of sustainable tourism.” International journal of tourism relations. Available from: </w:t>
      </w:r>
      <w:hyperlink r:id="rId179">
        <w:r>
          <w:rPr>
            <w:rFonts w:ascii="Arial" w:eastAsia="Arial" w:hAnsi="Arial" w:cs="Arial"/>
            <w:color w:val="467886"/>
            <w:sz w:val="22"/>
            <w:szCs w:val="22"/>
            <w:u w:val="single"/>
          </w:rPr>
          <w:t>https://onlinelibrary.wiley.com/doi/10.1002/jtr.2330</w:t>
        </w:r>
      </w:hyperlink>
      <w:r>
        <w:rPr>
          <w:rFonts w:ascii="Arial" w:eastAsia="Arial" w:hAnsi="Arial" w:cs="Arial"/>
          <w:color w:val="1C1D1E"/>
          <w:sz w:val="22"/>
          <w:szCs w:val="22"/>
        </w:rPr>
        <w:t xml:space="preserve">  </w:t>
      </w:r>
    </w:p>
    <w:p w14:paraId="3D914F3D" w14:textId="77777777" w:rsidR="009F0C56" w:rsidRDefault="009F0C56"/>
    <w:sectPr w:rsidR="009F0C56">
      <w:footerReference w:type="default" r:id="rId180"/>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F5BC6" w14:textId="77777777" w:rsidR="00653842" w:rsidRDefault="00653842">
      <w:pPr>
        <w:spacing w:after="0" w:line="240" w:lineRule="auto"/>
      </w:pPr>
      <w:r>
        <w:separator/>
      </w:r>
    </w:p>
  </w:endnote>
  <w:endnote w:type="continuationSeparator" w:id="0">
    <w:p w14:paraId="4F1E97AC" w14:textId="77777777" w:rsidR="00653842" w:rsidRDefault="00653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FB1310D-5985-4095-B68C-411E6B7739F4}"/>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AFEFABA6-4F16-4020-AA19-28DE9FDFE2A3}"/>
    <w:embedBold r:id="rId3" w:fontKey="{C45BEA7C-DC51-41AA-9C98-5171CB13C0F4}"/>
    <w:embedItalic r:id="rId4" w:fontKey="{81C03655-E0B9-4AE0-8B37-FA3D0FEF003D}"/>
  </w:font>
  <w:font w:name="Play">
    <w:charset w:val="00"/>
    <w:family w:val="auto"/>
    <w:pitch w:val="default"/>
    <w:embedRegular r:id="rId5" w:fontKey="{6A5FF832-C5C4-434B-93CA-DBDBF2E19217}"/>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6" w:fontKey="{ECEF9859-BB01-41F6-8669-F30C483AF5E1}"/>
  </w:font>
  <w:font w:name="Segoe UI">
    <w:panose1 w:val="020B0502040204020203"/>
    <w:charset w:val="00"/>
    <w:family w:val="swiss"/>
    <w:pitch w:val="variable"/>
    <w:sig w:usb0="E4002EFF" w:usb1="C000E47F" w:usb2="00000009" w:usb3="00000000" w:csb0="000001FF" w:csb1="00000000"/>
    <w:embedRegular r:id="rId7" w:fontKey="{979C6EF9-EFDB-426A-BBE5-82E9FAEBB7BA}"/>
  </w:font>
  <w:font w:name="Calibri">
    <w:panose1 w:val="020F0502020204030204"/>
    <w:charset w:val="00"/>
    <w:family w:val="swiss"/>
    <w:pitch w:val="variable"/>
    <w:sig w:usb0="E4002EFF" w:usb1="C200247B" w:usb2="00000009" w:usb3="00000000" w:csb0="000001FF" w:csb1="00000000"/>
    <w:embedRegular r:id="rId8" w:fontKey="{B87D096C-25AD-48BE-8F83-B28E76399136}"/>
    <w:embedBold r:id="rId9" w:fontKey="{5D9072CF-0A0B-47DD-BDEF-72DFB9A53D57}"/>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Regular r:id="rId10" w:fontKey="{FF512EFA-A344-45E5-B9F3-F72EA8998EAB}"/>
  </w:font>
  <w:font w:name="Arimo">
    <w:charset w:val="00"/>
    <w:family w:val="auto"/>
    <w:pitch w:val="default"/>
    <w:embedRegular r:id="rId11" w:fontKey="{448ED247-28BE-470E-9E88-D37329D2B10B}"/>
  </w:font>
  <w:font w:name="Cambria Math">
    <w:panose1 w:val="02040503050406030204"/>
    <w:charset w:val="00"/>
    <w:family w:val="roman"/>
    <w:pitch w:val="variable"/>
    <w:sig w:usb0="E00006FF" w:usb1="420024FF" w:usb2="02000000" w:usb3="00000000" w:csb0="0000019F" w:csb1="00000000"/>
    <w:embedRegular r:id="rId12" w:fontKey="{78017060-5A6A-4B42-A132-94C922ABD6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E432" w14:textId="77777777" w:rsidR="009F0C56" w:rsidRDefault="00653842">
    <w:pPr>
      <w:pBdr>
        <w:top w:val="nil"/>
        <w:left w:val="nil"/>
        <w:bottom w:val="nil"/>
        <w:right w:val="nil"/>
        <w:between w:val="nil"/>
      </w:pBdr>
      <w:tabs>
        <w:tab w:val="center" w:pos="4513"/>
        <w:tab w:val="right" w:pos="9026"/>
      </w:tabs>
      <w:spacing w:after="0" w:line="240" w:lineRule="auto"/>
      <w:rPr>
        <w:color w:val="000000"/>
      </w:rPr>
    </w:pPr>
    <w:r>
      <w:rPr>
        <w:color w:val="000000"/>
      </w:rPr>
      <w:fldChar w:fldCharType="begin"/>
    </w:r>
    <w:r>
      <w:rPr>
        <w:color w:val="000000"/>
      </w:rPr>
      <w:instrText>PAGE</w:instrText>
    </w:r>
    <w:r>
      <w:rPr>
        <w:color w:val="000000"/>
      </w:rPr>
      <w:fldChar w:fldCharType="separate"/>
    </w:r>
    <w:r w:rsidR="00CF2C48">
      <w:rPr>
        <w:noProof/>
        <w:color w:val="000000"/>
      </w:rPr>
      <w:t>1</w:t>
    </w:r>
    <w:r>
      <w:rPr>
        <w:color w:val="000000"/>
      </w:rPr>
      <w:fldChar w:fldCharType="end"/>
    </w:r>
  </w:p>
  <w:p w14:paraId="56F92BED" w14:textId="77777777" w:rsidR="009F0C56" w:rsidRDefault="009F0C56">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63CCF" w14:textId="77777777" w:rsidR="00653842" w:rsidRDefault="00653842">
      <w:pPr>
        <w:spacing w:after="0" w:line="240" w:lineRule="auto"/>
      </w:pPr>
      <w:r>
        <w:separator/>
      </w:r>
    </w:p>
  </w:footnote>
  <w:footnote w:type="continuationSeparator" w:id="0">
    <w:p w14:paraId="7B378D71" w14:textId="77777777" w:rsidR="00653842" w:rsidRDefault="00653842">
      <w:pPr>
        <w:spacing w:after="0" w:line="240" w:lineRule="auto"/>
      </w:pPr>
      <w:r>
        <w:continuationSeparator/>
      </w:r>
    </w:p>
  </w:footnote>
  <w:footnote w:id="1">
    <w:p w14:paraId="00F28F6C" w14:textId="77777777" w:rsidR="009F0C56" w:rsidRDefault="00653842">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The Seminole and Miccosukee creation story will be explored during the </w:t>
      </w:r>
      <w:r>
        <w:rPr>
          <w:rFonts w:ascii="Arial" w:eastAsia="Arial" w:hAnsi="Arial" w:cs="Arial"/>
          <w:color w:val="0A0A0A"/>
          <w:sz w:val="20"/>
          <w:szCs w:val="20"/>
          <w:highlight w:val="white"/>
        </w:rPr>
        <w:t>territorialization </w:t>
      </w:r>
      <w:r>
        <w:rPr>
          <w:color w:val="000000"/>
          <w:sz w:val="20"/>
          <w:szCs w:val="20"/>
        </w:rPr>
        <w:t>chapter.</w:t>
      </w:r>
    </w:p>
  </w:footnote>
  <w:footnote w:id="2">
    <w:p w14:paraId="7474CB25" w14:textId="77777777" w:rsidR="009F0C56" w:rsidRDefault="00653842">
      <w:pPr>
        <w:spacing w:before="280" w:after="280" w:line="240" w:lineRule="auto"/>
        <w:rPr>
          <w:rFonts w:ascii="Arial" w:eastAsia="Arial" w:hAnsi="Arial" w:cs="Arial"/>
        </w:rPr>
      </w:pPr>
      <w:r>
        <w:rPr>
          <w:rStyle w:val="FootnoteReference"/>
        </w:rPr>
        <w:footnoteRef/>
      </w:r>
      <w:r>
        <w:t xml:space="preserve"> </w:t>
      </w:r>
      <w:r>
        <w:rPr>
          <w:rFonts w:ascii="Arial" w:eastAsia="Arial" w:hAnsi="Arial" w:cs="Arial"/>
          <w:sz w:val="18"/>
          <w:szCs w:val="18"/>
        </w:rPr>
        <w:t xml:space="preserve">Catherine Walsh (2018) introduces yet another dimension by articulating the </w:t>
      </w:r>
      <w:r>
        <w:rPr>
          <w:rFonts w:ascii="Arial" w:eastAsia="Arial" w:hAnsi="Arial" w:cs="Arial"/>
          <w:i/>
          <w:iCs/>
          <w:sz w:val="18"/>
          <w:szCs w:val="18"/>
        </w:rPr>
        <w:t>coloniality of gender</w:t>
      </w:r>
      <w:r>
        <w:rPr>
          <w:rFonts w:ascii="Arial" w:eastAsia="Arial" w:hAnsi="Arial" w:cs="Arial"/>
          <w:sz w:val="18"/>
          <w:szCs w:val="18"/>
        </w:rPr>
        <w:t>, which reveals how colonial systems enacted not only racial but also gendered and sexual violence. She emphasises that this legacy persists, shaping the repression of women, LGBTQ+, and non-binary people in colonised contexts and enforcing heteropatriarchal norms. Her intervention draws attention to how epistemic violence is also gendered, silencing Indigenous gender systems, roles, and cosmologies (Mignolo Walsh 2013). Here again, this thesis asks: how might the coloniality of gender frame the settler por</w:t>
      </w:r>
      <w:r>
        <w:rPr>
          <w:rFonts w:ascii="Arial" w:eastAsia="Arial" w:hAnsi="Arial" w:cs="Arial"/>
          <w:sz w:val="18"/>
          <w:szCs w:val="18"/>
        </w:rPr>
        <w:t>trayals of Seminole and Miccosukee life, and what forms of Indigenous gender knowledge are obscured or erased in those portrayals?</w:t>
      </w:r>
    </w:p>
    <w:p w14:paraId="3FA23686" w14:textId="77777777" w:rsidR="009F0C56" w:rsidRDefault="009F0C56">
      <w:pPr>
        <w:pBdr>
          <w:top w:val="nil"/>
          <w:left w:val="nil"/>
          <w:bottom w:val="nil"/>
          <w:right w:val="nil"/>
          <w:between w:val="nil"/>
        </w:pBdr>
        <w:spacing w:after="0" w:line="240" w:lineRule="auto"/>
        <w:rPr>
          <w:color w:val="000000"/>
          <w:sz w:val="20"/>
          <w:szCs w:val="20"/>
        </w:rPr>
      </w:pPr>
    </w:p>
  </w:footnote>
  <w:footnote w:id="3">
    <w:p w14:paraId="4D12895F" w14:textId="77777777" w:rsidR="009F0C56" w:rsidRDefault="00653842">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w:t>
      </w:r>
      <w:r>
        <w:rPr>
          <w:rFonts w:ascii="Arial" w:eastAsia="Arial" w:hAnsi="Arial" w:cs="Arial"/>
          <w:color w:val="000000"/>
          <w:sz w:val="18"/>
          <w:szCs w:val="18"/>
        </w:rPr>
        <w:t xml:space="preserve">This Idea of creation stories will be analysed more deeply in the </w:t>
      </w:r>
      <w:r>
        <w:rPr>
          <w:rFonts w:ascii="Arial" w:eastAsia="Arial" w:hAnsi="Arial" w:cs="Arial"/>
          <w:color w:val="0A0A0A"/>
          <w:sz w:val="18"/>
          <w:szCs w:val="18"/>
          <w:highlight w:val="white"/>
        </w:rPr>
        <w:t>territorialization </w:t>
      </w:r>
      <w:r>
        <w:rPr>
          <w:rFonts w:ascii="Arial" w:eastAsia="Arial" w:hAnsi="Arial" w:cs="Arial"/>
          <w:color w:val="000000"/>
          <w:sz w:val="18"/>
          <w:szCs w:val="18"/>
        </w:rPr>
        <w:t>chapter. Through mediums such as poems, art, academic articles as well as</w:t>
      </w:r>
      <w:r>
        <w:rPr>
          <w:color w:val="000000"/>
          <w:sz w:val="20"/>
          <w:szCs w:val="20"/>
        </w:rPr>
        <w:t xml:space="preserve"> </w:t>
      </w:r>
    </w:p>
  </w:footnote>
  <w:footnote w:id="4">
    <w:p w14:paraId="5B2CE16B" w14:textId="77777777" w:rsidR="009F0C56" w:rsidRDefault="00653842">
      <w:pPr>
        <w:spacing w:before="240" w:after="240" w:line="240" w:lineRule="auto"/>
        <w:rPr>
          <w:rFonts w:ascii="Arial" w:eastAsia="Arial" w:hAnsi="Arial" w:cs="Arial"/>
          <w:sz w:val="18"/>
          <w:szCs w:val="18"/>
        </w:rPr>
      </w:pPr>
      <w:r>
        <w:rPr>
          <w:rStyle w:val="FootnoteReference"/>
        </w:rPr>
        <w:footnoteRef/>
      </w:r>
      <w:r>
        <w:t xml:space="preserve"> </w:t>
      </w:r>
      <w:r>
        <w:rPr>
          <w:rFonts w:ascii="Arial" w:eastAsia="Arial" w:hAnsi="Arial" w:cs="Arial"/>
          <w:sz w:val="18"/>
          <w:szCs w:val="18"/>
        </w:rPr>
        <w:t>As was discussed, the Totem poles at the entrance of the Miccosukee Indian Village are part of a broader cultural Indigenous initiative of inter-tribal communication. In this, the critique is not around how the Miccosukee have Totem poles, rather the analysis focuses on the lack of settler engagement beyond the surface level of the Totem Poles.</w:t>
      </w:r>
    </w:p>
  </w:footnote>
  <w:footnote w:id="5">
    <w:p w14:paraId="63D0B2E4" w14:textId="77777777" w:rsidR="009F0C56" w:rsidRDefault="00653842">
      <w:pPr>
        <w:pBdr>
          <w:top w:val="nil"/>
          <w:left w:val="nil"/>
          <w:bottom w:val="nil"/>
          <w:right w:val="nil"/>
          <w:between w:val="nil"/>
        </w:pBdr>
        <w:spacing w:after="0" w:line="240" w:lineRule="auto"/>
        <w:rPr>
          <w:rFonts w:ascii="Arial" w:eastAsia="Arial" w:hAnsi="Arial" w:cs="Arial"/>
          <w:color w:val="000000"/>
          <w:sz w:val="18"/>
          <w:szCs w:val="18"/>
        </w:rPr>
      </w:pPr>
      <w:r>
        <w:rPr>
          <w:rStyle w:val="FootnoteReference"/>
        </w:rPr>
        <w:footnoteRef/>
      </w:r>
      <w:r>
        <w:rPr>
          <w:rFonts w:ascii="Arial" w:eastAsia="Arial" w:hAnsi="Arial" w:cs="Arial"/>
          <w:color w:val="000000"/>
          <w:sz w:val="18"/>
          <w:szCs w:val="18"/>
        </w:rPr>
        <w:t xml:space="preserve"> These images discussed will be shown and analysed more heavily during the commodification chapter.</w:t>
      </w:r>
    </w:p>
    <w:p w14:paraId="586BB9AE" w14:textId="77777777" w:rsidR="009F0C56" w:rsidRDefault="009F0C56">
      <w:pPr>
        <w:pBdr>
          <w:top w:val="nil"/>
          <w:left w:val="nil"/>
          <w:bottom w:val="nil"/>
          <w:right w:val="nil"/>
          <w:between w:val="nil"/>
        </w:pBdr>
        <w:spacing w:after="0" w:line="240" w:lineRule="auto"/>
        <w:rPr>
          <w:color w:val="000000"/>
          <w:sz w:val="20"/>
          <w:szCs w:val="20"/>
        </w:rPr>
      </w:pPr>
    </w:p>
  </w:footnote>
  <w:footnote w:id="6">
    <w:p w14:paraId="37BF34C8" w14:textId="77777777" w:rsidR="009F0C56" w:rsidRDefault="00653842">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w:t>
      </w:r>
      <w:r>
        <w:rPr>
          <w:rFonts w:ascii="Arial" w:eastAsia="Arial" w:hAnsi="Arial" w:cs="Arial"/>
          <w:color w:val="000000"/>
          <w:sz w:val="18"/>
          <w:szCs w:val="18"/>
        </w:rPr>
        <w:t>The choice of monolithic being purposeful here, drawing from Keene et Al’s (2024) analysis of Indigenous stereotypes being present, this monolithic settler representation fits in with the stereotypes interlocking discussed in the article. As will be explored later in this chapter.</w:t>
      </w:r>
    </w:p>
  </w:footnote>
  <w:footnote w:id="7">
    <w:p w14:paraId="3D58BE10" w14:textId="77777777" w:rsidR="009F0C56" w:rsidRDefault="00653842">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w:t>
      </w:r>
      <w:r>
        <w:rPr>
          <w:rFonts w:ascii="Arial" w:eastAsia="Arial" w:hAnsi="Arial" w:cs="Arial"/>
          <w:color w:val="000000"/>
          <w:sz w:val="18"/>
          <w:szCs w:val="18"/>
        </w:rPr>
        <w:t>The idea of Barker’s bricolage, and how it will be utilised in this thesis, is heavily explored in the theoretical chapter</w:t>
      </w:r>
      <w:r>
        <w:rPr>
          <w:color w:val="000000"/>
          <w:sz w:val="18"/>
          <w:szCs w:val="18"/>
        </w:rPr>
        <w:t xml:space="preserve"> </w:t>
      </w:r>
    </w:p>
  </w:footnote>
  <w:footnote w:id="8">
    <w:p w14:paraId="10804AC0" w14:textId="77777777" w:rsidR="009F0C56" w:rsidRDefault="00653842">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w:t>
      </w:r>
      <w:r>
        <w:rPr>
          <w:rFonts w:ascii="Arial" w:eastAsia="Arial" w:hAnsi="Arial" w:cs="Arial"/>
          <w:color w:val="000000"/>
          <w:sz w:val="18"/>
          <w:szCs w:val="18"/>
        </w:rPr>
        <w:t>The concept of surplus is discussed in the literature review around Harvey’s work on the accumulation of capital.</w:t>
      </w:r>
    </w:p>
  </w:footnote>
  <w:footnote w:id="9">
    <w:p w14:paraId="24C0608C" w14:textId="77777777" w:rsidR="009F0C56" w:rsidRDefault="00653842">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w:t>
      </w:r>
      <w:r>
        <w:rPr>
          <w:rFonts w:ascii="Arial" w:eastAsia="Arial" w:hAnsi="Arial" w:cs="Arial"/>
          <w:color w:val="000000"/>
          <w:sz w:val="18"/>
          <w:szCs w:val="18"/>
        </w:rPr>
        <w:t>While relations to stories differ, they often discuss a spider nearly being killed by a child, but an elderly woman saved it. In return, the spider would weave a web between the moon and the woman to snare bad dreams. This was because dreams held important spiritual and ontological meanings. So, whilst dreams allowed for interactions with the more-than-human world, dream catchers were there to prevent malevolent spirits from entering dreams and were a source of protection. In this, Dreamcatchers were not de</w:t>
      </w:r>
      <w:r>
        <w:rPr>
          <w:rFonts w:ascii="Arial" w:eastAsia="Arial" w:hAnsi="Arial" w:cs="Arial"/>
          <w:color w:val="000000"/>
          <w:sz w:val="18"/>
          <w:szCs w:val="18"/>
        </w:rPr>
        <w:t>corative items, but sacred items spatially specific to the aforementioned communities, not all North American Indigenous communities (RSM 2021).</w:t>
      </w:r>
    </w:p>
  </w:footnote>
  <w:footnote w:id="10">
    <w:p w14:paraId="0344A890" w14:textId="77777777" w:rsidR="009F0C56" w:rsidRDefault="00653842">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The idea of hard and soft power was discussed during the theory chapter, with Gramsci’s theory of influence and coercion/ force.</w:t>
      </w:r>
    </w:p>
  </w:footnote>
  <w:footnote w:id="11">
    <w:p w14:paraId="7C035DA6" w14:textId="77777777" w:rsidR="009F0C56" w:rsidRDefault="00653842">
      <w:pPr>
        <w:pBdr>
          <w:top w:val="nil"/>
          <w:left w:val="nil"/>
          <w:bottom w:val="nil"/>
          <w:right w:val="nil"/>
          <w:between w:val="nil"/>
        </w:pBdr>
        <w:spacing w:after="0" w:line="240" w:lineRule="auto"/>
        <w:rPr>
          <w:rFonts w:ascii="Arial" w:eastAsia="Arial" w:hAnsi="Arial" w:cs="Arial"/>
          <w:color w:val="000000"/>
          <w:sz w:val="18"/>
          <w:szCs w:val="18"/>
        </w:rPr>
      </w:pPr>
      <w:r>
        <w:rPr>
          <w:rStyle w:val="FootnoteReference"/>
        </w:rPr>
        <w:footnoteRef/>
      </w:r>
      <w:r>
        <w:rPr>
          <w:color w:val="000000"/>
          <w:sz w:val="20"/>
          <w:szCs w:val="20"/>
        </w:rPr>
        <w:t xml:space="preserve"> </w:t>
      </w:r>
      <w:r>
        <w:rPr>
          <w:rFonts w:ascii="Arial" w:eastAsia="Arial" w:hAnsi="Arial" w:cs="Arial"/>
          <w:color w:val="000000"/>
          <w:sz w:val="18"/>
          <w:szCs w:val="18"/>
        </w:rPr>
        <w:t xml:space="preserve">The choice of lumen-proletariat a Marxist language typically relates to a section of the proletariat who do and do not wish to engage with their alienation of labour. However, this work will be using Robinsons analysis in Black Marxism (2000), which also drives a racial element, where the lumen-proletariat despite being faced with racial capitalism choose not to engage with the racial capital elements present. As is noted here with the image and the names of Seminole inn and Indiantown. </w:t>
      </w:r>
    </w:p>
    <w:p w14:paraId="282C9222" w14:textId="77777777" w:rsidR="009F0C56" w:rsidRDefault="009F0C56">
      <w:pPr>
        <w:pBdr>
          <w:top w:val="nil"/>
          <w:left w:val="nil"/>
          <w:bottom w:val="nil"/>
          <w:right w:val="nil"/>
          <w:between w:val="nil"/>
        </w:pBdr>
        <w:spacing w:after="0" w:line="240" w:lineRule="auto"/>
        <w:rPr>
          <w:color w:val="000000"/>
          <w:sz w:val="20"/>
          <w:szCs w:val="20"/>
        </w:rPr>
      </w:pPr>
    </w:p>
  </w:footnote>
  <w:footnote w:id="12">
    <w:p w14:paraId="50EEF140" w14:textId="77777777" w:rsidR="009F0C56" w:rsidRDefault="00653842">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w:t>
      </w:r>
      <w:r>
        <w:rPr>
          <w:rFonts w:ascii="Arial" w:eastAsia="Arial" w:hAnsi="Arial" w:cs="Arial"/>
          <w:color w:val="000000"/>
          <w:sz w:val="18"/>
          <w:szCs w:val="18"/>
        </w:rPr>
        <w:t>Romantic bricolage is a term built on from Barkes (2021) work on settler bricolage. Romantic bricolage draws on literary perrichlismo from Mategui and Barkers bricolage, in how settler society distorts realities of language, knowledge and aesthetics through a romanticised settler creation of Indigeneity. Which materialises through settler society adopting elements of Indigenous culture but reifying it through a romantic lens that appeases Settler need for historical consolidation. E.g. Romantic bricolage is</w:t>
      </w:r>
      <w:r>
        <w:rPr>
          <w:rFonts w:ascii="Arial" w:eastAsia="Arial" w:hAnsi="Arial" w:cs="Arial"/>
          <w:color w:val="000000"/>
          <w:sz w:val="18"/>
          <w:szCs w:val="18"/>
        </w:rPr>
        <w:t xml:space="preserve"> a form of white saviourism through re-imagining Indigeneity.</w:t>
      </w:r>
      <w:r>
        <w:rPr>
          <w:rFonts w:ascii="Times New Roman" w:eastAsia="Times New Roman" w:hAnsi="Times New Roman" w:cs="Times New Roman"/>
          <w:color w:val="000000"/>
          <w:sz w:val="18"/>
          <w:szCs w:val="18"/>
        </w:rPr>
        <w:t xml:space="preserve">  </w:t>
      </w:r>
    </w:p>
  </w:footnote>
  <w:footnote w:id="13">
    <w:p w14:paraId="79AA085A" w14:textId="77777777" w:rsidR="009F0C56" w:rsidRDefault="00653842">
      <w:pPr>
        <w:pBdr>
          <w:top w:val="nil"/>
          <w:left w:val="nil"/>
          <w:bottom w:val="nil"/>
          <w:right w:val="nil"/>
          <w:between w:val="nil"/>
        </w:pBdr>
        <w:spacing w:after="0" w:line="240" w:lineRule="auto"/>
        <w:rPr>
          <w:rFonts w:ascii="Arial" w:eastAsia="Arial" w:hAnsi="Arial" w:cs="Arial"/>
          <w:color w:val="000000"/>
          <w:sz w:val="18"/>
          <w:szCs w:val="18"/>
        </w:rPr>
      </w:pPr>
      <w:r>
        <w:rPr>
          <w:rStyle w:val="FootnoteReference"/>
        </w:rPr>
        <w:footnoteRef/>
      </w:r>
      <w:r>
        <w:rPr>
          <w:color w:val="000000"/>
          <w:sz w:val="20"/>
          <w:szCs w:val="20"/>
        </w:rPr>
        <w:t xml:space="preserve"> </w:t>
      </w:r>
      <w:r>
        <w:rPr>
          <w:rFonts w:ascii="Arial" w:eastAsia="Arial" w:hAnsi="Arial" w:cs="Arial"/>
          <w:color w:val="000000"/>
          <w:sz w:val="18"/>
          <w:szCs w:val="18"/>
        </w:rPr>
        <w:t xml:space="preserve">The poem has been chosen to be kept in full as by selectively choosing elements over others, the poem loses an emotional elements that positions the anguish of land between Indigenous communities and settlers. </w:t>
      </w:r>
    </w:p>
  </w:footnote>
  <w:footnote w:id="14">
    <w:p w14:paraId="0B0F5850" w14:textId="77777777" w:rsidR="009F0C56" w:rsidRDefault="00653842">
      <w:pPr>
        <w:pBdr>
          <w:top w:val="nil"/>
          <w:left w:val="nil"/>
          <w:bottom w:val="nil"/>
          <w:right w:val="nil"/>
          <w:between w:val="nil"/>
        </w:pBdr>
        <w:spacing w:after="0" w:line="240" w:lineRule="auto"/>
        <w:rPr>
          <w:rFonts w:ascii="Arial" w:eastAsia="Arial" w:hAnsi="Arial" w:cs="Arial"/>
          <w:color w:val="000000"/>
          <w:sz w:val="18"/>
          <w:szCs w:val="18"/>
        </w:rPr>
      </w:pPr>
      <w:r>
        <w:rPr>
          <w:rStyle w:val="FootnoteReference"/>
        </w:rPr>
        <w:footnoteRef/>
      </w:r>
      <w:r>
        <w:rPr>
          <w:rFonts w:ascii="Arial" w:eastAsia="Arial" w:hAnsi="Arial" w:cs="Arial"/>
          <w:sz w:val="22"/>
          <w:szCs w:val="22"/>
        </w:rPr>
        <w:t xml:space="preserve"> </w:t>
      </w:r>
      <w:r>
        <w:rPr>
          <w:rFonts w:ascii="Arial" w:eastAsia="Arial" w:hAnsi="Arial" w:cs="Arial"/>
          <w:color w:val="000000"/>
          <w:sz w:val="18"/>
          <w:szCs w:val="18"/>
        </w:rPr>
        <w:t xml:space="preserve">Here Cordova is also relating to Hegels concept of Spirit/Geist, which is concerned with the idea of the collective consciousness of a society.  </w:t>
      </w:r>
    </w:p>
    <w:p w14:paraId="66BBB307" w14:textId="77777777" w:rsidR="009F0C56" w:rsidRDefault="009F0C56">
      <w:pPr>
        <w:pBdr>
          <w:top w:val="nil"/>
          <w:left w:val="nil"/>
          <w:bottom w:val="nil"/>
          <w:right w:val="nil"/>
          <w:between w:val="nil"/>
        </w:pBdr>
        <w:spacing w:after="0" w:line="240" w:lineRule="auto"/>
        <w:rPr>
          <w:color w:val="000000"/>
          <w:sz w:val="20"/>
          <w:szCs w:val="20"/>
        </w:rPr>
      </w:pPr>
    </w:p>
  </w:footnote>
  <w:footnote w:id="15">
    <w:p w14:paraId="49CFF5B3" w14:textId="77777777" w:rsidR="009F0C56" w:rsidRDefault="00653842">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w:t>
      </w:r>
      <w:r>
        <w:rPr>
          <w:rFonts w:ascii="Arial" w:eastAsia="Arial" w:hAnsi="Arial" w:cs="Arial"/>
          <w:color w:val="000000"/>
          <w:sz w:val="18"/>
          <w:szCs w:val="18"/>
        </w:rPr>
        <w:t>During the ethnographic research, this settler care of the panther became evident with Indigenous medicine practices that used the panther quickly becoming illegal as well as settler tourist sites like Flamingo land (a conservation area) that has Florida panthers being economically supported through settler donations.</w:t>
      </w:r>
      <w:r>
        <w:rPr>
          <w:color w:val="000000"/>
          <w:sz w:val="18"/>
          <w:szCs w:val="18"/>
        </w:rPr>
        <w:t xml:space="preserve"> </w:t>
      </w:r>
    </w:p>
  </w:footnote>
  <w:footnote w:id="16">
    <w:p w14:paraId="4A11ABEB" w14:textId="77777777" w:rsidR="009F0C56" w:rsidRDefault="00653842">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The use non-settler people here being used over the term western people. When geographically discussing the Global South, this term would better apply. However, with the US, understood as part of the Western world. Using western as the anthesis of the Seminole and Miccosukee acts as form of racially othering them away from society.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8784B"/>
    <w:multiLevelType w:val="multilevel"/>
    <w:tmpl w:val="2E164D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0507C74"/>
    <w:multiLevelType w:val="multilevel"/>
    <w:tmpl w:val="A8B22BE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EB75E86"/>
    <w:multiLevelType w:val="multilevel"/>
    <w:tmpl w:val="EFE22F7C"/>
    <w:lvl w:ilvl="0">
      <w:start w:val="1"/>
      <w:numFmt w:val="decimal"/>
      <w:lvlText w:val="%1.0"/>
      <w:lvlJc w:val="left"/>
      <w:pPr>
        <w:ind w:left="670" w:hanging="670"/>
      </w:pPr>
    </w:lvl>
    <w:lvl w:ilvl="1">
      <w:start w:val="1"/>
      <w:numFmt w:val="decimal"/>
      <w:lvlText w:val="%1.%2"/>
      <w:lvlJc w:val="left"/>
      <w:pPr>
        <w:ind w:left="1390" w:hanging="67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3" w15:restartNumberingAfterBreak="0">
    <w:nsid w:val="3A7B2F37"/>
    <w:multiLevelType w:val="multilevel"/>
    <w:tmpl w:val="014E750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BFB39F0"/>
    <w:multiLevelType w:val="multilevel"/>
    <w:tmpl w:val="B59228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9641F5D"/>
    <w:multiLevelType w:val="multilevel"/>
    <w:tmpl w:val="E728AD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0BC36AE"/>
    <w:multiLevelType w:val="multilevel"/>
    <w:tmpl w:val="CE6A5EE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75645C43"/>
    <w:multiLevelType w:val="multilevel"/>
    <w:tmpl w:val="97F4D21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7E861F70"/>
    <w:multiLevelType w:val="multilevel"/>
    <w:tmpl w:val="22381F5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87564604">
    <w:abstractNumId w:val="8"/>
  </w:num>
  <w:num w:numId="2" w16cid:durableId="485821413">
    <w:abstractNumId w:val="3"/>
  </w:num>
  <w:num w:numId="3" w16cid:durableId="669598213">
    <w:abstractNumId w:val="2"/>
  </w:num>
  <w:num w:numId="4" w16cid:durableId="785462062">
    <w:abstractNumId w:val="0"/>
  </w:num>
  <w:num w:numId="5" w16cid:durableId="881552488">
    <w:abstractNumId w:val="7"/>
  </w:num>
  <w:num w:numId="6" w16cid:durableId="1424454997">
    <w:abstractNumId w:val="6"/>
  </w:num>
  <w:num w:numId="7" w16cid:durableId="877156834">
    <w:abstractNumId w:val="5"/>
  </w:num>
  <w:num w:numId="8" w16cid:durableId="1974411053">
    <w:abstractNumId w:val="1"/>
  </w:num>
  <w:num w:numId="9" w16cid:durableId="9959619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C56"/>
    <w:rsid w:val="0056397C"/>
    <w:rsid w:val="00653842"/>
    <w:rsid w:val="009F0C56"/>
    <w:rsid w:val="00CF2C48"/>
    <w:rsid w:val="00E40CD6"/>
    <w:rsid w:val="00F444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1B35A"/>
  <w15:docId w15:val="{5ED55E34-EE45-462C-A736-E760B38CB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F963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63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63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F963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963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963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63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63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63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63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63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6300"/>
    <w:rPr>
      <w:rFonts w:eastAsiaTheme="majorEastAsia" w:cstheme="majorBidi"/>
      <w:color w:val="272727" w:themeColor="text1" w:themeTint="D8"/>
    </w:rPr>
  </w:style>
  <w:style w:type="character" w:customStyle="1" w:styleId="TitleChar">
    <w:name w:val="Title Char"/>
    <w:basedOn w:val="DefaultParagraphFont"/>
    <w:link w:val="Title"/>
    <w:uiPriority w:val="10"/>
    <w:rsid w:val="00F9630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F963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6300"/>
    <w:pPr>
      <w:spacing w:before="160"/>
      <w:jc w:val="center"/>
    </w:pPr>
    <w:rPr>
      <w:i/>
      <w:iCs/>
      <w:color w:val="404040" w:themeColor="text1" w:themeTint="BF"/>
    </w:rPr>
  </w:style>
  <w:style w:type="character" w:customStyle="1" w:styleId="QuoteChar">
    <w:name w:val="Quote Char"/>
    <w:basedOn w:val="DefaultParagraphFont"/>
    <w:link w:val="Quote"/>
    <w:uiPriority w:val="29"/>
    <w:rsid w:val="00F96300"/>
    <w:rPr>
      <w:i/>
      <w:iCs/>
      <w:color w:val="404040" w:themeColor="text1" w:themeTint="BF"/>
    </w:rPr>
  </w:style>
  <w:style w:type="paragraph" w:styleId="ListParagraph">
    <w:name w:val="List Paragraph"/>
    <w:basedOn w:val="Normal"/>
    <w:uiPriority w:val="34"/>
    <w:qFormat/>
    <w:rsid w:val="00F96300"/>
    <w:pPr>
      <w:ind w:left="720"/>
      <w:contextualSpacing/>
    </w:pPr>
  </w:style>
  <w:style w:type="character" w:styleId="IntenseEmphasis">
    <w:name w:val="Intense Emphasis"/>
    <w:basedOn w:val="DefaultParagraphFont"/>
    <w:uiPriority w:val="21"/>
    <w:qFormat/>
    <w:rsid w:val="00F96300"/>
    <w:rPr>
      <w:i/>
      <w:iCs/>
      <w:color w:val="0F4761" w:themeColor="accent1" w:themeShade="BF"/>
    </w:rPr>
  </w:style>
  <w:style w:type="paragraph" w:styleId="IntenseQuote">
    <w:name w:val="Intense Quote"/>
    <w:basedOn w:val="Normal"/>
    <w:next w:val="Normal"/>
    <w:link w:val="IntenseQuoteChar"/>
    <w:uiPriority w:val="30"/>
    <w:qFormat/>
    <w:rsid w:val="00F963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6300"/>
    <w:rPr>
      <w:i/>
      <w:iCs/>
      <w:color w:val="0F4761" w:themeColor="accent1" w:themeShade="BF"/>
    </w:rPr>
  </w:style>
  <w:style w:type="character" w:styleId="IntenseReference">
    <w:name w:val="Intense Reference"/>
    <w:basedOn w:val="DefaultParagraphFont"/>
    <w:uiPriority w:val="32"/>
    <w:qFormat/>
    <w:rsid w:val="00F96300"/>
    <w:rPr>
      <w:b/>
      <w:bCs/>
      <w:smallCaps/>
      <w:color w:val="0F4761" w:themeColor="accent1" w:themeShade="BF"/>
      <w:spacing w:val="5"/>
    </w:rPr>
  </w:style>
  <w:style w:type="paragraph" w:styleId="NormalWeb">
    <w:name w:val="Normal (Web)"/>
    <w:basedOn w:val="Normal"/>
    <w:uiPriority w:val="99"/>
    <w:unhideWhenUsed/>
    <w:rsid w:val="00F96300"/>
    <w:pPr>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F96300"/>
    <w:rPr>
      <w:b/>
      <w:bCs/>
    </w:rPr>
  </w:style>
  <w:style w:type="character" w:styleId="Emphasis">
    <w:name w:val="Emphasis"/>
    <w:basedOn w:val="DefaultParagraphFont"/>
    <w:uiPriority w:val="20"/>
    <w:qFormat/>
    <w:rsid w:val="00F96300"/>
    <w:rPr>
      <w:i/>
      <w:iCs/>
    </w:rPr>
  </w:style>
  <w:style w:type="paragraph" w:styleId="CommentText">
    <w:name w:val="annotation text"/>
    <w:basedOn w:val="Normal"/>
    <w:link w:val="CommentTextChar"/>
    <w:uiPriority w:val="99"/>
    <w:unhideWhenUsed/>
    <w:rsid w:val="00D11788"/>
    <w:pPr>
      <w:spacing w:line="240" w:lineRule="auto"/>
    </w:pPr>
    <w:rPr>
      <w:sz w:val="20"/>
      <w:szCs w:val="20"/>
    </w:rPr>
  </w:style>
  <w:style w:type="character" w:customStyle="1" w:styleId="CommentTextChar">
    <w:name w:val="Comment Text Char"/>
    <w:basedOn w:val="DefaultParagraphFont"/>
    <w:link w:val="CommentText"/>
    <w:uiPriority w:val="99"/>
    <w:rsid w:val="00D11788"/>
    <w:rPr>
      <w:rFonts w:ascii="Aptos" w:eastAsia="Aptos" w:hAnsi="Aptos" w:cs="Aptos"/>
      <w:kern w:val="0"/>
      <w:sz w:val="20"/>
      <w:szCs w:val="20"/>
      <w:lang w:eastAsia="en-GB"/>
    </w:rPr>
  </w:style>
  <w:style w:type="character" w:styleId="CommentReference">
    <w:name w:val="annotation reference"/>
    <w:basedOn w:val="DefaultParagraphFont"/>
    <w:uiPriority w:val="99"/>
    <w:semiHidden/>
    <w:unhideWhenUsed/>
    <w:rsid w:val="00D11788"/>
    <w:rPr>
      <w:sz w:val="16"/>
      <w:szCs w:val="16"/>
    </w:rPr>
  </w:style>
  <w:style w:type="character" w:customStyle="1" w:styleId="cf01">
    <w:name w:val="cf01"/>
    <w:basedOn w:val="DefaultParagraphFont"/>
    <w:rsid w:val="00D11788"/>
    <w:rPr>
      <w:rFonts w:ascii="Segoe UI" w:hAnsi="Segoe UI" w:cs="Segoe UI" w:hint="default"/>
      <w:sz w:val="18"/>
      <w:szCs w:val="18"/>
    </w:rPr>
  </w:style>
  <w:style w:type="paragraph" w:styleId="CommentSubject">
    <w:name w:val="annotation subject"/>
    <w:basedOn w:val="CommentText"/>
    <w:next w:val="CommentText"/>
    <w:link w:val="CommentSubjectChar"/>
    <w:uiPriority w:val="99"/>
    <w:semiHidden/>
    <w:unhideWhenUsed/>
    <w:rsid w:val="00D11788"/>
    <w:rPr>
      <w:b/>
      <w:bCs/>
    </w:rPr>
  </w:style>
  <w:style w:type="character" w:customStyle="1" w:styleId="CommentSubjectChar">
    <w:name w:val="Comment Subject Char"/>
    <w:basedOn w:val="CommentTextChar"/>
    <w:link w:val="CommentSubject"/>
    <w:uiPriority w:val="99"/>
    <w:semiHidden/>
    <w:rsid w:val="00D11788"/>
    <w:rPr>
      <w:rFonts w:ascii="Aptos" w:eastAsia="Aptos" w:hAnsi="Aptos" w:cs="Aptos"/>
      <w:b/>
      <w:bCs/>
      <w:kern w:val="0"/>
      <w:sz w:val="20"/>
      <w:szCs w:val="20"/>
      <w:lang w:eastAsia="en-GB"/>
    </w:rPr>
  </w:style>
  <w:style w:type="paragraph" w:customStyle="1" w:styleId="pf0">
    <w:name w:val="pf0"/>
    <w:basedOn w:val="Normal"/>
    <w:rsid w:val="00D11788"/>
    <w:pPr>
      <w:spacing w:before="100" w:beforeAutospacing="1" w:after="100" w:afterAutospacing="1" w:line="240" w:lineRule="auto"/>
    </w:pPr>
    <w:rPr>
      <w:rFonts w:ascii="Times New Roman" w:eastAsia="Times New Roman" w:hAnsi="Times New Roman" w:cs="Times New Roman"/>
    </w:rPr>
  </w:style>
  <w:style w:type="paragraph" w:styleId="FootnoteText">
    <w:name w:val="footnote text"/>
    <w:basedOn w:val="Normal"/>
    <w:link w:val="FootnoteTextChar"/>
    <w:uiPriority w:val="99"/>
    <w:semiHidden/>
    <w:unhideWhenUsed/>
    <w:rsid w:val="00D1178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1788"/>
    <w:rPr>
      <w:rFonts w:ascii="Aptos" w:eastAsia="Aptos" w:hAnsi="Aptos" w:cs="Aptos"/>
      <w:kern w:val="0"/>
      <w:sz w:val="20"/>
      <w:szCs w:val="20"/>
      <w:lang w:eastAsia="en-GB"/>
    </w:rPr>
  </w:style>
  <w:style w:type="character" w:styleId="FootnoteReference">
    <w:name w:val="footnote reference"/>
    <w:basedOn w:val="DefaultParagraphFont"/>
    <w:uiPriority w:val="99"/>
    <w:semiHidden/>
    <w:unhideWhenUsed/>
    <w:rsid w:val="00D11788"/>
    <w:rPr>
      <w:vertAlign w:val="superscript"/>
    </w:rPr>
  </w:style>
  <w:style w:type="paragraph" w:styleId="EndnoteText">
    <w:name w:val="endnote text"/>
    <w:basedOn w:val="Normal"/>
    <w:link w:val="EndnoteTextChar"/>
    <w:uiPriority w:val="99"/>
    <w:semiHidden/>
    <w:unhideWhenUsed/>
    <w:rsid w:val="00D1178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11788"/>
    <w:rPr>
      <w:rFonts w:ascii="Aptos" w:eastAsia="Aptos" w:hAnsi="Aptos" w:cs="Aptos"/>
      <w:kern w:val="0"/>
      <w:sz w:val="20"/>
      <w:szCs w:val="20"/>
      <w:lang w:eastAsia="en-GB"/>
    </w:rPr>
  </w:style>
  <w:style w:type="character" w:styleId="EndnoteReference">
    <w:name w:val="endnote reference"/>
    <w:basedOn w:val="DefaultParagraphFont"/>
    <w:uiPriority w:val="99"/>
    <w:semiHidden/>
    <w:unhideWhenUsed/>
    <w:rsid w:val="00D11788"/>
    <w:rPr>
      <w:vertAlign w:val="superscript"/>
    </w:rPr>
  </w:style>
  <w:style w:type="numbering" w:customStyle="1" w:styleId="NoList1">
    <w:name w:val="No List1"/>
    <w:next w:val="NoList"/>
    <w:uiPriority w:val="99"/>
    <w:semiHidden/>
    <w:unhideWhenUsed/>
    <w:rsid w:val="005E727F"/>
  </w:style>
  <w:style w:type="paragraph" w:styleId="PlainText">
    <w:name w:val="Plain Text"/>
    <w:basedOn w:val="Normal"/>
    <w:link w:val="PlainTextChar"/>
    <w:uiPriority w:val="99"/>
    <w:semiHidden/>
    <w:unhideWhenUsed/>
    <w:rsid w:val="005E727F"/>
    <w:pPr>
      <w:spacing w:after="0" w:line="240" w:lineRule="auto"/>
    </w:pPr>
    <w:rPr>
      <w:rFonts w:ascii="Calibri" w:eastAsia="Times New Roman" w:hAnsi="Calibri"/>
      <w:sz w:val="22"/>
      <w:szCs w:val="21"/>
    </w:rPr>
  </w:style>
  <w:style w:type="character" w:customStyle="1" w:styleId="PlainTextChar">
    <w:name w:val="Plain Text Char"/>
    <w:basedOn w:val="DefaultParagraphFont"/>
    <w:link w:val="PlainText"/>
    <w:uiPriority w:val="99"/>
    <w:semiHidden/>
    <w:rsid w:val="005E727F"/>
    <w:rPr>
      <w:rFonts w:ascii="Calibri" w:eastAsia="Times New Roman" w:hAnsi="Calibri"/>
      <w:sz w:val="22"/>
      <w:szCs w:val="21"/>
    </w:rPr>
  </w:style>
  <w:style w:type="paragraph" w:styleId="Header">
    <w:name w:val="header"/>
    <w:basedOn w:val="Normal"/>
    <w:link w:val="HeaderChar"/>
    <w:uiPriority w:val="99"/>
    <w:unhideWhenUsed/>
    <w:rsid w:val="005E72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727F"/>
    <w:rPr>
      <w:rFonts w:ascii="Aptos" w:eastAsia="Aptos" w:hAnsi="Aptos" w:cs="Aptos"/>
      <w:kern w:val="0"/>
      <w:lang w:eastAsia="en-GB"/>
    </w:rPr>
  </w:style>
  <w:style w:type="paragraph" w:styleId="Footer">
    <w:name w:val="footer"/>
    <w:basedOn w:val="Normal"/>
    <w:link w:val="FooterChar"/>
    <w:uiPriority w:val="99"/>
    <w:unhideWhenUsed/>
    <w:rsid w:val="005E72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727F"/>
    <w:rPr>
      <w:rFonts w:ascii="Aptos" w:eastAsia="Aptos" w:hAnsi="Aptos" w:cs="Aptos"/>
      <w:kern w:val="0"/>
      <w:lang w:eastAsia="en-GB"/>
    </w:rPr>
  </w:style>
  <w:style w:type="character" w:customStyle="1" w:styleId="fadeinm1hgl8">
    <w:name w:val="_fadein_m1hgl_8"/>
    <w:basedOn w:val="DefaultParagraphFont"/>
    <w:rsid w:val="005E727F"/>
  </w:style>
  <w:style w:type="character" w:customStyle="1" w:styleId="r-search-result">
    <w:name w:val="r-search-result"/>
    <w:basedOn w:val="DefaultParagraphFont"/>
    <w:rsid w:val="00AA4799"/>
  </w:style>
  <w:style w:type="character" w:customStyle="1" w:styleId="jpfdse">
    <w:name w:val="jpfdse"/>
    <w:basedOn w:val="DefaultParagraphFont"/>
    <w:rsid w:val="00AA4799"/>
  </w:style>
  <w:style w:type="paragraph" w:styleId="TOCHeading">
    <w:name w:val="TOC Heading"/>
    <w:basedOn w:val="Heading1"/>
    <w:next w:val="Normal"/>
    <w:uiPriority w:val="39"/>
    <w:unhideWhenUsed/>
    <w:qFormat/>
    <w:rsid w:val="003360E4"/>
    <w:pPr>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3360E4"/>
    <w:pPr>
      <w:tabs>
        <w:tab w:val="right" w:leader="dot" w:pos="9016"/>
      </w:tabs>
      <w:spacing w:after="100"/>
    </w:pPr>
    <w:rPr>
      <w:rFonts w:ascii="Arial" w:hAnsi="Arial" w:cs="Arial"/>
      <w:b/>
      <w:bCs/>
      <w:noProof/>
    </w:rPr>
  </w:style>
  <w:style w:type="paragraph" w:styleId="TOC2">
    <w:name w:val="toc 2"/>
    <w:basedOn w:val="Normal"/>
    <w:next w:val="Normal"/>
    <w:autoRedefine/>
    <w:uiPriority w:val="39"/>
    <w:unhideWhenUsed/>
    <w:rsid w:val="003360E4"/>
    <w:pPr>
      <w:spacing w:after="100"/>
      <w:ind w:left="240"/>
    </w:pPr>
  </w:style>
  <w:style w:type="paragraph" w:styleId="TOC3">
    <w:name w:val="toc 3"/>
    <w:basedOn w:val="Normal"/>
    <w:next w:val="Normal"/>
    <w:autoRedefine/>
    <w:uiPriority w:val="39"/>
    <w:unhideWhenUsed/>
    <w:rsid w:val="003360E4"/>
    <w:pPr>
      <w:spacing w:after="100"/>
      <w:ind w:left="480"/>
    </w:pPr>
  </w:style>
  <w:style w:type="paragraph" w:styleId="TOC4">
    <w:name w:val="toc 4"/>
    <w:basedOn w:val="Normal"/>
    <w:next w:val="Normal"/>
    <w:autoRedefine/>
    <w:uiPriority w:val="39"/>
    <w:unhideWhenUsed/>
    <w:rsid w:val="003360E4"/>
    <w:pPr>
      <w:spacing w:after="100"/>
      <w:ind w:left="720"/>
    </w:pPr>
    <w:rPr>
      <w:rFonts w:eastAsiaTheme="minorEastAsia"/>
    </w:rPr>
  </w:style>
  <w:style w:type="paragraph" w:styleId="TOC5">
    <w:name w:val="toc 5"/>
    <w:basedOn w:val="Normal"/>
    <w:next w:val="Normal"/>
    <w:autoRedefine/>
    <w:uiPriority w:val="39"/>
    <w:unhideWhenUsed/>
    <w:rsid w:val="003360E4"/>
    <w:pPr>
      <w:spacing w:after="100"/>
      <w:ind w:left="960"/>
    </w:pPr>
    <w:rPr>
      <w:rFonts w:eastAsiaTheme="minorEastAsia"/>
    </w:rPr>
  </w:style>
  <w:style w:type="paragraph" w:styleId="TOC6">
    <w:name w:val="toc 6"/>
    <w:basedOn w:val="Normal"/>
    <w:next w:val="Normal"/>
    <w:autoRedefine/>
    <w:uiPriority w:val="39"/>
    <w:unhideWhenUsed/>
    <w:rsid w:val="003360E4"/>
    <w:pPr>
      <w:spacing w:after="100"/>
      <w:ind w:left="1200"/>
    </w:pPr>
    <w:rPr>
      <w:rFonts w:eastAsiaTheme="minorEastAsia"/>
    </w:rPr>
  </w:style>
  <w:style w:type="paragraph" w:styleId="TOC7">
    <w:name w:val="toc 7"/>
    <w:basedOn w:val="Normal"/>
    <w:next w:val="Normal"/>
    <w:autoRedefine/>
    <w:uiPriority w:val="39"/>
    <w:unhideWhenUsed/>
    <w:rsid w:val="003360E4"/>
    <w:pPr>
      <w:spacing w:after="100"/>
      <w:ind w:left="1440"/>
    </w:pPr>
    <w:rPr>
      <w:rFonts w:eastAsiaTheme="minorEastAsia"/>
    </w:rPr>
  </w:style>
  <w:style w:type="paragraph" w:styleId="TOC8">
    <w:name w:val="toc 8"/>
    <w:basedOn w:val="Normal"/>
    <w:next w:val="Normal"/>
    <w:autoRedefine/>
    <w:uiPriority w:val="39"/>
    <w:unhideWhenUsed/>
    <w:rsid w:val="003360E4"/>
    <w:pPr>
      <w:spacing w:after="100"/>
      <w:ind w:left="1680"/>
    </w:pPr>
    <w:rPr>
      <w:rFonts w:eastAsiaTheme="minorEastAsia"/>
    </w:rPr>
  </w:style>
  <w:style w:type="paragraph" w:styleId="TOC9">
    <w:name w:val="toc 9"/>
    <w:basedOn w:val="Normal"/>
    <w:next w:val="Normal"/>
    <w:autoRedefine/>
    <w:uiPriority w:val="39"/>
    <w:unhideWhenUsed/>
    <w:rsid w:val="003360E4"/>
    <w:pPr>
      <w:spacing w:after="100"/>
      <w:ind w:left="1920"/>
    </w:pPr>
    <w:rPr>
      <w:rFonts w:eastAsiaTheme="minorEastAsia"/>
    </w:rPr>
  </w:style>
  <w:style w:type="character" w:styleId="Hyperlink">
    <w:name w:val="Hyperlink"/>
    <w:basedOn w:val="DefaultParagraphFont"/>
    <w:uiPriority w:val="99"/>
    <w:unhideWhenUsed/>
    <w:rsid w:val="003360E4"/>
    <w:rPr>
      <w:color w:val="467886" w:themeColor="hyperlink"/>
      <w:u w:val="single"/>
    </w:rPr>
  </w:style>
  <w:style w:type="character" w:styleId="UnresolvedMention">
    <w:name w:val="Unresolved Mention"/>
    <w:basedOn w:val="DefaultParagraphFont"/>
    <w:uiPriority w:val="99"/>
    <w:semiHidden/>
    <w:unhideWhenUsed/>
    <w:rsid w:val="003360E4"/>
    <w:rPr>
      <w:color w:val="605E5C"/>
      <w:shd w:val="clear" w:color="auto" w:fill="E1DFDD"/>
    </w:rPr>
  </w:style>
  <w:style w:type="paragraph" w:customStyle="1" w:styleId="Default">
    <w:name w:val="Default"/>
    <w:rsid w:val="00C64291"/>
    <w:pPr>
      <w:autoSpaceDE w:val="0"/>
      <w:autoSpaceDN w:val="0"/>
      <w:adjustRightInd w:val="0"/>
      <w:spacing w:after="0" w:line="240" w:lineRule="auto"/>
    </w:pPr>
    <w:rPr>
      <w:rFonts w:ascii="Calibri" w:hAnsi="Calibri" w:cs="Calibri"/>
      <w:color w:val="000000"/>
    </w:rPr>
  </w:style>
  <w:style w:type="character" w:customStyle="1" w:styleId="authors">
    <w:name w:val="authors"/>
    <w:basedOn w:val="DefaultParagraphFont"/>
    <w:rsid w:val="00AC7EF5"/>
  </w:style>
  <w:style w:type="character" w:customStyle="1" w:styleId="Date1">
    <w:name w:val="Date1"/>
    <w:basedOn w:val="DefaultParagraphFont"/>
    <w:rsid w:val="00AC7EF5"/>
  </w:style>
  <w:style w:type="character" w:customStyle="1" w:styleId="arttitle">
    <w:name w:val="art_title"/>
    <w:basedOn w:val="DefaultParagraphFont"/>
    <w:rsid w:val="00AC7EF5"/>
  </w:style>
  <w:style w:type="character" w:customStyle="1" w:styleId="serialtitle">
    <w:name w:val="serial_title"/>
    <w:basedOn w:val="DefaultParagraphFont"/>
    <w:rsid w:val="00AC7EF5"/>
  </w:style>
  <w:style w:type="character" w:customStyle="1" w:styleId="volumeissue">
    <w:name w:val="volume_issue"/>
    <w:basedOn w:val="DefaultParagraphFont"/>
    <w:rsid w:val="00AC7EF5"/>
  </w:style>
  <w:style w:type="character" w:customStyle="1" w:styleId="pagerange">
    <w:name w:val="page_range"/>
    <w:basedOn w:val="DefaultParagraphFont"/>
    <w:rsid w:val="00AC7EF5"/>
  </w:style>
  <w:style w:type="character" w:customStyle="1" w:styleId="doilink">
    <w:name w:val="doi_link"/>
    <w:basedOn w:val="DefaultParagraphFont"/>
    <w:rsid w:val="00AC7EF5"/>
  </w:style>
  <w:style w:type="character" w:customStyle="1" w:styleId="html-italic">
    <w:name w:val="html-italic"/>
    <w:basedOn w:val="DefaultParagraphFont"/>
    <w:rsid w:val="00AC7EF5"/>
  </w:style>
  <w:style w:type="character" w:customStyle="1" w:styleId="personname">
    <w:name w:val="person_name"/>
    <w:basedOn w:val="DefaultParagraphFont"/>
    <w:rsid w:val="00AC7EF5"/>
  </w:style>
  <w:style w:type="character" w:styleId="FollowedHyperlink">
    <w:name w:val="FollowedHyperlink"/>
    <w:basedOn w:val="DefaultParagraphFont"/>
    <w:uiPriority w:val="99"/>
    <w:semiHidden/>
    <w:unhideWhenUsed/>
    <w:rsid w:val="00AC7EF5"/>
    <w:rPr>
      <w:color w:val="96607D" w:themeColor="followedHyperlink"/>
      <w:u w:val="single"/>
    </w:r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paragraph" w:customStyle="1" w:styleId="artifact-docx-previewheading2">
    <w:name w:val="artifact-docx-preview_heading2"/>
    <w:basedOn w:val="Normal"/>
    <w:rsid w:val="00766140"/>
    <w:pPr>
      <w:spacing w:before="100" w:beforeAutospacing="1" w:after="100" w:afterAutospacing="1" w:line="240" w:lineRule="auto"/>
    </w:pPr>
    <w:rPr>
      <w:rFonts w:ascii="Times New Roman" w:eastAsia="Times New Roman" w:hAnsi="Times New Roman" w:cs="Times New Roman"/>
    </w:r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doi.org/10.4324/9781315670669" TargetMode="External"/><Relationship Id="rId21" Type="http://schemas.openxmlformats.org/officeDocument/2006/relationships/image" Target="media/image13.jpg"/><Relationship Id="rId42" Type="http://schemas.openxmlformats.org/officeDocument/2006/relationships/hyperlink" Target="https://activisthistory.com/2019/11/22/changethedamnname-mtsu-student-activism-against-forrest-hall-white-supremacy-and-a-reparative-approach-to-heritage-preservation/" TargetMode="External"/><Relationship Id="rId63" Type="http://schemas.openxmlformats.org/officeDocument/2006/relationships/hyperlink" Target="https://doi.org/10.5749/jcritethnstud.5.1-2.0207" TargetMode="External"/><Relationship Id="rId84" Type="http://schemas.openxmlformats.org/officeDocument/2006/relationships/hyperlink" Target="https://doi.org/10.1080/09669582.2020.1803334" TargetMode="External"/><Relationship Id="rId138" Type="http://schemas.openxmlformats.org/officeDocument/2006/relationships/hyperlink" Target="https://doi.org/10.1111/cobi.13532" TargetMode="External"/><Relationship Id="rId159" Type="http://schemas.openxmlformats.org/officeDocument/2006/relationships/hyperlink" Target="https://doi.org/10.1080/14427591.2020.1824803" TargetMode="External"/><Relationship Id="rId170" Type="http://schemas.openxmlformats.org/officeDocument/2006/relationships/hyperlink" Target="https://doi.org/10.18573/agoriad.11" TargetMode="External"/><Relationship Id="rId107" Type="http://schemas.openxmlformats.org/officeDocument/2006/relationships/hyperlink" Target="https://ikdll.nau.edu/id/eprint/65/" TargetMode="External"/><Relationship Id="rId11" Type="http://schemas.openxmlformats.org/officeDocument/2006/relationships/image" Target="media/image3.jpg"/><Relationship Id="rId32" Type="http://schemas.openxmlformats.org/officeDocument/2006/relationships/image" Target="media/image22.png"/><Relationship Id="rId53" Type="http://schemas.openxmlformats.org/officeDocument/2006/relationships/hyperlink" Target="http://www.jstor.org/stable/26268978" TargetMode="External"/><Relationship Id="rId74" Type="http://schemas.openxmlformats.org/officeDocument/2006/relationships/hyperlink" Target="https://doi.org/10.1080/2201473X.2015.1035361" TargetMode="External"/><Relationship Id="rId128" Type="http://schemas.openxmlformats.org/officeDocument/2006/relationships/hyperlink" Target="https://doi.org/10.4324/9780203876329" TargetMode="External"/><Relationship Id="rId149" Type="http://schemas.openxmlformats.org/officeDocument/2006/relationships/hyperlink" Target="https://www.semtribe.com" TargetMode="External"/><Relationship Id="rId5" Type="http://schemas.openxmlformats.org/officeDocument/2006/relationships/webSettings" Target="webSettings.xml"/><Relationship Id="rId95" Type="http://schemas.openxmlformats.org/officeDocument/2006/relationships/hyperlink" Target="https://doi.org/10.1177/0969776415573778" TargetMode="External"/><Relationship Id="rId160" Type="http://schemas.openxmlformats.org/officeDocument/2006/relationships/hyperlink" Target="https://doi.org/10.1111/geoj.12417" TargetMode="External"/><Relationship Id="rId181" Type="http://schemas.openxmlformats.org/officeDocument/2006/relationships/fontTable" Target="fontTable.xml"/><Relationship Id="rId22" Type="http://schemas.openxmlformats.org/officeDocument/2006/relationships/image" Target="media/image14.png"/><Relationship Id="rId43" Type="http://schemas.openxmlformats.org/officeDocument/2006/relationships/hyperlink" Target="https://activisthistory.com/2019/11/22/changethedamnname-mtsu-student-activism-against-forrest-hall-white-supremacy-and-a-reparative-approach-to-heritage-preservation/" TargetMode="External"/><Relationship Id="rId64" Type="http://schemas.openxmlformats.org/officeDocument/2006/relationships/hyperlink" Target="https://doi.org/10.1080/10665684.2019.1672591" TargetMode="External"/><Relationship Id="rId118" Type="http://schemas.openxmlformats.org/officeDocument/2006/relationships/hyperlink" Target="https://doi.org/10.1080/13642987.2012.622139" TargetMode="External"/><Relationship Id="rId139" Type="http://schemas.openxmlformats.org/officeDocument/2006/relationships/hyperlink" Target="https://www.researchandmarkets.com/reports/5187384/global-sustainable-tourism-market-2021-2025" TargetMode="External"/><Relationship Id="rId85" Type="http://schemas.openxmlformats.org/officeDocument/2006/relationships/hyperlink" Target="https://gatorpark.com/miccosukee_indians.php" TargetMode="External"/><Relationship Id="rId150" Type="http://schemas.openxmlformats.org/officeDocument/2006/relationships/hyperlink" Target="https://www.semtribe.com/stof/enterprises/big-cypress-reservation" TargetMode="External"/><Relationship Id="rId171" Type="http://schemas.openxmlformats.org/officeDocument/2006/relationships/hyperlink" Target="https://doi.org/10.1080/00064246.1986.11414415" TargetMode="External"/><Relationship Id="rId12" Type="http://schemas.openxmlformats.org/officeDocument/2006/relationships/image" Target="media/image4.jpg"/><Relationship Id="rId33" Type="http://schemas.openxmlformats.org/officeDocument/2006/relationships/image" Target="media/image23.jpg"/><Relationship Id="rId108" Type="http://schemas.openxmlformats.org/officeDocument/2006/relationships/hyperlink" Target="https://doi.org/10.1080/14616688.2020.1768434" TargetMode="External"/><Relationship Id="rId129" Type="http://schemas.openxmlformats.org/officeDocument/2006/relationships/hyperlink" Target="https://doi.org/10.1177/03091325221085291" TargetMode="External"/><Relationship Id="rId54" Type="http://schemas.openxmlformats.org/officeDocument/2006/relationships/hyperlink" Target="http://www.jstor.org/stable/30138833" TargetMode="External"/><Relationship Id="rId75" Type="http://schemas.openxmlformats.org/officeDocument/2006/relationships/hyperlink" Target="https://doi.org/10.1080/13613324.2020.1772221" TargetMode="External"/><Relationship Id="rId96" Type="http://schemas.openxmlformats.org/officeDocument/2006/relationships/hyperlink" Target="https://escholarship.org/uc/item/01w7163v" TargetMode="External"/><Relationship Id="rId140" Type="http://schemas.openxmlformats.org/officeDocument/2006/relationships/hyperlink" Target="https://doi.org/10.1080/14680777.2019.1707256" TargetMode="External"/><Relationship Id="rId161" Type="http://schemas.openxmlformats.org/officeDocument/2006/relationships/hyperlink" Target="https://www.qualitative-research.net/index.php/fqs/article/download/3344/4511?inline=1" TargetMode="External"/><Relationship Id="rId182" Type="http://schemas.openxmlformats.org/officeDocument/2006/relationships/theme" Target="theme/theme1.xml"/><Relationship Id="rId6" Type="http://schemas.openxmlformats.org/officeDocument/2006/relationships/footnotes" Target="footnotes.xml"/><Relationship Id="rId23" Type="http://schemas.openxmlformats.org/officeDocument/2006/relationships/image" Target="media/image15.jpg"/><Relationship Id="rId119" Type="http://schemas.openxmlformats.org/officeDocument/2006/relationships/hyperlink" Target="https://escholarship.org/uc/item/98r86679" TargetMode="External"/><Relationship Id="rId44" Type="http://schemas.openxmlformats.org/officeDocument/2006/relationships/hyperlink" Target="https://doi.org/10.1080/09502380601164353" TargetMode="External"/><Relationship Id="rId60" Type="http://schemas.openxmlformats.org/officeDocument/2006/relationships/hyperlink" Target="https://doi.org/10.1080/13683500.2021.1990223" TargetMode="External"/><Relationship Id="rId65" Type="http://schemas.openxmlformats.org/officeDocument/2006/relationships/hyperlink" Target="https://doi.org/10.1080/10402381.2020.1839607" TargetMode="External"/><Relationship Id="rId81" Type="http://schemas.openxmlformats.org/officeDocument/2006/relationships/hyperlink" Target="https://escholarship.org/uc/item/1cc0c4tw" TargetMode="External"/><Relationship Id="rId86" Type="http://schemas.openxmlformats.org/officeDocument/2006/relationships/hyperlink" Target="https://doi.org/10.1177/0309132508090821" TargetMode="External"/><Relationship Id="rId130" Type="http://schemas.openxmlformats.org/officeDocument/2006/relationships/hyperlink" Target="https://dx.doi.org/10.1353/cwh.2023.a912507" TargetMode="External"/><Relationship Id="rId135" Type="http://schemas.openxmlformats.org/officeDocument/2006/relationships/hyperlink" Target="https://www.tandfonline.com/doi/full/10.1080/09502380601164353" TargetMode="External"/><Relationship Id="rId151" Type="http://schemas.openxmlformats.org/officeDocument/2006/relationships/hyperlink" Target="https://doi.org/10.1007/978-981-19-8722-9_3" TargetMode="External"/><Relationship Id="rId156" Type="http://schemas.openxmlformats.org/officeDocument/2006/relationships/hyperlink" Target="http://www.jstor.org/stable/24572957" TargetMode="External"/><Relationship Id="rId177" Type="http://schemas.openxmlformats.org/officeDocument/2006/relationships/hyperlink" Target="https://dx.doi.org/10.1353/soh.2022.0164" TargetMode="External"/><Relationship Id="rId172" Type="http://schemas.openxmlformats.org/officeDocument/2006/relationships/hyperlink" Target="https://doi.org/10.18357/ijcyfs.71201615676" TargetMode="External"/><Relationship Id="rId13" Type="http://schemas.openxmlformats.org/officeDocument/2006/relationships/image" Target="media/image5.jpg"/><Relationship Id="rId18" Type="http://schemas.openxmlformats.org/officeDocument/2006/relationships/image" Target="media/image10.jpg"/><Relationship Id="rId39" Type="http://schemas.openxmlformats.org/officeDocument/2006/relationships/hyperlink" Target="https://doi.org/10.4324/9781003187073" TargetMode="External"/><Relationship Id="rId109" Type="http://schemas.openxmlformats.org/officeDocument/2006/relationships/hyperlink" Target="https://doi.org/10.1002/fee.2435" TargetMode="External"/><Relationship Id="rId34" Type="http://schemas.openxmlformats.org/officeDocument/2006/relationships/image" Target="media/image24.png"/><Relationship Id="rId50" Type="http://schemas.openxmlformats.org/officeDocument/2006/relationships/hyperlink" Target="about:blank" TargetMode="External"/><Relationship Id="rId55" Type="http://schemas.openxmlformats.org/officeDocument/2006/relationships/hyperlink" Target="https://www.jstor.org/stable/27139416" TargetMode="External"/><Relationship Id="rId76" Type="http://schemas.openxmlformats.org/officeDocument/2006/relationships/hyperlink" Target="https://doi.org/10.1080/07352166.2022.2144336" TargetMode="External"/><Relationship Id="rId97" Type="http://schemas.openxmlformats.org/officeDocument/2006/relationships/hyperlink" Target="https://doi.org/10.1080/09502380601162514" TargetMode="External"/><Relationship Id="rId104" Type="http://schemas.openxmlformats.org/officeDocument/2006/relationships/hyperlink" Target="https://doi.org/10.1177/1474474013500226" TargetMode="External"/><Relationship Id="rId120" Type="http://schemas.openxmlformats.org/officeDocument/2006/relationships/hyperlink" Target="https://doi.org/10.1177/1350507617745275" TargetMode="External"/><Relationship Id="rId125" Type="http://schemas.openxmlformats.org/officeDocument/2006/relationships/hyperlink" Target="https://doi.org/10.1177/1177180120970939" TargetMode="External"/><Relationship Id="rId141" Type="http://schemas.openxmlformats.org/officeDocument/2006/relationships/hyperlink" Target="https://doi.org/10.1080/2201473X.2025.2511405" TargetMode="External"/><Relationship Id="rId146" Type="http://schemas.openxmlformats.org/officeDocument/2006/relationships/hyperlink" Target="https://doi.org/10.1177/0309132515580493" TargetMode="External"/><Relationship Id="rId167" Type="http://schemas.openxmlformats.org/officeDocument/2006/relationships/hyperlink" Target="https://www.unwto.org/sustainable-development" TargetMode="External"/><Relationship Id="rId7" Type="http://schemas.openxmlformats.org/officeDocument/2006/relationships/endnotes" Target="endnotes.xml"/><Relationship Id="rId71" Type="http://schemas.openxmlformats.org/officeDocument/2006/relationships/hyperlink" Target="http://www.jstor.org/stable/10.5749/j.ctt9qh3cv" TargetMode="External"/><Relationship Id="rId92" Type="http://schemas.openxmlformats.org/officeDocument/2006/relationships/hyperlink" Target="https://anthrosource.onlinelibrary.wiley.com/doi/abs/10.1002/fea2.12031" TargetMode="External"/><Relationship Id="rId162" Type="http://schemas.openxmlformats.org/officeDocument/2006/relationships/hyperlink" Target="https://doi.org/10.17742/IMAGE.CR.10.1.1" TargetMode="External"/><Relationship Id="rId2" Type="http://schemas.openxmlformats.org/officeDocument/2006/relationships/numbering" Target="numbering.xml"/><Relationship Id="rId29" Type="http://schemas.openxmlformats.org/officeDocument/2006/relationships/image" Target="media/image19.jpg"/><Relationship Id="rId24" Type="http://schemas.openxmlformats.org/officeDocument/2006/relationships/image" Target="media/image16.jpg"/><Relationship Id="rId40" Type="http://schemas.openxmlformats.org/officeDocument/2006/relationships/hyperlink" Target="http://www.jstor.org/stable/29790536" TargetMode="External"/><Relationship Id="rId45" Type="http://schemas.openxmlformats.org/officeDocument/2006/relationships/hyperlink" Target="https://doi.org/10.3390/land11050609" TargetMode="External"/><Relationship Id="rId66" Type="http://schemas.openxmlformats.org/officeDocument/2006/relationships/hyperlink" Target="https://doi.org/10.1191/0309132503ph428oa" TargetMode="External"/><Relationship Id="rId87" Type="http://schemas.openxmlformats.org/officeDocument/2006/relationships/hyperlink" Target="http://www.jstor.org/stable/10.5749/j.cttts7zc" TargetMode="External"/><Relationship Id="rId110" Type="http://schemas.openxmlformats.org/officeDocument/2006/relationships/hyperlink" Target="https://doi.org/10.2307/2210598" TargetMode="External"/><Relationship Id="rId115" Type="http://schemas.openxmlformats.org/officeDocument/2006/relationships/hyperlink" Target="https://youtu.be/wtV38boYWFs" TargetMode="External"/><Relationship Id="rId131" Type="http://schemas.openxmlformats.org/officeDocument/2006/relationships/hyperlink" Target="http://www.jstor.org/stable/23019872" TargetMode="External"/><Relationship Id="rId136" Type="http://schemas.openxmlformats.org/officeDocument/2006/relationships/hyperlink" Target="https://www.versobooks.com/blogs/3976-beyond-eurocentrism-on-jose-carlos-mariategui" TargetMode="External"/><Relationship Id="rId157" Type="http://schemas.openxmlformats.org/officeDocument/2006/relationships/hyperlink" Target="https://doi.org/10.1177/20438206211027466" TargetMode="External"/><Relationship Id="rId178" Type="http://schemas.openxmlformats.org/officeDocument/2006/relationships/hyperlink" Target="https://doi.org/10.1080/00393541.2021.1896416" TargetMode="External"/><Relationship Id="rId61" Type="http://schemas.openxmlformats.org/officeDocument/2006/relationships/hyperlink" Target="https://doi.org/10.3390/su10061789" TargetMode="External"/><Relationship Id="rId82" Type="http://schemas.openxmlformats.org/officeDocument/2006/relationships/hyperlink" Target="https://www.sfwmd.gov/sites/default/files/2020_Water_Use_Estimation_Report_Final.pdf" TargetMode="External"/><Relationship Id="rId152" Type="http://schemas.openxmlformats.org/officeDocument/2006/relationships/hyperlink" Target="https://www.bbc.co.uk/future/article/20241203-the-bison-skulls-photo-revealing-americas-dark-history" TargetMode="External"/><Relationship Id="rId173" Type="http://schemas.openxmlformats.org/officeDocument/2006/relationships/hyperlink" Target="https://ikdll.nau.edu/id/eprint/80/" TargetMode="External"/><Relationship Id="rId19" Type="http://schemas.openxmlformats.org/officeDocument/2006/relationships/image" Target="media/image11.png"/><Relationship Id="rId14" Type="http://schemas.openxmlformats.org/officeDocument/2006/relationships/image" Target="media/image6.jpg"/><Relationship Id="rId30" Type="http://schemas.openxmlformats.org/officeDocument/2006/relationships/image" Target="media/image20.jpg"/><Relationship Id="rId35" Type="http://schemas.openxmlformats.org/officeDocument/2006/relationships/image" Target="media/image25.jpg"/><Relationship Id="rId56" Type="http://schemas.openxmlformats.org/officeDocument/2006/relationships/hyperlink" Target="https://doi.org/10.1111/cag.12659" TargetMode="External"/><Relationship Id="rId77" Type="http://schemas.openxmlformats.org/officeDocument/2006/relationships/hyperlink" Target="https://doi.org/10.1073/pnas.2122052119" TargetMode="External"/><Relationship Id="rId100" Type="http://schemas.openxmlformats.org/officeDocument/2006/relationships/hyperlink" Target="https://doi.org/10.1177/1609406918821574" TargetMode="External"/><Relationship Id="rId105" Type="http://schemas.openxmlformats.org/officeDocument/2006/relationships/hyperlink" Target="https://doi.org/10.1007/s10761-021-00618-3" TargetMode="External"/><Relationship Id="rId126" Type="http://schemas.openxmlformats.org/officeDocument/2006/relationships/hyperlink" Target="https://doi.org/10.1177/23326492221138222" TargetMode="External"/><Relationship Id="rId147" Type="http://schemas.openxmlformats.org/officeDocument/2006/relationships/hyperlink" Target="https://youtu.be/WoyWxoKumlU" TargetMode="External"/><Relationship Id="rId168" Type="http://schemas.openxmlformats.org/officeDocument/2006/relationships/hyperlink" Target="https://www.unwto.org/news/empowering-indigenous-communities-to-drive-tourism-s-recovery" TargetMode="External"/><Relationship Id="rId8" Type="http://schemas.openxmlformats.org/officeDocument/2006/relationships/image" Target="media/image1.png"/><Relationship Id="rId51" Type="http://schemas.openxmlformats.org/officeDocument/2006/relationships/hyperlink" Target="https://doi.org/10.1177/14733250241268730" TargetMode="External"/><Relationship Id="rId72" Type="http://schemas.openxmlformats.org/officeDocument/2006/relationships/hyperlink" Target="https://doi.org/10.1177/2043820619898900" TargetMode="External"/><Relationship Id="rId93" Type="http://schemas.openxmlformats.org/officeDocument/2006/relationships/hyperlink" Target="https://doi.org/10.1080/1041794X.2022.2101683" TargetMode="External"/><Relationship Id="rId98" Type="http://schemas.openxmlformats.org/officeDocument/2006/relationships/hyperlink" Target="https://www.britannica.com/event/Manifest-Destiny.%20Accessed%202%20January%202023" TargetMode="External"/><Relationship Id="rId121" Type="http://schemas.openxmlformats.org/officeDocument/2006/relationships/hyperlink" Target="https://doi.org/10.1080/13604813.2011.595116" TargetMode="External"/><Relationship Id="rId142" Type="http://schemas.openxmlformats.org/officeDocument/2006/relationships/hyperlink" Target="https://doi.org/10.52214/cjrl.v11i3.8744" TargetMode="External"/><Relationship Id="rId163" Type="http://schemas.openxmlformats.org/officeDocument/2006/relationships/hyperlink" Target="https://doi.org/10.1080/2201473X.2019.1677134" TargetMode="External"/><Relationship Id="rId3" Type="http://schemas.openxmlformats.org/officeDocument/2006/relationships/styles" Target="styles.xml"/><Relationship Id="rId25" Type="http://schemas.openxmlformats.org/officeDocument/2006/relationships/hyperlink" Target="https://d.docs.live.net/6d2a4765ae935fc2/Documents/analysis%20chapters/analysis%20chapters%202.0.docx" TargetMode="External"/><Relationship Id="rId46" Type="http://schemas.openxmlformats.org/officeDocument/2006/relationships/hyperlink" Target="https://doi.org/10.1080/00913367.1996.10673507" TargetMode="External"/><Relationship Id="rId67" Type="http://schemas.openxmlformats.org/officeDocument/2006/relationships/hyperlink" Target="https://doi.org/10.1080/09502380601162639" TargetMode="External"/><Relationship Id="rId116" Type="http://schemas.openxmlformats.org/officeDocument/2006/relationships/hyperlink" Target="https://doi.org/10.1080/03098265.2020.1815180" TargetMode="External"/><Relationship Id="rId137" Type="http://schemas.openxmlformats.org/officeDocument/2006/relationships/hyperlink" Target="https://doi.org/10.1080/14693062.2022.2047585" TargetMode="External"/><Relationship Id="rId158" Type="http://schemas.openxmlformats.org/officeDocument/2006/relationships/hyperlink" Target="https://doi.org/10.1163/18750257-bja10055" TargetMode="External"/><Relationship Id="rId20" Type="http://schemas.openxmlformats.org/officeDocument/2006/relationships/image" Target="media/image12.jpg"/><Relationship Id="rId41" Type="http://schemas.openxmlformats.org/officeDocument/2006/relationships/hyperlink" Target="http://www.jstor.org/stable/1185908" TargetMode="External"/><Relationship Id="rId62" Type="http://schemas.openxmlformats.org/officeDocument/2006/relationships/hyperlink" Target="https://doi.org/10.3390/land10121329" TargetMode="External"/><Relationship Id="rId83" Type="http://schemas.openxmlformats.org/officeDocument/2006/relationships/hyperlink" Target="https://doi.org/10.1108/JCM-07-2021-4752" TargetMode="External"/><Relationship Id="rId88" Type="http://schemas.openxmlformats.org/officeDocument/2006/relationships/hyperlink" Target="http://www.jstor.org/stable/40004733" TargetMode="External"/><Relationship Id="rId111" Type="http://schemas.openxmlformats.org/officeDocument/2006/relationships/hyperlink" Target="https://www.theindigenousfoundation.org/articles/dreamcatchers" TargetMode="External"/><Relationship Id="rId132" Type="http://schemas.openxmlformats.org/officeDocument/2006/relationships/hyperlink" Target="https://doi.org/10.1525/elementa.2023.00118" TargetMode="External"/><Relationship Id="rId153" Type="http://schemas.openxmlformats.org/officeDocument/2006/relationships/hyperlink" Target="https://doi.org/10.1080/00380237.1997.10570683" TargetMode="External"/><Relationship Id="rId174" Type="http://schemas.openxmlformats.org/officeDocument/2006/relationships/hyperlink" Target="https://historyreclaimed.co.uk/rewriting-floridas-history-seminole-indians-are-not-descended-from-the-tequesta/" TargetMode="External"/><Relationship Id="rId179" Type="http://schemas.openxmlformats.org/officeDocument/2006/relationships/hyperlink" Target="https://onlinelibrary.wiley.com/doi/10.1002/jtr.2330" TargetMode="External"/><Relationship Id="rId15" Type="http://schemas.openxmlformats.org/officeDocument/2006/relationships/image" Target="media/image7.jpg"/><Relationship Id="rId36" Type="http://schemas.openxmlformats.org/officeDocument/2006/relationships/image" Target="media/image26.png"/><Relationship Id="rId57" Type="http://schemas.openxmlformats.org/officeDocument/2006/relationships/hyperlink" Target="https://doi.org/10.1177/17506980211054336" TargetMode="External"/><Relationship Id="rId106" Type="http://schemas.openxmlformats.org/officeDocument/2006/relationships/hyperlink" Target="https://www.sciencedirect.com/science/article/pii/S2211973619300042" TargetMode="External"/><Relationship Id="rId127" Type="http://schemas.openxmlformats.org/officeDocument/2006/relationships/hyperlink" Target="https://doi.org/10.1177/0191453712470359" TargetMode="External"/><Relationship Id="rId10" Type="http://schemas.openxmlformats.org/officeDocument/2006/relationships/hyperlink" Target="https://d.docs.live.net/6d2a4765ae935fc2/Documents/analysis%20chapters/analysis%20chapters%202.0.docx" TargetMode="External"/><Relationship Id="rId31" Type="http://schemas.openxmlformats.org/officeDocument/2006/relationships/image" Target="media/image21.jpg"/><Relationship Id="rId52" Type="http://schemas.openxmlformats.org/officeDocument/2006/relationships/hyperlink" Target="https://dx.doi.org/10.1353/aq.2007.0019" TargetMode="External"/><Relationship Id="rId73" Type="http://schemas.openxmlformats.org/officeDocument/2006/relationships/hyperlink" Target="https://doi.org/10.1177/03091325241283843" TargetMode="External"/><Relationship Id="rId78" Type="http://schemas.openxmlformats.org/officeDocument/2006/relationships/hyperlink" Target="https://doi.org/10.1080/09502380601162506" TargetMode="External"/><Relationship Id="rId94" Type="http://schemas.openxmlformats.org/officeDocument/2006/relationships/hyperlink" Target="https://doi.org/10.1080/14616688.2024.2402997" TargetMode="External"/><Relationship Id="rId99" Type="http://schemas.openxmlformats.org/officeDocument/2006/relationships/hyperlink" Target="https://www.hardrock.com/about-hard-rock" TargetMode="External"/><Relationship Id="rId101" Type="http://schemas.openxmlformats.org/officeDocument/2006/relationships/hyperlink" Target="http://www.jstor.org/stable/20866510" TargetMode="External"/><Relationship Id="rId122" Type="http://schemas.openxmlformats.org/officeDocument/2006/relationships/hyperlink" Target="https://d1wqtxts1xzle7.cloudfront.net/54802619/Paper_ISA_Japan-with-cover-page-v2.pdf?Expires=1665928230&amp;Signature=es7EP5BJOLRPlkvCyNbSUvaEYZWXmI3zGb8A5~d37cdkZJChTcj1HWOd8WELx5kalw5fuuwMLX3qRXHcqTqtDukjr4IWQ5KAdg5-hNI-Z9UnC9cTiKb4qVhHV2lPGVYnu9nXUEwGXiTHvM4gxdcnhWOP0JC9W75ujw8dQUefixFQB1oOlvfCBbkucAQrSyp~PWzQOE37ZYkJDtjL9~IAmEoK-FpH6fXAOgi5vvNEzKp9BCPOz3-9nHhjRk8WqK5NsJuoDgdlQUqnbR4RF5N3CtMIL2tqcIoXuIU3C5YUikRgfcKoSMd3ZbsecAZ2h4d72akmgVI0uk9PxYoBWfRtvA__&amp;Key-Pair-Id=APKAJLOHF5GGSLRBV4ZA" TargetMode="External"/><Relationship Id="rId143" Type="http://schemas.openxmlformats.org/officeDocument/2006/relationships/hyperlink" Target="https://doi.org/10.4324/9780429442162" TargetMode="External"/><Relationship Id="rId148" Type="http://schemas.openxmlformats.org/officeDocument/2006/relationships/hyperlink" Target="https://doi.org/10.1080/09502380601162639" TargetMode="External"/><Relationship Id="rId164" Type="http://schemas.openxmlformats.org/officeDocument/2006/relationships/hyperlink" Target="https://doi.org/10.1080/02723638.2022.2126610" TargetMode="External"/><Relationship Id="rId169" Type="http://schemas.openxmlformats.org/officeDocument/2006/relationships/hyperlink" Target="https://doi.org/10.1080/13688790701488155"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footer" Target="footer1.xml"/><Relationship Id="rId26" Type="http://schemas.openxmlformats.org/officeDocument/2006/relationships/hyperlink" Target="https://d.docs.live.net/6d2a4765ae935fc2/Documents/analysis%20chapters/analysis%20chapters%202.0.docx" TargetMode="External"/><Relationship Id="rId47" Type="http://schemas.openxmlformats.org/officeDocument/2006/relationships/hyperlink" Target="https://doi.org/10.1080/03098265.2023.2263741" TargetMode="External"/><Relationship Id="rId68" Type="http://schemas.openxmlformats.org/officeDocument/2006/relationships/hyperlink" Target="http://www.jstor.org/stable/40795411" TargetMode="External"/><Relationship Id="rId89" Type="http://schemas.openxmlformats.org/officeDocument/2006/relationships/hyperlink" Target="https://doi.org/10.1086/676646" TargetMode="External"/><Relationship Id="rId112" Type="http://schemas.openxmlformats.org/officeDocument/2006/relationships/hyperlink" Target="https://doi.org/10.1080/01419870.2023.2229423" TargetMode="External"/><Relationship Id="rId133" Type="http://schemas.openxmlformats.org/officeDocument/2006/relationships/hyperlink" Target="https://dx.doi.org/10.1353/sub.0.0083" TargetMode="External"/><Relationship Id="rId154" Type="http://schemas.openxmlformats.org/officeDocument/2006/relationships/hyperlink" Target="https://doi.org/10.1215/00382876-8177771" TargetMode="External"/><Relationship Id="rId175" Type="http://schemas.openxmlformats.org/officeDocument/2006/relationships/hyperlink" Target="https://doi.org/10.1080/10350330.2021.1942824" TargetMode="External"/><Relationship Id="rId16" Type="http://schemas.openxmlformats.org/officeDocument/2006/relationships/image" Target="media/image8.png"/><Relationship Id="rId37" Type="http://schemas.openxmlformats.org/officeDocument/2006/relationships/image" Target="media/image27.png"/><Relationship Id="rId58" Type="http://schemas.openxmlformats.org/officeDocument/2006/relationships/hyperlink" Target="https://doi.org/10.1177/0163443718764807" TargetMode="External"/><Relationship Id="rId79" Type="http://schemas.openxmlformats.org/officeDocument/2006/relationships/hyperlink" Target="https://doi.org/10.1080/10714839.2021.1961444" TargetMode="External"/><Relationship Id="rId102" Type="http://schemas.openxmlformats.org/officeDocument/2006/relationships/hyperlink" Target="https://doi.org/10.1080/14427591.2020.1824803" TargetMode="External"/><Relationship Id="rId123" Type="http://schemas.openxmlformats.org/officeDocument/2006/relationships/hyperlink" Target="https://doi.org/10.5194/gh-80-177-2025" TargetMode="External"/><Relationship Id="rId144" Type="http://schemas.openxmlformats.org/officeDocument/2006/relationships/hyperlink" Target="https://doi.org/10.1080/03098269608709373" TargetMode="External"/><Relationship Id="rId90" Type="http://schemas.openxmlformats.org/officeDocument/2006/relationships/hyperlink" Target="https://escholarship.org/uc/item/2hw7x6dn" TargetMode="External"/><Relationship Id="rId165" Type="http://schemas.openxmlformats.org/officeDocument/2006/relationships/hyperlink" Target="https://doi.org/10.1111/anti.12308" TargetMode="External"/><Relationship Id="rId27" Type="http://schemas.openxmlformats.org/officeDocument/2006/relationships/image" Target="media/image17.jpg"/><Relationship Id="rId48" Type="http://schemas.openxmlformats.org/officeDocument/2006/relationships/hyperlink" Target="https://www.ubcpress.ca/making-and-breaking-settler-space%20Pg.%201711-1712" TargetMode="External"/><Relationship Id="rId69" Type="http://schemas.openxmlformats.org/officeDocument/2006/relationships/hyperlink" Target="http://www.jstor.org/stable/40795411" TargetMode="External"/><Relationship Id="rId113" Type="http://schemas.openxmlformats.org/officeDocument/2006/relationships/hyperlink" Target="https://doi.org/10.1080/14733285.2020.1722312" TargetMode="External"/><Relationship Id="rId134" Type="http://schemas.openxmlformats.org/officeDocument/2006/relationships/hyperlink" Target="https://doi.org/10.1007/s11205-021-02735-2" TargetMode="External"/><Relationship Id="rId80" Type="http://schemas.openxmlformats.org/officeDocument/2006/relationships/hyperlink" Target="https://doi.org/10.1057/s41599-025-05594-1" TargetMode="External"/><Relationship Id="rId155" Type="http://schemas.openxmlformats.org/officeDocument/2006/relationships/hyperlink" Target="https://muse.jhu.edu/article/633280" TargetMode="External"/><Relationship Id="rId176" Type="http://schemas.openxmlformats.org/officeDocument/2006/relationships/hyperlink" Target="https://doi.org/10.1111/anti.12989" TargetMode="External"/><Relationship Id="rId17" Type="http://schemas.openxmlformats.org/officeDocument/2006/relationships/image" Target="media/image9.jpg"/><Relationship Id="rId38" Type="http://schemas.openxmlformats.org/officeDocument/2006/relationships/image" Target="media/image28.jpg"/><Relationship Id="rId59" Type="http://schemas.openxmlformats.org/officeDocument/2006/relationships/hyperlink" Target="https://doi.org/10.3390/su10061789" TargetMode="External"/><Relationship Id="rId103" Type="http://schemas.openxmlformats.org/officeDocument/2006/relationships/hyperlink" Target="https://doi.org/10.1111/gec3.12315" TargetMode="External"/><Relationship Id="rId124" Type="http://schemas.openxmlformats.org/officeDocument/2006/relationships/hyperlink" Target="https://doi.org/10.1177/0961463X10369765" TargetMode="External"/><Relationship Id="rId70" Type="http://schemas.openxmlformats.org/officeDocument/2006/relationships/hyperlink" Target="https://doi.org/10.1177/14687941221110178" TargetMode="External"/><Relationship Id="rId91" Type="http://schemas.openxmlformats.org/officeDocument/2006/relationships/hyperlink" Target="https://www.upress.umn.edu/9780816677917/mark-my-words?utm_source=chatgpt.com" TargetMode="External"/><Relationship Id="rId145" Type="http://schemas.openxmlformats.org/officeDocument/2006/relationships/hyperlink" Target="https://doi.org/10.1111/1467-954X.12109" TargetMode="External"/><Relationship Id="rId166" Type="http://schemas.openxmlformats.org/officeDocument/2006/relationships/hyperlink" Target="https://doi.org/10.25058/20112742.n38.04" TargetMode="External"/><Relationship Id="rId1" Type="http://schemas.openxmlformats.org/officeDocument/2006/relationships/customXml" Target="../customXml/item1.xml"/><Relationship Id="rId28" Type="http://schemas.openxmlformats.org/officeDocument/2006/relationships/image" Target="media/image18.jpg"/><Relationship Id="rId49" Type="http://schemas.openxmlformats.org/officeDocument/2006/relationships/hyperlink" Target="https://doi.org/10.14288/acme.v10i1.881" TargetMode="External"/><Relationship Id="rId114" Type="http://schemas.openxmlformats.org/officeDocument/2006/relationships/hyperlink" Target="http://www.jstor.org/stable/20700282"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8QcY/5lT7uD5zkVNoDcfeupyYw==">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223</Pages>
  <Words>93532</Words>
  <Characters>533137</Characters>
  <Application>Microsoft Office Word</Application>
  <DocSecurity>0</DocSecurity>
  <Lines>4442</Lines>
  <Paragraphs>1250</Paragraphs>
  <ScaleCrop>false</ScaleCrop>
  <Company/>
  <LinksUpToDate>false</LinksUpToDate>
  <CharactersWithSpaces>625419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Cole Virk</dc:creator>
  <cp:lastModifiedBy>Cole Virk</cp:lastModifiedBy>
  <cp:revision>2</cp:revision>
  <dcterms:created xsi:type="dcterms:W3CDTF">2026-09-22T09:39:00Z</dcterms:created>
  <dcterms:modified xsi:type="dcterms:W3CDTF">2026-09-22T09:39:00Z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f08a938a-dcd4-4d96-9066-6a16d07d34b0</vt:lpwstr>
  </property>
</Properties>
</file>