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F9963" w14:textId="77777777" w:rsidR="00EB34F0" w:rsidRPr="00665DB4" w:rsidRDefault="00EB34F0" w:rsidP="00EB34F0">
      <w:pPr>
        <w:jc w:val="center"/>
        <w:rPr>
          <w:rFonts w:ascii="TUOS Blake" w:hAnsi="TUOS Blake"/>
        </w:rPr>
      </w:pPr>
      <w:r>
        <w:rPr>
          <w:noProof/>
          <w:lang w:eastAsia="zh-CN"/>
        </w:rPr>
        <w:drawing>
          <wp:inline distT="0" distB="0" distL="0" distR="0" wp14:anchorId="10845120" wp14:editId="3F28E4D5">
            <wp:extent cx="2674620" cy="843915"/>
            <wp:effectExtent l="0" t="0" r="0" b="0"/>
            <wp:docPr id="1246218048" name="Picture 1246218048" descr="https://ci3.googleusercontent.com/mail-sig/AIorK4xzyMPJFgjTMd42gH2QPh7YeaeJyPYNB7P5kVyjVABh3wgpPDm4uu4ndXrjGNiGPxgZ_Jw1E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3.googleusercontent.com/mail-sig/AIorK4xzyMPJFgjTMd42gH2QPh7YeaeJyPYNB7P5kVyjVABh3wgpPDm4uu4ndXrjGNiGPxgZ_Jw1EsQ"/>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49297"/>
                    <a:stretch/>
                  </pic:blipFill>
                  <pic:spPr bwMode="auto">
                    <a:xfrm>
                      <a:off x="0" y="0"/>
                      <a:ext cx="2676176" cy="844406"/>
                    </a:xfrm>
                    <a:prstGeom prst="rect">
                      <a:avLst/>
                    </a:prstGeom>
                    <a:noFill/>
                    <a:ln>
                      <a:noFill/>
                    </a:ln>
                    <a:extLst>
                      <a:ext uri="{53640926-AAD7-44D8-BBD7-CCE9431645EC}">
                        <a14:shadowObscured xmlns:a14="http://schemas.microsoft.com/office/drawing/2010/main"/>
                      </a:ext>
                    </a:extLst>
                  </pic:spPr>
                </pic:pic>
              </a:graphicData>
            </a:graphic>
          </wp:inline>
        </w:drawing>
      </w:r>
    </w:p>
    <w:p w14:paraId="22FC45DB" w14:textId="77777777" w:rsidR="00EB34F0" w:rsidRPr="00665DB4" w:rsidRDefault="00EB34F0" w:rsidP="00EB34F0">
      <w:pPr>
        <w:jc w:val="center"/>
        <w:rPr>
          <w:rFonts w:ascii="TUOS Blake" w:hAnsi="TUOS Blake"/>
        </w:rPr>
      </w:pPr>
    </w:p>
    <w:p w14:paraId="703E7315" w14:textId="77777777" w:rsidR="00EB34F0" w:rsidRPr="00665DB4" w:rsidRDefault="00EB34F0" w:rsidP="00EB34F0">
      <w:pPr>
        <w:jc w:val="center"/>
        <w:rPr>
          <w:rFonts w:ascii="TUOS Blake" w:hAnsi="TUOS Blake"/>
        </w:rPr>
      </w:pPr>
    </w:p>
    <w:p w14:paraId="26D1E677" w14:textId="77777777" w:rsidR="00EB34F0" w:rsidRPr="00665DB4" w:rsidRDefault="00EB34F0" w:rsidP="00EB34F0">
      <w:pPr>
        <w:jc w:val="center"/>
        <w:rPr>
          <w:rFonts w:ascii="TUOS Blake" w:hAnsi="TUOS Blake"/>
        </w:rPr>
      </w:pPr>
      <w:r w:rsidRPr="00665DB4">
        <w:rPr>
          <w:rFonts w:ascii="TUOS Blake" w:hAnsi="TUOS Blake" w:cs="Arial"/>
          <w:b/>
          <w:bCs/>
        </w:rPr>
        <w:t>Name of Candidate:</w:t>
      </w:r>
      <w:r w:rsidRPr="00665DB4">
        <w:rPr>
          <w:rFonts w:ascii="TUOS Blake" w:hAnsi="TUOS Blake"/>
        </w:rPr>
        <w:t xml:space="preserve"> </w:t>
      </w:r>
    </w:p>
    <w:p w14:paraId="5D832431" w14:textId="77777777" w:rsidR="00EB34F0" w:rsidRPr="00665DB4" w:rsidRDefault="00EB34F0" w:rsidP="00EB34F0">
      <w:pPr>
        <w:jc w:val="center"/>
        <w:rPr>
          <w:rFonts w:ascii="TUOS Blake" w:hAnsi="TUOS Blake"/>
        </w:rPr>
      </w:pPr>
      <w:r>
        <w:rPr>
          <w:rFonts w:ascii="TUOS Blake" w:hAnsi="TUOS Blake"/>
        </w:rPr>
        <w:t xml:space="preserve">Jeffrey T </w:t>
      </w:r>
      <w:proofErr w:type="spellStart"/>
      <w:r>
        <w:rPr>
          <w:rFonts w:ascii="TUOS Blake" w:hAnsi="TUOS Blake"/>
        </w:rPr>
        <w:t>Tochkin</w:t>
      </w:r>
      <w:proofErr w:type="spellEnd"/>
    </w:p>
    <w:p w14:paraId="0B105827" w14:textId="77777777" w:rsidR="00EB34F0" w:rsidRPr="00665DB4" w:rsidRDefault="00EB34F0" w:rsidP="00EB34F0">
      <w:pPr>
        <w:jc w:val="center"/>
        <w:rPr>
          <w:rFonts w:ascii="TUOS Blake" w:hAnsi="TUOS Blake"/>
        </w:rPr>
      </w:pPr>
      <w:r w:rsidRPr="00665DB4">
        <w:rPr>
          <w:rFonts w:ascii="TUOS Blake" w:hAnsi="TUOS Blake"/>
          <w:noProof/>
          <w:lang w:eastAsia="zh-CN"/>
        </w:rPr>
        <mc:AlternateContent>
          <mc:Choice Requires="wps">
            <w:drawing>
              <wp:anchor distT="0" distB="0" distL="114300" distR="114300" simplePos="0" relativeHeight="251659264" behindDoc="0" locked="0" layoutInCell="1" allowOverlap="1" wp14:anchorId="1EDF9FAA" wp14:editId="03FCFFE6">
                <wp:simplePos x="0" y="0"/>
                <wp:positionH relativeFrom="column">
                  <wp:posOffset>0</wp:posOffset>
                </wp:positionH>
                <wp:positionV relativeFrom="paragraph">
                  <wp:posOffset>124460</wp:posOffset>
                </wp:positionV>
                <wp:extent cx="5486400" cy="0"/>
                <wp:effectExtent l="7620" t="13335" r="11430" b="57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A4011B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pt" to="6in,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mtwwEAAGwDAAAOAAAAZHJzL2Uyb0RvYy54bWysU01v2zAMvQ/YfxB0X+wETdEZcXpI1l26&#10;LUC7H8BIcixMFgVSiZN/P0n5aLHdhvkgSCL59N4jvXg8Dk4cDLFF38rppJbCeIXa+l0rf74+fXqQ&#10;giN4DQ69aeXJsHxcfvywGENjZtij04ZEAvHcjKGVfYyhqSpWvRmAJxiMT8EOaYCYjrSrNMGY0AdX&#10;zer6vhqRdCBUhjndrs9BuSz4XWdU/NF1bKJwrUzcYlmprNu8VssFNDuC0Ft1oQH/wGIA69OjN6g1&#10;RBB7sn9BDVYRMnZxonCosOusMkVDUjOt/1Dz0kMwRUsyh8PNJv5/sOr7YeU3lKmro38Jz6h+sfC4&#10;6sHvTCHwegqpcdNsVTUGbm4l+cBhQ2I7fkOdcmAfsbhw7GjIkEmfOBazTzezzTEKlS7ndw/3d3Xq&#10;ibrGKmiuhYE4fjU4iLxppbM++wANHJ45ZiLQXFPytccn61zppfNibOXn+WyekCFNFHldShmd1Tkt&#10;FzDttitH4gB5LspX9KXI+7T8xhq4P+fxidcYzyNDuPe6PNgb0F8u+wjWnfeJoPMXw7JHeSC52aI+&#10;behqZGppUXIZvzwz78+l+u0nWf4GAAD//wMAUEsDBBQABgAIAAAAIQA83cVC2QAAAAYBAAAPAAAA&#10;ZHJzL2Rvd25yZXYueG1sTI9NT8MwDIbvSPsPkSdxYykTKqM0naaNjzMDIXFzG9OWNU7VZF359xhx&#10;GEc/r/X6cb6eXKdGGkLr2cD1IgFFXHnbcm3g7fXxagUqRGSLnWcy8E0B1sXsIsfM+hO/0LiPtZIS&#10;DhkaaGLsM61D1ZDDsPA9sWSffnAYZRxqbQc8Sbnr9DJJUu2wZbnQYE/bhqrD/ugMjO/V7mv38HxI&#10;eOtvyydKP3pCYy7n0+YeVKQpnpfhV1/UoRCn0h/ZBtUZkEei0LsUlKSr9EZA+Qd0kev/+sUPAAAA&#10;//8DAFBLAQItABQABgAIAAAAIQC2gziS/gAAAOEBAAATAAAAAAAAAAAAAAAAAAAAAABbQ29udGVu&#10;dF9UeXBlc10ueG1sUEsBAi0AFAAGAAgAAAAhADj9If/WAAAAlAEAAAsAAAAAAAAAAAAAAAAALwEA&#10;AF9yZWxzLy5yZWxzUEsBAi0AFAAGAAgAAAAhAHq2ea3DAQAAbAMAAA4AAAAAAAAAAAAAAAAALgIA&#10;AGRycy9lMm9Eb2MueG1sUEsBAi0AFAAGAAgAAAAhADzdxULZAAAABgEAAA8AAAAAAAAAAAAAAAAA&#10;HQQAAGRycy9kb3ducmV2LnhtbFBLBQYAAAAABAAEAPMAAAAjBQAAAAA=&#10;">
                <v:stroke dashstyle="1 1" endcap="round"/>
              </v:line>
            </w:pict>
          </mc:Fallback>
        </mc:AlternateContent>
      </w:r>
    </w:p>
    <w:p w14:paraId="0D12764F" w14:textId="77777777" w:rsidR="00EB34F0" w:rsidRPr="00665DB4" w:rsidRDefault="00EB34F0" w:rsidP="00EB34F0">
      <w:pPr>
        <w:jc w:val="center"/>
        <w:rPr>
          <w:rFonts w:ascii="TUOS Blake" w:hAnsi="TUOS Blake"/>
        </w:rPr>
      </w:pPr>
    </w:p>
    <w:p w14:paraId="185179A3" w14:textId="6DBD5FA9" w:rsidR="00EB34F0" w:rsidRPr="00665DB4" w:rsidRDefault="00EB34F0" w:rsidP="00EB34F0">
      <w:pPr>
        <w:jc w:val="center"/>
        <w:rPr>
          <w:rFonts w:ascii="TUOS Blake" w:hAnsi="TUOS Blake" w:cs="Arial"/>
          <w:b/>
          <w:bCs/>
        </w:rPr>
      </w:pPr>
      <w:r>
        <w:rPr>
          <w:rFonts w:ascii="TUOS Blake" w:hAnsi="TUOS Blake" w:cs="Arial"/>
          <w:b/>
          <w:bCs/>
        </w:rPr>
        <w:t>Thesis</w:t>
      </w:r>
      <w:r w:rsidRPr="00665DB4">
        <w:rPr>
          <w:rFonts w:ascii="TUOS Blake" w:hAnsi="TUOS Blake" w:cs="Arial"/>
          <w:b/>
          <w:bCs/>
        </w:rPr>
        <w:t xml:space="preserve"> Title:</w:t>
      </w:r>
    </w:p>
    <w:p w14:paraId="08B419E4" w14:textId="77777777" w:rsidR="00EB34F0" w:rsidRPr="00665DB4" w:rsidRDefault="00EB34F0" w:rsidP="00EB34F0">
      <w:pPr>
        <w:jc w:val="center"/>
        <w:rPr>
          <w:rFonts w:ascii="TUOS Blake" w:hAnsi="TUOS Blake" w:cs="Arial"/>
          <w:b/>
          <w:bCs/>
        </w:rPr>
      </w:pPr>
    </w:p>
    <w:p w14:paraId="0051F1BC" w14:textId="77777777" w:rsidR="00EB34F0" w:rsidRPr="002B4E4C" w:rsidRDefault="00EB34F0" w:rsidP="00EB34F0">
      <w:pPr>
        <w:jc w:val="center"/>
        <w:rPr>
          <w:rFonts w:ascii="Univers Light" w:eastAsia="Times New Roman" w:hAnsi="Univers Light" w:cstheme="minorHAnsi"/>
          <w:sz w:val="28"/>
          <w:szCs w:val="28"/>
        </w:rPr>
      </w:pPr>
      <w:r w:rsidRPr="002B4E4C">
        <w:rPr>
          <w:rFonts w:ascii="Univers Light" w:eastAsia="Times New Roman" w:hAnsi="Univers Light" w:cstheme="minorHAnsi"/>
          <w:sz w:val="24"/>
          <w:szCs w:val="24"/>
          <w:lang w:val="en-US"/>
        </w:rPr>
        <w:t xml:space="preserve">Navigating health </w:t>
      </w:r>
      <w:proofErr w:type="spellStart"/>
      <w:r w:rsidRPr="002B4E4C">
        <w:rPr>
          <w:rFonts w:ascii="Univers Light" w:eastAsia="Times New Roman" w:hAnsi="Univers Light" w:cstheme="minorHAnsi"/>
          <w:sz w:val="24"/>
          <w:szCs w:val="24"/>
          <w:lang w:val="en-US"/>
        </w:rPr>
        <w:t>organisations</w:t>
      </w:r>
      <w:proofErr w:type="spellEnd"/>
      <w:r w:rsidRPr="002B4E4C">
        <w:rPr>
          <w:rFonts w:ascii="Univers Light" w:eastAsia="Times New Roman" w:hAnsi="Univers Light" w:cstheme="minorHAnsi"/>
          <w:sz w:val="24"/>
          <w:szCs w:val="24"/>
          <w:lang w:val="en-US"/>
        </w:rPr>
        <w:t xml:space="preserve"> through the changing climate: Leader education, capacity and competence in Canada and the United Kingdom</w:t>
      </w:r>
    </w:p>
    <w:p w14:paraId="62B36BB9" w14:textId="77777777" w:rsidR="00EB34F0" w:rsidRPr="00665DB4" w:rsidRDefault="00EB34F0" w:rsidP="00EB34F0">
      <w:pPr>
        <w:jc w:val="center"/>
        <w:rPr>
          <w:rFonts w:ascii="TUOS Blake" w:hAnsi="TUOS Blake" w:cs="Arial"/>
          <w:b/>
          <w:bCs/>
        </w:rPr>
      </w:pPr>
      <w:r w:rsidRPr="00665DB4">
        <w:rPr>
          <w:rFonts w:ascii="TUOS Blake" w:hAnsi="TUOS Blake" w:cs="Arial"/>
          <w:b/>
          <w:bCs/>
          <w:noProof/>
          <w:lang w:eastAsia="zh-CN"/>
        </w:rPr>
        <mc:AlternateContent>
          <mc:Choice Requires="wps">
            <w:drawing>
              <wp:anchor distT="0" distB="0" distL="114300" distR="114300" simplePos="0" relativeHeight="251660288" behindDoc="0" locked="0" layoutInCell="1" allowOverlap="1" wp14:anchorId="1BF1C471" wp14:editId="2509EB22">
                <wp:simplePos x="0" y="0"/>
                <wp:positionH relativeFrom="column">
                  <wp:posOffset>0</wp:posOffset>
                </wp:positionH>
                <wp:positionV relativeFrom="paragraph">
                  <wp:posOffset>135890</wp:posOffset>
                </wp:positionV>
                <wp:extent cx="5486400" cy="0"/>
                <wp:effectExtent l="7620" t="8255" r="11430" b="1079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9CC9AE2"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7pt" to="6in,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mtwwEAAGwDAAAOAAAAZHJzL2Uyb0RvYy54bWysU01v2zAMvQ/YfxB0X+wETdEZcXpI1l26&#10;LUC7H8BIcixMFgVSiZN/P0n5aLHdhvkgSCL59N4jvXg8Dk4cDLFF38rppJbCeIXa+l0rf74+fXqQ&#10;giN4DQ69aeXJsHxcfvywGENjZtij04ZEAvHcjKGVfYyhqSpWvRmAJxiMT8EOaYCYjrSrNMGY0AdX&#10;zer6vhqRdCBUhjndrs9BuSz4XWdU/NF1bKJwrUzcYlmprNu8VssFNDuC0Ft1oQH/wGIA69OjN6g1&#10;RBB7sn9BDVYRMnZxonCosOusMkVDUjOt/1Dz0kMwRUsyh8PNJv5/sOr7YeU3lKmro38Jz6h+sfC4&#10;6sHvTCHwegqpcdNsVTUGbm4l+cBhQ2I7fkOdcmAfsbhw7GjIkEmfOBazTzezzTEKlS7ndw/3d3Xq&#10;ibrGKmiuhYE4fjU4iLxppbM++wANHJ45ZiLQXFPytccn61zppfNibOXn+WyekCFNFHldShmd1Tkt&#10;FzDttitH4gB5LspX9KXI+7T8xhq4P+fxidcYzyNDuPe6PNgb0F8u+wjWnfeJoPMXw7JHeSC52aI+&#10;behqZGppUXIZvzwz78+l+u0nWf4GAAD//wMAUEsDBBQABgAIAAAAIQDujWqw2gAAAAYBAAAPAAAA&#10;ZHJzL2Rvd25yZXYueG1sTI/NTsMwEITvSLyDtUjcqNOqClWIU6GWnzMtQuK2ibdJ2ngdxW4a3p5F&#10;HOA4M6uZb/P15Do10hBazwbmswQUceVty7WB9/3z3QpUiMgWO89k4IsCrIvrqxwz6y/8RuMu1kpK&#10;OGRooImxz7QOVUMOw8z3xJId/OAwihxqbQe8SLnr9CJJUu2wZVlosKdNQ9Vpd3YGxo9qe9w+vZ4S&#10;3vj78oXSz57QmNub6fEBVKQp/h3DD76gQyFMpT+zDaozII9EA4v5EpSkq3QpRvlr6CLX//GLbwAA&#10;AP//AwBQSwECLQAUAAYACAAAACEAtoM4kv4AAADhAQAAEwAAAAAAAAAAAAAAAAAAAAAAW0NvbnRl&#10;bnRfVHlwZXNdLnhtbFBLAQItABQABgAIAAAAIQA4/SH/1gAAAJQBAAALAAAAAAAAAAAAAAAAAC8B&#10;AABfcmVscy8ucmVsc1BLAQItABQABgAIAAAAIQB6tnmtwwEAAGwDAAAOAAAAAAAAAAAAAAAAAC4C&#10;AABkcnMvZTJvRG9jLnhtbFBLAQItABQABgAIAAAAIQDujWqw2gAAAAYBAAAPAAAAAAAAAAAAAAAA&#10;AB0EAABkcnMvZG93bnJldi54bWxQSwUGAAAAAAQABADzAAAAJAUAAAAA&#10;">
                <v:stroke dashstyle="1 1" endcap="round"/>
              </v:line>
            </w:pict>
          </mc:Fallback>
        </mc:AlternateContent>
      </w:r>
    </w:p>
    <w:p w14:paraId="18387B6B" w14:textId="77777777" w:rsidR="00EB34F0" w:rsidRDefault="00EB34F0" w:rsidP="00EB34F0">
      <w:pPr>
        <w:jc w:val="center"/>
        <w:rPr>
          <w:rFonts w:ascii="TUOS Blake" w:hAnsi="TUOS Blake" w:cs="Arial"/>
          <w:b/>
          <w:bCs/>
        </w:rPr>
      </w:pPr>
    </w:p>
    <w:p w14:paraId="5F3A7A46" w14:textId="00A25260" w:rsidR="00EB34F0" w:rsidRDefault="00EB34F0" w:rsidP="00EB34F0">
      <w:pPr>
        <w:jc w:val="center"/>
        <w:rPr>
          <w:rFonts w:ascii="TUOS Blake" w:hAnsi="TUOS Blake" w:cs="Arial"/>
          <w:b/>
          <w:bCs/>
        </w:rPr>
      </w:pPr>
      <w:r>
        <w:rPr>
          <w:rFonts w:ascii="TUOS Blake" w:hAnsi="TUOS Blake" w:cs="Arial"/>
          <w:b/>
          <w:bCs/>
        </w:rPr>
        <w:t>Submitted for the degree of: Master of Philosophy</w:t>
      </w:r>
    </w:p>
    <w:p w14:paraId="7DA78910" w14:textId="49B595A0" w:rsidR="00EB34F0" w:rsidRPr="00665DB4" w:rsidRDefault="00EB34F0" w:rsidP="00EB34F0">
      <w:pPr>
        <w:jc w:val="center"/>
        <w:rPr>
          <w:rFonts w:ascii="TUOS Blake" w:hAnsi="TUOS Blake" w:cs="Arial"/>
          <w:b/>
          <w:bCs/>
        </w:rPr>
      </w:pPr>
      <w:r>
        <w:rPr>
          <w:rFonts w:ascii="TUOS Blake" w:hAnsi="TUOS Blake" w:cs="Arial"/>
          <w:b/>
          <w:bCs/>
        </w:rPr>
        <w:t>Year of submission: 20</w:t>
      </w:r>
      <w:r w:rsidR="00EE4A10">
        <w:rPr>
          <w:rFonts w:ascii="TUOS Blake" w:hAnsi="TUOS Blake" w:cs="Arial"/>
          <w:b/>
          <w:bCs/>
        </w:rPr>
        <w:t>2</w:t>
      </w:r>
      <w:r>
        <w:rPr>
          <w:rFonts w:ascii="TUOS Blake" w:hAnsi="TUOS Blake" w:cs="Arial"/>
          <w:b/>
          <w:bCs/>
        </w:rPr>
        <w:t>6</w:t>
      </w:r>
    </w:p>
    <w:p w14:paraId="73B1E0CB" w14:textId="77777777" w:rsidR="00EB34F0" w:rsidRDefault="00EB34F0" w:rsidP="00EB34F0">
      <w:pPr>
        <w:rPr>
          <w:rFonts w:ascii="TUOS Blake" w:hAnsi="TUOS Blake" w:cs="Arial"/>
          <w:b/>
          <w:bCs/>
        </w:rPr>
      </w:pPr>
    </w:p>
    <w:p w14:paraId="342CE319" w14:textId="77777777" w:rsidR="00EB34F0" w:rsidRDefault="00EB34F0" w:rsidP="00EB34F0">
      <w:pPr>
        <w:rPr>
          <w:rFonts w:ascii="TUOS Blake" w:hAnsi="TUOS Blake" w:cs="Arial"/>
          <w:b/>
          <w:bCs/>
        </w:rPr>
      </w:pPr>
    </w:p>
    <w:p w14:paraId="33D68FCD" w14:textId="0A09C73B" w:rsidR="00EB34F0" w:rsidRPr="00665DB4" w:rsidRDefault="00EB34F0" w:rsidP="00C30E87">
      <w:pPr>
        <w:jc w:val="center"/>
        <w:rPr>
          <w:rFonts w:ascii="TUOS Blake" w:hAnsi="TUOS Blake" w:cs="Arial"/>
          <w:b/>
          <w:bCs/>
        </w:rPr>
      </w:pPr>
      <w:r w:rsidRPr="00665DB4">
        <w:rPr>
          <w:rFonts w:ascii="TUOS Blake" w:hAnsi="TUOS Blake" w:cs="Arial"/>
          <w:b/>
          <w:bCs/>
        </w:rPr>
        <w:t>Name of Supervisor:</w:t>
      </w:r>
      <w:r w:rsidRPr="00665DB4">
        <w:rPr>
          <w:rFonts w:ascii="TUOS Blake" w:hAnsi="TUOS Blake" w:cs="Arial"/>
          <w:b/>
          <w:bCs/>
        </w:rPr>
        <w:tab/>
      </w:r>
      <w:r w:rsidRPr="00665DB4">
        <w:rPr>
          <w:rFonts w:ascii="TUOS Blake" w:hAnsi="TUOS Blake" w:cs="Arial"/>
          <w:b/>
          <w:bCs/>
        </w:rPr>
        <w:tab/>
      </w:r>
      <w:r w:rsidRPr="00665DB4">
        <w:rPr>
          <w:rFonts w:ascii="TUOS Blake" w:hAnsi="TUOS Blake" w:cs="Arial"/>
          <w:b/>
          <w:bCs/>
        </w:rPr>
        <w:tab/>
        <w:t>Name of Co-Supervisor:</w:t>
      </w:r>
    </w:p>
    <w:p w14:paraId="49576A30" w14:textId="0149E9B1" w:rsidR="00EB34F0" w:rsidRPr="00665DB4" w:rsidRDefault="00EB34F0" w:rsidP="00C30E87">
      <w:pPr>
        <w:tabs>
          <w:tab w:val="left" w:pos="888"/>
        </w:tabs>
        <w:jc w:val="center"/>
        <w:rPr>
          <w:rFonts w:ascii="TUOS Blake" w:hAnsi="TUOS Blake" w:cs="Arial"/>
          <w:b/>
          <w:bCs/>
        </w:rPr>
      </w:pPr>
      <w:r>
        <w:rPr>
          <w:rFonts w:ascii="TUOS Blake" w:hAnsi="TUOS Blake" w:cs="Arial"/>
          <w:b/>
          <w:bCs/>
        </w:rPr>
        <w:t>Professor Andrew Lee</w:t>
      </w:r>
      <w:r w:rsidRPr="00665DB4">
        <w:rPr>
          <w:rFonts w:ascii="TUOS Blake" w:hAnsi="TUOS Blake" w:cs="Arial"/>
          <w:b/>
          <w:bCs/>
          <w:noProof/>
          <w:lang w:eastAsia="zh-CN"/>
        </w:rPr>
        <w:t xml:space="preserve"> </w:t>
      </w:r>
      <w:r>
        <w:rPr>
          <w:rFonts w:ascii="TUOS Blake" w:hAnsi="TUOS Blake" w:cs="Arial"/>
          <w:b/>
          <w:bCs/>
        </w:rPr>
        <w:tab/>
      </w:r>
      <w:r>
        <w:rPr>
          <w:rFonts w:ascii="TUOS Blake" w:hAnsi="TUOS Blake" w:cs="Arial"/>
          <w:b/>
          <w:bCs/>
        </w:rPr>
        <w:tab/>
      </w:r>
      <w:r>
        <w:rPr>
          <w:rFonts w:ascii="TUOS Blake" w:hAnsi="TUOS Blake" w:cs="Arial"/>
          <w:b/>
          <w:bCs/>
        </w:rPr>
        <w:tab/>
        <w:t>Dr. John Richmond</w:t>
      </w:r>
    </w:p>
    <w:p w14:paraId="39918E8D" w14:textId="77777777" w:rsidR="00EB34F0" w:rsidRDefault="00EB34F0" w:rsidP="00C30E87">
      <w:pPr>
        <w:jc w:val="center"/>
        <w:rPr>
          <w:rFonts w:ascii="TUOS Blake" w:hAnsi="TUOS Blake" w:cs="Arial"/>
          <w:b/>
          <w:bCs/>
        </w:rPr>
      </w:pPr>
    </w:p>
    <w:p w14:paraId="5D355292" w14:textId="77777777" w:rsidR="00EB34F0" w:rsidRDefault="00EB34F0" w:rsidP="00EB34F0">
      <w:pPr>
        <w:rPr>
          <w:rFonts w:ascii="TUOS Blake" w:hAnsi="TUOS Blake" w:cs="Arial"/>
          <w:b/>
          <w:bCs/>
        </w:rPr>
      </w:pPr>
    </w:p>
    <w:p w14:paraId="5B33C1DD" w14:textId="77777777" w:rsidR="00EB34F0" w:rsidRDefault="00EB34F0" w:rsidP="00EB34F0">
      <w:pPr>
        <w:rPr>
          <w:rFonts w:ascii="TUOS Blake" w:hAnsi="TUOS Blake" w:cs="Arial"/>
          <w:b/>
          <w:bCs/>
        </w:rPr>
      </w:pPr>
    </w:p>
    <w:p w14:paraId="1E525730" w14:textId="77777777" w:rsidR="00EB34F0" w:rsidRDefault="00EB34F0" w:rsidP="00EB34F0">
      <w:pPr>
        <w:rPr>
          <w:rFonts w:ascii="TUOS Blake" w:hAnsi="TUOS Blake" w:cs="Arial"/>
          <w:b/>
          <w:bCs/>
        </w:rPr>
      </w:pPr>
    </w:p>
    <w:p w14:paraId="679BC03F" w14:textId="77777777" w:rsidR="00EB34F0" w:rsidRDefault="00EB34F0" w:rsidP="00EB34F0">
      <w:pPr>
        <w:rPr>
          <w:rFonts w:ascii="TUOS Blake" w:hAnsi="TUOS Blake" w:cs="Arial"/>
          <w:b/>
          <w:bCs/>
        </w:rPr>
      </w:pPr>
    </w:p>
    <w:p w14:paraId="5A04B3AF" w14:textId="77777777" w:rsidR="00EB34F0" w:rsidRDefault="00EB34F0" w:rsidP="00EB34F0">
      <w:pPr>
        <w:rPr>
          <w:rFonts w:ascii="TUOS Blake" w:hAnsi="TUOS Blake" w:cs="Arial"/>
          <w:b/>
          <w:bCs/>
        </w:rPr>
      </w:pPr>
    </w:p>
    <w:p w14:paraId="7C7032B4" w14:textId="77777777" w:rsidR="00EB34F0" w:rsidRDefault="00EB34F0" w:rsidP="00EB34F0">
      <w:pPr>
        <w:rPr>
          <w:rFonts w:ascii="TUOS Blake" w:hAnsi="TUOS Blake" w:cs="Arial"/>
          <w:b/>
          <w:bCs/>
        </w:rPr>
      </w:pPr>
    </w:p>
    <w:p w14:paraId="3FF94BFC" w14:textId="77777777" w:rsidR="00EB34F0" w:rsidRDefault="00EB34F0" w:rsidP="00EB34F0">
      <w:pPr>
        <w:rPr>
          <w:rFonts w:ascii="TUOS Blake" w:hAnsi="TUOS Blake" w:cs="Arial"/>
          <w:b/>
          <w:bCs/>
        </w:rPr>
      </w:pPr>
    </w:p>
    <w:p w14:paraId="3D5D42D3" w14:textId="77777777" w:rsidR="00EB34F0" w:rsidRPr="00665DB4" w:rsidRDefault="00EB34F0" w:rsidP="00EB34F0">
      <w:pPr>
        <w:rPr>
          <w:rFonts w:ascii="TUOS Blake" w:hAnsi="TUOS Blake" w:cs="Arial"/>
          <w:b/>
          <w:bCs/>
        </w:rPr>
      </w:pPr>
    </w:p>
    <w:p w14:paraId="18A9AFA4" w14:textId="77777777" w:rsidR="00ED162D" w:rsidRDefault="00ED162D">
      <w:pPr>
        <w:rPr>
          <w:rFonts w:ascii="TUOS Blake" w:hAnsi="TUOS Blake" w:cs="Arial"/>
          <w:b/>
        </w:rPr>
      </w:pPr>
    </w:p>
    <w:p w14:paraId="41BC403A" w14:textId="77777777" w:rsidR="00D46F2A" w:rsidRDefault="00D46F2A">
      <w:pPr>
        <w:rPr>
          <w:rFonts w:ascii="TUOS Blake" w:hAnsi="TUOS Blake" w:cs="Arial"/>
          <w:b/>
        </w:rPr>
      </w:pPr>
    </w:p>
    <w:p w14:paraId="7E420AA8" w14:textId="77777777" w:rsidR="00D46F2A" w:rsidRDefault="00D46F2A">
      <w:pPr>
        <w:rPr>
          <w:rFonts w:ascii="TUOS Blake" w:hAnsi="TUOS Blake" w:cs="Arial"/>
          <w:b/>
        </w:rPr>
      </w:pPr>
    </w:p>
    <w:p w14:paraId="79EF98C9" w14:textId="77777777" w:rsidR="00D46F2A" w:rsidRDefault="00D46F2A">
      <w:pPr>
        <w:rPr>
          <w:rFonts w:ascii="TUOS Blake" w:hAnsi="TUOS Blake" w:cs="Arial"/>
          <w:b/>
        </w:rPr>
      </w:pPr>
    </w:p>
    <w:p w14:paraId="457A63E5" w14:textId="77777777" w:rsidR="00D46F2A" w:rsidRDefault="00D46F2A">
      <w:pPr>
        <w:rPr>
          <w:rFonts w:ascii="TUOS Blake" w:hAnsi="TUOS Blake" w:cs="Arial"/>
          <w:b/>
        </w:rPr>
      </w:pPr>
    </w:p>
    <w:p w14:paraId="4125FA0D" w14:textId="77777777" w:rsidR="00D46F2A" w:rsidRDefault="00D46F2A">
      <w:pPr>
        <w:rPr>
          <w:rFonts w:ascii="TUOS Blake" w:hAnsi="TUOS Blake" w:cs="Arial"/>
          <w:b/>
        </w:rPr>
      </w:pPr>
    </w:p>
    <w:p w14:paraId="0778F5CE" w14:textId="77777777" w:rsidR="00D46F2A" w:rsidRDefault="00D46F2A">
      <w:pPr>
        <w:rPr>
          <w:rFonts w:ascii="TUOS Blake" w:hAnsi="TUOS Blake" w:cs="Arial"/>
          <w:b/>
        </w:rPr>
      </w:pPr>
    </w:p>
    <w:p w14:paraId="69EA9948" w14:textId="77777777" w:rsidR="00D46F2A" w:rsidRDefault="00D46F2A"/>
    <w:p w14:paraId="5A2C9BE4" w14:textId="77777777" w:rsidR="00EB34F0" w:rsidRDefault="00EB34F0"/>
    <w:p w14:paraId="5A4CAA7E" w14:textId="77777777" w:rsidR="00EB34F0" w:rsidRDefault="00EB34F0"/>
    <w:p w14:paraId="042E9E89" w14:textId="77777777" w:rsidR="00EB34F0" w:rsidRDefault="00EB34F0"/>
    <w:p w14:paraId="78D78ED1" w14:textId="77777777" w:rsidR="00EB34F0" w:rsidRDefault="00EB34F0"/>
    <w:p w14:paraId="037DA1FC" w14:textId="77777777" w:rsidR="00EB34F0" w:rsidRDefault="00EB34F0"/>
    <w:p w14:paraId="14851EC2" w14:textId="77777777" w:rsidR="00EB34F0" w:rsidRDefault="00EB34F0"/>
    <w:p w14:paraId="75CF129E" w14:textId="77777777" w:rsidR="00EB34F0" w:rsidRDefault="00EB34F0"/>
    <w:p w14:paraId="354374DE" w14:textId="77777777" w:rsidR="00EB34F0" w:rsidRDefault="00EB34F0"/>
    <w:p w14:paraId="7D842BDD" w14:textId="77777777" w:rsidR="00EB34F0" w:rsidRDefault="00EB34F0"/>
    <w:p w14:paraId="08A5787D" w14:textId="77777777" w:rsidR="00EB34F0" w:rsidRDefault="00EB34F0"/>
    <w:p w14:paraId="1C095D49" w14:textId="77777777" w:rsidR="00EB34F0" w:rsidRDefault="00EB34F0"/>
    <w:p w14:paraId="46B050C8" w14:textId="77777777" w:rsidR="00EB34F0" w:rsidRDefault="00EB34F0"/>
    <w:p w14:paraId="2F02E333" w14:textId="77777777" w:rsidR="00EB34F0" w:rsidRDefault="00EB34F0"/>
    <w:p w14:paraId="62CE77D2" w14:textId="77777777" w:rsidR="00EB34F0" w:rsidRDefault="00EB34F0"/>
    <w:p w14:paraId="5BE31EEA" w14:textId="77777777" w:rsidR="00EB34F0" w:rsidRDefault="00EB34F0"/>
    <w:p w14:paraId="4E67D3E1" w14:textId="77777777" w:rsidR="00EB34F0" w:rsidRDefault="00EB34F0"/>
    <w:p w14:paraId="0ADBF50A" w14:textId="77777777" w:rsidR="00EB34F0" w:rsidRDefault="00EB34F0"/>
    <w:p w14:paraId="42C15ACE" w14:textId="77777777" w:rsidR="00EB34F0" w:rsidRDefault="00EB34F0"/>
    <w:p w14:paraId="44D584DA" w14:textId="77777777" w:rsidR="00EB34F0" w:rsidRDefault="00EB34F0"/>
    <w:p w14:paraId="655FEC19" w14:textId="77777777" w:rsidR="00EB34F0" w:rsidRDefault="00EB34F0"/>
    <w:sdt>
      <w:sdtPr>
        <w:rPr>
          <w:rFonts w:asciiTheme="minorHAnsi" w:eastAsiaTheme="minorHAnsi" w:hAnsiTheme="minorHAnsi" w:cstheme="minorBidi"/>
          <w:color w:val="auto"/>
          <w:sz w:val="22"/>
          <w:szCs w:val="22"/>
          <w:lang w:val="en-CA"/>
        </w:rPr>
        <w:id w:val="-190998521"/>
        <w:docPartObj>
          <w:docPartGallery w:val="Table of Contents"/>
          <w:docPartUnique/>
        </w:docPartObj>
      </w:sdtPr>
      <w:sdtEndPr>
        <w:rPr>
          <w:b/>
          <w:bCs/>
          <w:noProof/>
        </w:rPr>
      </w:sdtEndPr>
      <w:sdtContent>
        <w:p w14:paraId="41B2E9E2" w14:textId="7588BAF3" w:rsidR="00990AE1" w:rsidRDefault="00990AE1">
          <w:pPr>
            <w:pStyle w:val="TOCHeading"/>
          </w:pPr>
          <w:r>
            <w:t>Table of Contents</w:t>
          </w:r>
        </w:p>
        <w:p w14:paraId="1C41F005" w14:textId="2E30DB7C" w:rsidR="00B163A1" w:rsidRDefault="00990AE1">
          <w:pPr>
            <w:pStyle w:val="TOC2"/>
            <w:tabs>
              <w:tab w:val="right" w:leader="dot" w:pos="9350"/>
            </w:tabs>
            <w:rPr>
              <w:rFonts w:eastAsiaTheme="minorEastAsia"/>
              <w:noProof/>
              <w:kern w:val="2"/>
              <w:sz w:val="24"/>
              <w:szCs w:val="24"/>
              <w:lang w:eastAsia="en-CA"/>
              <w14:ligatures w14:val="standardContextual"/>
            </w:rPr>
          </w:pPr>
          <w:r>
            <w:fldChar w:fldCharType="begin"/>
          </w:r>
          <w:r>
            <w:instrText xml:space="preserve"> TOC \o "1-3" \h \z \u </w:instrText>
          </w:r>
          <w:r>
            <w:fldChar w:fldCharType="separate"/>
          </w:r>
          <w:hyperlink w:anchor="_Toc225937132" w:history="1">
            <w:r w:rsidR="00B163A1" w:rsidRPr="00FC4CC3">
              <w:rPr>
                <w:rStyle w:val="Hyperlink"/>
                <w:noProof/>
              </w:rPr>
              <w:t>Abstract</w:t>
            </w:r>
            <w:r w:rsidR="00B163A1">
              <w:rPr>
                <w:noProof/>
                <w:webHidden/>
              </w:rPr>
              <w:tab/>
            </w:r>
            <w:r w:rsidR="00B163A1">
              <w:rPr>
                <w:noProof/>
                <w:webHidden/>
              </w:rPr>
              <w:fldChar w:fldCharType="begin"/>
            </w:r>
            <w:r w:rsidR="00B163A1">
              <w:rPr>
                <w:noProof/>
                <w:webHidden/>
              </w:rPr>
              <w:instrText xml:space="preserve"> PAGEREF _Toc225937132 \h </w:instrText>
            </w:r>
            <w:r w:rsidR="00B163A1">
              <w:rPr>
                <w:noProof/>
                <w:webHidden/>
              </w:rPr>
            </w:r>
            <w:r w:rsidR="00B163A1">
              <w:rPr>
                <w:noProof/>
                <w:webHidden/>
              </w:rPr>
              <w:fldChar w:fldCharType="separate"/>
            </w:r>
            <w:r w:rsidR="00B163A1">
              <w:rPr>
                <w:noProof/>
                <w:webHidden/>
              </w:rPr>
              <w:t>7</w:t>
            </w:r>
            <w:r w:rsidR="00B163A1">
              <w:rPr>
                <w:noProof/>
                <w:webHidden/>
              </w:rPr>
              <w:fldChar w:fldCharType="end"/>
            </w:r>
          </w:hyperlink>
        </w:p>
        <w:p w14:paraId="28A1B7F9" w14:textId="5A26E894"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133" w:history="1">
            <w:r w:rsidR="00B163A1" w:rsidRPr="00FC4CC3">
              <w:rPr>
                <w:rStyle w:val="Hyperlink"/>
                <w:noProof/>
              </w:rPr>
              <w:t>Chapter I: Introduction</w:t>
            </w:r>
            <w:r w:rsidR="00B163A1">
              <w:rPr>
                <w:noProof/>
                <w:webHidden/>
              </w:rPr>
              <w:tab/>
            </w:r>
            <w:r w:rsidR="00B163A1">
              <w:rPr>
                <w:noProof/>
                <w:webHidden/>
              </w:rPr>
              <w:fldChar w:fldCharType="begin"/>
            </w:r>
            <w:r w:rsidR="00B163A1">
              <w:rPr>
                <w:noProof/>
                <w:webHidden/>
              </w:rPr>
              <w:instrText xml:space="preserve"> PAGEREF _Toc225937133 \h </w:instrText>
            </w:r>
            <w:r w:rsidR="00B163A1">
              <w:rPr>
                <w:noProof/>
                <w:webHidden/>
              </w:rPr>
            </w:r>
            <w:r w:rsidR="00B163A1">
              <w:rPr>
                <w:noProof/>
                <w:webHidden/>
              </w:rPr>
              <w:fldChar w:fldCharType="separate"/>
            </w:r>
            <w:r w:rsidR="00B163A1">
              <w:rPr>
                <w:noProof/>
                <w:webHidden/>
              </w:rPr>
              <w:t>9</w:t>
            </w:r>
            <w:r w:rsidR="00B163A1">
              <w:rPr>
                <w:noProof/>
                <w:webHidden/>
              </w:rPr>
              <w:fldChar w:fldCharType="end"/>
            </w:r>
          </w:hyperlink>
        </w:p>
        <w:p w14:paraId="5F1BA239" w14:textId="42C1AA3B"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34" w:history="1">
            <w:r w:rsidR="00B163A1" w:rsidRPr="00FC4CC3">
              <w:rPr>
                <w:rStyle w:val="Hyperlink"/>
                <w:noProof/>
              </w:rPr>
              <w:t>Introduction</w:t>
            </w:r>
            <w:r w:rsidR="00B163A1">
              <w:rPr>
                <w:noProof/>
                <w:webHidden/>
              </w:rPr>
              <w:tab/>
            </w:r>
            <w:r w:rsidR="00B163A1">
              <w:rPr>
                <w:noProof/>
                <w:webHidden/>
              </w:rPr>
              <w:fldChar w:fldCharType="begin"/>
            </w:r>
            <w:r w:rsidR="00B163A1">
              <w:rPr>
                <w:noProof/>
                <w:webHidden/>
              </w:rPr>
              <w:instrText xml:space="preserve"> PAGEREF _Toc225937134 \h </w:instrText>
            </w:r>
            <w:r w:rsidR="00B163A1">
              <w:rPr>
                <w:noProof/>
                <w:webHidden/>
              </w:rPr>
            </w:r>
            <w:r w:rsidR="00B163A1">
              <w:rPr>
                <w:noProof/>
                <w:webHidden/>
              </w:rPr>
              <w:fldChar w:fldCharType="separate"/>
            </w:r>
            <w:r w:rsidR="00B163A1">
              <w:rPr>
                <w:noProof/>
                <w:webHidden/>
              </w:rPr>
              <w:t>9</w:t>
            </w:r>
            <w:r w:rsidR="00B163A1">
              <w:rPr>
                <w:noProof/>
                <w:webHidden/>
              </w:rPr>
              <w:fldChar w:fldCharType="end"/>
            </w:r>
          </w:hyperlink>
        </w:p>
        <w:p w14:paraId="422B4B95" w14:textId="66BA9FFC"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35" w:history="1">
            <w:r w:rsidR="00B163A1" w:rsidRPr="00FC4CC3">
              <w:rPr>
                <w:rStyle w:val="Hyperlink"/>
                <w:noProof/>
              </w:rPr>
              <w:t>Defining the health professional</w:t>
            </w:r>
            <w:r w:rsidR="00B163A1">
              <w:rPr>
                <w:noProof/>
                <w:webHidden/>
              </w:rPr>
              <w:tab/>
            </w:r>
            <w:r w:rsidR="00B163A1">
              <w:rPr>
                <w:noProof/>
                <w:webHidden/>
              </w:rPr>
              <w:fldChar w:fldCharType="begin"/>
            </w:r>
            <w:r w:rsidR="00B163A1">
              <w:rPr>
                <w:noProof/>
                <w:webHidden/>
              </w:rPr>
              <w:instrText xml:space="preserve"> PAGEREF _Toc225937135 \h </w:instrText>
            </w:r>
            <w:r w:rsidR="00B163A1">
              <w:rPr>
                <w:noProof/>
                <w:webHidden/>
              </w:rPr>
            </w:r>
            <w:r w:rsidR="00B163A1">
              <w:rPr>
                <w:noProof/>
                <w:webHidden/>
              </w:rPr>
              <w:fldChar w:fldCharType="separate"/>
            </w:r>
            <w:r w:rsidR="00B163A1">
              <w:rPr>
                <w:noProof/>
                <w:webHidden/>
              </w:rPr>
              <w:t>12</w:t>
            </w:r>
            <w:r w:rsidR="00B163A1">
              <w:rPr>
                <w:noProof/>
                <w:webHidden/>
              </w:rPr>
              <w:fldChar w:fldCharType="end"/>
            </w:r>
          </w:hyperlink>
        </w:p>
        <w:p w14:paraId="11FF7C08" w14:textId="1445BEA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36" w:history="1">
            <w:r w:rsidR="00B163A1" w:rsidRPr="00FC4CC3">
              <w:rPr>
                <w:rStyle w:val="Hyperlink"/>
                <w:noProof/>
              </w:rPr>
              <w:t>Continuing education and training</w:t>
            </w:r>
            <w:r w:rsidR="00B163A1">
              <w:rPr>
                <w:noProof/>
                <w:webHidden/>
              </w:rPr>
              <w:tab/>
            </w:r>
            <w:r w:rsidR="00B163A1">
              <w:rPr>
                <w:noProof/>
                <w:webHidden/>
              </w:rPr>
              <w:fldChar w:fldCharType="begin"/>
            </w:r>
            <w:r w:rsidR="00B163A1">
              <w:rPr>
                <w:noProof/>
                <w:webHidden/>
              </w:rPr>
              <w:instrText xml:space="preserve"> PAGEREF _Toc225937136 \h </w:instrText>
            </w:r>
            <w:r w:rsidR="00B163A1">
              <w:rPr>
                <w:noProof/>
                <w:webHidden/>
              </w:rPr>
            </w:r>
            <w:r w:rsidR="00B163A1">
              <w:rPr>
                <w:noProof/>
                <w:webHidden/>
              </w:rPr>
              <w:fldChar w:fldCharType="separate"/>
            </w:r>
            <w:r w:rsidR="00B163A1">
              <w:rPr>
                <w:noProof/>
                <w:webHidden/>
              </w:rPr>
              <w:t>12</w:t>
            </w:r>
            <w:r w:rsidR="00B163A1">
              <w:rPr>
                <w:noProof/>
                <w:webHidden/>
              </w:rPr>
              <w:fldChar w:fldCharType="end"/>
            </w:r>
          </w:hyperlink>
        </w:p>
        <w:p w14:paraId="1145FDC6" w14:textId="2F8CC5D0"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37" w:history="1">
            <w:r w:rsidR="00B163A1" w:rsidRPr="00FC4CC3">
              <w:rPr>
                <w:rStyle w:val="Hyperlink"/>
                <w:noProof/>
              </w:rPr>
              <w:t>Competency</w:t>
            </w:r>
            <w:r w:rsidR="00B163A1">
              <w:rPr>
                <w:noProof/>
                <w:webHidden/>
              </w:rPr>
              <w:tab/>
            </w:r>
            <w:r w:rsidR="00B163A1">
              <w:rPr>
                <w:noProof/>
                <w:webHidden/>
              </w:rPr>
              <w:fldChar w:fldCharType="begin"/>
            </w:r>
            <w:r w:rsidR="00B163A1">
              <w:rPr>
                <w:noProof/>
                <w:webHidden/>
              </w:rPr>
              <w:instrText xml:space="preserve"> PAGEREF _Toc225937137 \h </w:instrText>
            </w:r>
            <w:r w:rsidR="00B163A1">
              <w:rPr>
                <w:noProof/>
                <w:webHidden/>
              </w:rPr>
            </w:r>
            <w:r w:rsidR="00B163A1">
              <w:rPr>
                <w:noProof/>
                <w:webHidden/>
              </w:rPr>
              <w:fldChar w:fldCharType="separate"/>
            </w:r>
            <w:r w:rsidR="00B163A1">
              <w:rPr>
                <w:noProof/>
                <w:webHidden/>
              </w:rPr>
              <w:t>13</w:t>
            </w:r>
            <w:r w:rsidR="00B163A1">
              <w:rPr>
                <w:noProof/>
                <w:webHidden/>
              </w:rPr>
              <w:fldChar w:fldCharType="end"/>
            </w:r>
          </w:hyperlink>
        </w:p>
        <w:p w14:paraId="4525579E" w14:textId="3E20BE00"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38" w:history="1">
            <w:r w:rsidR="00B163A1" w:rsidRPr="00FC4CC3">
              <w:rPr>
                <w:rStyle w:val="Hyperlink"/>
                <w:noProof/>
              </w:rPr>
              <w:t>Background of the Problem</w:t>
            </w:r>
            <w:r w:rsidR="00B163A1">
              <w:rPr>
                <w:noProof/>
                <w:webHidden/>
              </w:rPr>
              <w:tab/>
            </w:r>
            <w:r w:rsidR="00B163A1">
              <w:rPr>
                <w:noProof/>
                <w:webHidden/>
              </w:rPr>
              <w:fldChar w:fldCharType="begin"/>
            </w:r>
            <w:r w:rsidR="00B163A1">
              <w:rPr>
                <w:noProof/>
                <w:webHidden/>
              </w:rPr>
              <w:instrText xml:space="preserve"> PAGEREF _Toc225937138 \h </w:instrText>
            </w:r>
            <w:r w:rsidR="00B163A1">
              <w:rPr>
                <w:noProof/>
                <w:webHidden/>
              </w:rPr>
            </w:r>
            <w:r w:rsidR="00B163A1">
              <w:rPr>
                <w:noProof/>
                <w:webHidden/>
              </w:rPr>
              <w:fldChar w:fldCharType="separate"/>
            </w:r>
            <w:r w:rsidR="00B163A1">
              <w:rPr>
                <w:noProof/>
                <w:webHidden/>
              </w:rPr>
              <w:t>14</w:t>
            </w:r>
            <w:r w:rsidR="00B163A1">
              <w:rPr>
                <w:noProof/>
                <w:webHidden/>
              </w:rPr>
              <w:fldChar w:fldCharType="end"/>
            </w:r>
          </w:hyperlink>
        </w:p>
        <w:p w14:paraId="449F1533" w14:textId="0B17C327"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39" w:history="1">
            <w:r w:rsidR="00B163A1" w:rsidRPr="00FC4CC3">
              <w:rPr>
                <w:rStyle w:val="Hyperlink"/>
                <w:noProof/>
              </w:rPr>
              <w:t>1. Health Professional Education</w:t>
            </w:r>
            <w:r w:rsidR="00B163A1">
              <w:rPr>
                <w:noProof/>
                <w:webHidden/>
              </w:rPr>
              <w:tab/>
            </w:r>
            <w:r w:rsidR="00B163A1">
              <w:rPr>
                <w:noProof/>
                <w:webHidden/>
              </w:rPr>
              <w:fldChar w:fldCharType="begin"/>
            </w:r>
            <w:r w:rsidR="00B163A1">
              <w:rPr>
                <w:noProof/>
                <w:webHidden/>
              </w:rPr>
              <w:instrText xml:space="preserve"> PAGEREF _Toc225937139 \h </w:instrText>
            </w:r>
            <w:r w:rsidR="00B163A1">
              <w:rPr>
                <w:noProof/>
                <w:webHidden/>
              </w:rPr>
            </w:r>
            <w:r w:rsidR="00B163A1">
              <w:rPr>
                <w:noProof/>
                <w:webHidden/>
              </w:rPr>
              <w:fldChar w:fldCharType="separate"/>
            </w:r>
            <w:r w:rsidR="00B163A1">
              <w:rPr>
                <w:noProof/>
                <w:webHidden/>
              </w:rPr>
              <w:t>14</w:t>
            </w:r>
            <w:r w:rsidR="00B163A1">
              <w:rPr>
                <w:noProof/>
                <w:webHidden/>
              </w:rPr>
              <w:fldChar w:fldCharType="end"/>
            </w:r>
          </w:hyperlink>
        </w:p>
        <w:p w14:paraId="25FD2656" w14:textId="726D5FB8"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0" w:history="1">
            <w:r w:rsidR="00B163A1" w:rsidRPr="00FC4CC3">
              <w:rPr>
                <w:rStyle w:val="Hyperlink"/>
                <w:noProof/>
              </w:rPr>
              <w:t>Historical relevance of health professional education</w:t>
            </w:r>
            <w:r w:rsidR="00B163A1">
              <w:rPr>
                <w:noProof/>
                <w:webHidden/>
              </w:rPr>
              <w:tab/>
            </w:r>
            <w:r w:rsidR="00B163A1">
              <w:rPr>
                <w:noProof/>
                <w:webHidden/>
              </w:rPr>
              <w:fldChar w:fldCharType="begin"/>
            </w:r>
            <w:r w:rsidR="00B163A1">
              <w:rPr>
                <w:noProof/>
                <w:webHidden/>
              </w:rPr>
              <w:instrText xml:space="preserve"> PAGEREF _Toc225937140 \h </w:instrText>
            </w:r>
            <w:r w:rsidR="00B163A1">
              <w:rPr>
                <w:noProof/>
                <w:webHidden/>
              </w:rPr>
            </w:r>
            <w:r w:rsidR="00B163A1">
              <w:rPr>
                <w:noProof/>
                <w:webHidden/>
              </w:rPr>
              <w:fldChar w:fldCharType="separate"/>
            </w:r>
            <w:r w:rsidR="00B163A1">
              <w:rPr>
                <w:noProof/>
                <w:webHidden/>
              </w:rPr>
              <w:t>14</w:t>
            </w:r>
            <w:r w:rsidR="00B163A1">
              <w:rPr>
                <w:noProof/>
                <w:webHidden/>
              </w:rPr>
              <w:fldChar w:fldCharType="end"/>
            </w:r>
          </w:hyperlink>
        </w:p>
        <w:p w14:paraId="7BB47ECA" w14:textId="73D4DC61"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1" w:history="1">
            <w:r w:rsidR="00B163A1" w:rsidRPr="00FC4CC3">
              <w:rPr>
                <w:rStyle w:val="Hyperlink"/>
                <w:noProof/>
              </w:rPr>
              <w:t>Theoretical Constructs of Adult Learning</w:t>
            </w:r>
            <w:r w:rsidR="00B163A1">
              <w:rPr>
                <w:noProof/>
                <w:webHidden/>
              </w:rPr>
              <w:tab/>
            </w:r>
            <w:r w:rsidR="00B163A1">
              <w:rPr>
                <w:noProof/>
                <w:webHidden/>
              </w:rPr>
              <w:fldChar w:fldCharType="begin"/>
            </w:r>
            <w:r w:rsidR="00B163A1">
              <w:rPr>
                <w:noProof/>
                <w:webHidden/>
              </w:rPr>
              <w:instrText xml:space="preserve"> PAGEREF _Toc225937141 \h </w:instrText>
            </w:r>
            <w:r w:rsidR="00B163A1">
              <w:rPr>
                <w:noProof/>
                <w:webHidden/>
              </w:rPr>
            </w:r>
            <w:r w:rsidR="00B163A1">
              <w:rPr>
                <w:noProof/>
                <w:webHidden/>
              </w:rPr>
              <w:fldChar w:fldCharType="separate"/>
            </w:r>
            <w:r w:rsidR="00B163A1">
              <w:rPr>
                <w:noProof/>
                <w:webHidden/>
              </w:rPr>
              <w:t>16</w:t>
            </w:r>
            <w:r w:rsidR="00B163A1">
              <w:rPr>
                <w:noProof/>
                <w:webHidden/>
              </w:rPr>
              <w:fldChar w:fldCharType="end"/>
            </w:r>
          </w:hyperlink>
        </w:p>
        <w:p w14:paraId="56710B82" w14:textId="4793DB47"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2" w:history="1">
            <w:r w:rsidR="00B163A1" w:rsidRPr="00FC4CC3">
              <w:rPr>
                <w:rStyle w:val="Hyperlink"/>
                <w:noProof/>
              </w:rPr>
              <w:t>Barriers and facilitators of Knowledge Translation</w:t>
            </w:r>
            <w:r w:rsidR="00B163A1">
              <w:rPr>
                <w:noProof/>
                <w:webHidden/>
              </w:rPr>
              <w:tab/>
            </w:r>
            <w:r w:rsidR="00B163A1">
              <w:rPr>
                <w:noProof/>
                <w:webHidden/>
              </w:rPr>
              <w:fldChar w:fldCharType="begin"/>
            </w:r>
            <w:r w:rsidR="00B163A1">
              <w:rPr>
                <w:noProof/>
                <w:webHidden/>
              </w:rPr>
              <w:instrText xml:space="preserve"> PAGEREF _Toc225937142 \h </w:instrText>
            </w:r>
            <w:r w:rsidR="00B163A1">
              <w:rPr>
                <w:noProof/>
                <w:webHidden/>
              </w:rPr>
            </w:r>
            <w:r w:rsidR="00B163A1">
              <w:rPr>
                <w:noProof/>
                <w:webHidden/>
              </w:rPr>
              <w:fldChar w:fldCharType="separate"/>
            </w:r>
            <w:r w:rsidR="00B163A1">
              <w:rPr>
                <w:noProof/>
                <w:webHidden/>
              </w:rPr>
              <w:t>17</w:t>
            </w:r>
            <w:r w:rsidR="00B163A1">
              <w:rPr>
                <w:noProof/>
                <w:webHidden/>
              </w:rPr>
              <w:fldChar w:fldCharType="end"/>
            </w:r>
          </w:hyperlink>
        </w:p>
        <w:p w14:paraId="49D36B71" w14:textId="2F469CEE"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3" w:history="1">
            <w:r w:rsidR="00B163A1" w:rsidRPr="00FC4CC3">
              <w:rPr>
                <w:rStyle w:val="Hyperlink"/>
                <w:noProof/>
              </w:rPr>
              <w:t>Competency Based Approaches Related to Health Professional</w:t>
            </w:r>
            <w:r w:rsidR="00B163A1">
              <w:rPr>
                <w:noProof/>
                <w:webHidden/>
              </w:rPr>
              <w:tab/>
            </w:r>
            <w:r w:rsidR="00B163A1">
              <w:rPr>
                <w:noProof/>
                <w:webHidden/>
              </w:rPr>
              <w:fldChar w:fldCharType="begin"/>
            </w:r>
            <w:r w:rsidR="00B163A1">
              <w:rPr>
                <w:noProof/>
                <w:webHidden/>
              </w:rPr>
              <w:instrText xml:space="preserve"> PAGEREF _Toc225937143 \h </w:instrText>
            </w:r>
            <w:r w:rsidR="00B163A1">
              <w:rPr>
                <w:noProof/>
                <w:webHidden/>
              </w:rPr>
            </w:r>
            <w:r w:rsidR="00B163A1">
              <w:rPr>
                <w:noProof/>
                <w:webHidden/>
              </w:rPr>
              <w:fldChar w:fldCharType="separate"/>
            </w:r>
            <w:r w:rsidR="00B163A1">
              <w:rPr>
                <w:noProof/>
                <w:webHidden/>
              </w:rPr>
              <w:t>19</w:t>
            </w:r>
            <w:r w:rsidR="00B163A1">
              <w:rPr>
                <w:noProof/>
                <w:webHidden/>
              </w:rPr>
              <w:fldChar w:fldCharType="end"/>
            </w:r>
          </w:hyperlink>
        </w:p>
        <w:p w14:paraId="4ECDB97F" w14:textId="52C1AD9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4" w:history="1">
            <w:r w:rsidR="00B163A1" w:rsidRPr="00FC4CC3">
              <w:rPr>
                <w:rStyle w:val="Hyperlink"/>
                <w:noProof/>
              </w:rPr>
              <w:t>Education Impacts of the Covid 19 Pandemic</w:t>
            </w:r>
            <w:r w:rsidR="00B163A1">
              <w:rPr>
                <w:noProof/>
                <w:webHidden/>
              </w:rPr>
              <w:tab/>
            </w:r>
            <w:r w:rsidR="00B163A1">
              <w:rPr>
                <w:noProof/>
                <w:webHidden/>
              </w:rPr>
              <w:fldChar w:fldCharType="begin"/>
            </w:r>
            <w:r w:rsidR="00B163A1">
              <w:rPr>
                <w:noProof/>
                <w:webHidden/>
              </w:rPr>
              <w:instrText xml:space="preserve"> PAGEREF _Toc225937144 \h </w:instrText>
            </w:r>
            <w:r w:rsidR="00B163A1">
              <w:rPr>
                <w:noProof/>
                <w:webHidden/>
              </w:rPr>
            </w:r>
            <w:r w:rsidR="00B163A1">
              <w:rPr>
                <w:noProof/>
                <w:webHidden/>
              </w:rPr>
              <w:fldChar w:fldCharType="separate"/>
            </w:r>
            <w:r w:rsidR="00B163A1">
              <w:rPr>
                <w:noProof/>
                <w:webHidden/>
              </w:rPr>
              <w:t>20</w:t>
            </w:r>
            <w:r w:rsidR="00B163A1">
              <w:rPr>
                <w:noProof/>
                <w:webHidden/>
              </w:rPr>
              <w:fldChar w:fldCharType="end"/>
            </w:r>
          </w:hyperlink>
        </w:p>
        <w:p w14:paraId="4552291C" w14:textId="3CE3A210"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5" w:history="1">
            <w:r w:rsidR="00B163A1" w:rsidRPr="00FC4CC3">
              <w:rPr>
                <w:rStyle w:val="Hyperlink"/>
                <w:noProof/>
              </w:rPr>
              <w:t>Training the Health Leader</w:t>
            </w:r>
            <w:r w:rsidR="00B163A1">
              <w:rPr>
                <w:noProof/>
                <w:webHidden/>
              </w:rPr>
              <w:tab/>
            </w:r>
            <w:r w:rsidR="00B163A1">
              <w:rPr>
                <w:noProof/>
                <w:webHidden/>
              </w:rPr>
              <w:fldChar w:fldCharType="begin"/>
            </w:r>
            <w:r w:rsidR="00B163A1">
              <w:rPr>
                <w:noProof/>
                <w:webHidden/>
              </w:rPr>
              <w:instrText xml:space="preserve"> PAGEREF _Toc225937145 \h </w:instrText>
            </w:r>
            <w:r w:rsidR="00B163A1">
              <w:rPr>
                <w:noProof/>
                <w:webHidden/>
              </w:rPr>
            </w:r>
            <w:r w:rsidR="00B163A1">
              <w:rPr>
                <w:noProof/>
                <w:webHidden/>
              </w:rPr>
              <w:fldChar w:fldCharType="separate"/>
            </w:r>
            <w:r w:rsidR="00B163A1">
              <w:rPr>
                <w:noProof/>
                <w:webHidden/>
              </w:rPr>
              <w:t>20</w:t>
            </w:r>
            <w:r w:rsidR="00B163A1">
              <w:rPr>
                <w:noProof/>
                <w:webHidden/>
              </w:rPr>
              <w:fldChar w:fldCharType="end"/>
            </w:r>
          </w:hyperlink>
        </w:p>
        <w:p w14:paraId="7BFFE731" w14:textId="6E6F2C90"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6" w:history="1">
            <w:r w:rsidR="00B163A1" w:rsidRPr="00FC4CC3">
              <w:rPr>
                <w:rStyle w:val="Hyperlink"/>
                <w:noProof/>
              </w:rPr>
              <w:t>2. The Climate Crisis and Health</w:t>
            </w:r>
            <w:r w:rsidR="00B163A1">
              <w:rPr>
                <w:noProof/>
                <w:webHidden/>
              </w:rPr>
              <w:tab/>
            </w:r>
            <w:r w:rsidR="00B163A1">
              <w:rPr>
                <w:noProof/>
                <w:webHidden/>
              </w:rPr>
              <w:fldChar w:fldCharType="begin"/>
            </w:r>
            <w:r w:rsidR="00B163A1">
              <w:rPr>
                <w:noProof/>
                <w:webHidden/>
              </w:rPr>
              <w:instrText xml:space="preserve"> PAGEREF _Toc225937146 \h </w:instrText>
            </w:r>
            <w:r w:rsidR="00B163A1">
              <w:rPr>
                <w:noProof/>
                <w:webHidden/>
              </w:rPr>
            </w:r>
            <w:r w:rsidR="00B163A1">
              <w:rPr>
                <w:noProof/>
                <w:webHidden/>
              </w:rPr>
              <w:fldChar w:fldCharType="separate"/>
            </w:r>
            <w:r w:rsidR="00B163A1">
              <w:rPr>
                <w:noProof/>
                <w:webHidden/>
              </w:rPr>
              <w:t>22</w:t>
            </w:r>
            <w:r w:rsidR="00B163A1">
              <w:rPr>
                <w:noProof/>
                <w:webHidden/>
              </w:rPr>
              <w:fldChar w:fldCharType="end"/>
            </w:r>
          </w:hyperlink>
        </w:p>
        <w:p w14:paraId="235542B5" w14:textId="31A81528"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7" w:history="1">
            <w:r w:rsidR="00B163A1" w:rsidRPr="00FC4CC3">
              <w:rPr>
                <w:rStyle w:val="Hyperlink"/>
                <w:noProof/>
              </w:rPr>
              <w:t>Climate Change as a Public Health Issue</w:t>
            </w:r>
            <w:r w:rsidR="00B163A1">
              <w:rPr>
                <w:noProof/>
                <w:webHidden/>
              </w:rPr>
              <w:tab/>
            </w:r>
            <w:r w:rsidR="00B163A1">
              <w:rPr>
                <w:noProof/>
                <w:webHidden/>
              </w:rPr>
              <w:fldChar w:fldCharType="begin"/>
            </w:r>
            <w:r w:rsidR="00B163A1">
              <w:rPr>
                <w:noProof/>
                <w:webHidden/>
              </w:rPr>
              <w:instrText xml:space="preserve"> PAGEREF _Toc225937147 \h </w:instrText>
            </w:r>
            <w:r w:rsidR="00B163A1">
              <w:rPr>
                <w:noProof/>
                <w:webHidden/>
              </w:rPr>
            </w:r>
            <w:r w:rsidR="00B163A1">
              <w:rPr>
                <w:noProof/>
                <w:webHidden/>
              </w:rPr>
              <w:fldChar w:fldCharType="separate"/>
            </w:r>
            <w:r w:rsidR="00B163A1">
              <w:rPr>
                <w:noProof/>
                <w:webHidden/>
              </w:rPr>
              <w:t>22</w:t>
            </w:r>
            <w:r w:rsidR="00B163A1">
              <w:rPr>
                <w:noProof/>
                <w:webHidden/>
              </w:rPr>
              <w:fldChar w:fldCharType="end"/>
            </w:r>
          </w:hyperlink>
        </w:p>
        <w:p w14:paraId="18ECCFA1" w14:textId="784153F0"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8" w:history="1">
            <w:r w:rsidR="00B163A1" w:rsidRPr="00FC4CC3">
              <w:rPr>
                <w:rStyle w:val="Hyperlink"/>
                <w:noProof/>
              </w:rPr>
              <w:t>Impacts of Climate Change on Health Professionals and Leaders</w:t>
            </w:r>
            <w:r w:rsidR="00B163A1">
              <w:rPr>
                <w:noProof/>
                <w:webHidden/>
              </w:rPr>
              <w:tab/>
            </w:r>
            <w:r w:rsidR="00B163A1">
              <w:rPr>
                <w:noProof/>
                <w:webHidden/>
              </w:rPr>
              <w:fldChar w:fldCharType="begin"/>
            </w:r>
            <w:r w:rsidR="00B163A1">
              <w:rPr>
                <w:noProof/>
                <w:webHidden/>
              </w:rPr>
              <w:instrText xml:space="preserve"> PAGEREF _Toc225937148 \h </w:instrText>
            </w:r>
            <w:r w:rsidR="00B163A1">
              <w:rPr>
                <w:noProof/>
                <w:webHidden/>
              </w:rPr>
            </w:r>
            <w:r w:rsidR="00B163A1">
              <w:rPr>
                <w:noProof/>
                <w:webHidden/>
              </w:rPr>
              <w:fldChar w:fldCharType="separate"/>
            </w:r>
            <w:r w:rsidR="00B163A1">
              <w:rPr>
                <w:noProof/>
                <w:webHidden/>
              </w:rPr>
              <w:t>24</w:t>
            </w:r>
            <w:r w:rsidR="00B163A1">
              <w:rPr>
                <w:noProof/>
                <w:webHidden/>
              </w:rPr>
              <w:fldChar w:fldCharType="end"/>
            </w:r>
          </w:hyperlink>
        </w:p>
        <w:p w14:paraId="4FE61DF7" w14:textId="502CB603"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49" w:history="1">
            <w:r w:rsidR="00B163A1" w:rsidRPr="00FC4CC3">
              <w:rPr>
                <w:rStyle w:val="Hyperlink"/>
                <w:noProof/>
              </w:rPr>
              <w:t>Prevalence of extreme weather emergencies</w:t>
            </w:r>
            <w:r w:rsidR="00B163A1">
              <w:rPr>
                <w:noProof/>
                <w:webHidden/>
              </w:rPr>
              <w:tab/>
            </w:r>
            <w:r w:rsidR="00B163A1">
              <w:rPr>
                <w:noProof/>
                <w:webHidden/>
              </w:rPr>
              <w:fldChar w:fldCharType="begin"/>
            </w:r>
            <w:r w:rsidR="00B163A1">
              <w:rPr>
                <w:noProof/>
                <w:webHidden/>
              </w:rPr>
              <w:instrText xml:space="preserve"> PAGEREF _Toc225937149 \h </w:instrText>
            </w:r>
            <w:r w:rsidR="00B163A1">
              <w:rPr>
                <w:noProof/>
                <w:webHidden/>
              </w:rPr>
            </w:r>
            <w:r w:rsidR="00B163A1">
              <w:rPr>
                <w:noProof/>
                <w:webHidden/>
              </w:rPr>
              <w:fldChar w:fldCharType="separate"/>
            </w:r>
            <w:r w:rsidR="00B163A1">
              <w:rPr>
                <w:noProof/>
                <w:webHidden/>
              </w:rPr>
              <w:t>26</w:t>
            </w:r>
            <w:r w:rsidR="00B163A1">
              <w:rPr>
                <w:noProof/>
                <w:webHidden/>
              </w:rPr>
              <w:fldChar w:fldCharType="end"/>
            </w:r>
          </w:hyperlink>
        </w:p>
        <w:p w14:paraId="4A187BB3" w14:textId="292A6E19"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50" w:history="1">
            <w:r w:rsidR="00B163A1" w:rsidRPr="00FC4CC3">
              <w:rPr>
                <w:rStyle w:val="Hyperlink"/>
                <w:noProof/>
              </w:rPr>
              <w:t>Climate change as a unique threat</w:t>
            </w:r>
            <w:r w:rsidR="00B163A1">
              <w:rPr>
                <w:noProof/>
                <w:webHidden/>
              </w:rPr>
              <w:tab/>
            </w:r>
            <w:r w:rsidR="00B163A1">
              <w:rPr>
                <w:noProof/>
                <w:webHidden/>
              </w:rPr>
              <w:fldChar w:fldCharType="begin"/>
            </w:r>
            <w:r w:rsidR="00B163A1">
              <w:rPr>
                <w:noProof/>
                <w:webHidden/>
              </w:rPr>
              <w:instrText xml:space="preserve"> PAGEREF _Toc225937150 \h </w:instrText>
            </w:r>
            <w:r w:rsidR="00B163A1">
              <w:rPr>
                <w:noProof/>
                <w:webHidden/>
              </w:rPr>
            </w:r>
            <w:r w:rsidR="00B163A1">
              <w:rPr>
                <w:noProof/>
                <w:webHidden/>
              </w:rPr>
              <w:fldChar w:fldCharType="separate"/>
            </w:r>
            <w:r w:rsidR="00B163A1">
              <w:rPr>
                <w:noProof/>
                <w:webHidden/>
              </w:rPr>
              <w:t>27</w:t>
            </w:r>
            <w:r w:rsidR="00B163A1">
              <w:rPr>
                <w:noProof/>
                <w:webHidden/>
              </w:rPr>
              <w:fldChar w:fldCharType="end"/>
            </w:r>
          </w:hyperlink>
        </w:p>
        <w:p w14:paraId="284E5C3E" w14:textId="1C651B65"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51" w:history="1">
            <w:r w:rsidR="00B163A1" w:rsidRPr="00FC4CC3">
              <w:rPr>
                <w:rStyle w:val="Hyperlink"/>
                <w:noProof/>
              </w:rPr>
              <w:t>Statement of the Problem</w:t>
            </w:r>
            <w:r w:rsidR="00B163A1">
              <w:rPr>
                <w:noProof/>
                <w:webHidden/>
              </w:rPr>
              <w:tab/>
            </w:r>
            <w:r w:rsidR="00B163A1">
              <w:rPr>
                <w:noProof/>
                <w:webHidden/>
              </w:rPr>
              <w:fldChar w:fldCharType="begin"/>
            </w:r>
            <w:r w:rsidR="00B163A1">
              <w:rPr>
                <w:noProof/>
                <w:webHidden/>
              </w:rPr>
              <w:instrText xml:space="preserve"> PAGEREF _Toc225937151 \h </w:instrText>
            </w:r>
            <w:r w:rsidR="00B163A1">
              <w:rPr>
                <w:noProof/>
                <w:webHidden/>
              </w:rPr>
            </w:r>
            <w:r w:rsidR="00B163A1">
              <w:rPr>
                <w:noProof/>
                <w:webHidden/>
              </w:rPr>
              <w:fldChar w:fldCharType="separate"/>
            </w:r>
            <w:r w:rsidR="00B163A1">
              <w:rPr>
                <w:noProof/>
                <w:webHidden/>
              </w:rPr>
              <w:t>29</w:t>
            </w:r>
            <w:r w:rsidR="00B163A1">
              <w:rPr>
                <w:noProof/>
                <w:webHidden/>
              </w:rPr>
              <w:fldChar w:fldCharType="end"/>
            </w:r>
          </w:hyperlink>
        </w:p>
        <w:p w14:paraId="613584AC" w14:textId="2CB523BE"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52" w:history="1">
            <w:r w:rsidR="00B163A1" w:rsidRPr="00FC4CC3">
              <w:rPr>
                <w:rStyle w:val="Hyperlink"/>
                <w:noProof/>
              </w:rPr>
              <w:t>Purpose of the Study</w:t>
            </w:r>
            <w:r w:rsidR="00B163A1">
              <w:rPr>
                <w:noProof/>
                <w:webHidden/>
              </w:rPr>
              <w:tab/>
            </w:r>
            <w:r w:rsidR="00B163A1">
              <w:rPr>
                <w:noProof/>
                <w:webHidden/>
              </w:rPr>
              <w:fldChar w:fldCharType="begin"/>
            </w:r>
            <w:r w:rsidR="00B163A1">
              <w:rPr>
                <w:noProof/>
                <w:webHidden/>
              </w:rPr>
              <w:instrText xml:space="preserve"> PAGEREF _Toc225937152 \h </w:instrText>
            </w:r>
            <w:r w:rsidR="00B163A1">
              <w:rPr>
                <w:noProof/>
                <w:webHidden/>
              </w:rPr>
            </w:r>
            <w:r w:rsidR="00B163A1">
              <w:rPr>
                <w:noProof/>
                <w:webHidden/>
              </w:rPr>
              <w:fldChar w:fldCharType="separate"/>
            </w:r>
            <w:r w:rsidR="00B163A1">
              <w:rPr>
                <w:noProof/>
                <w:webHidden/>
              </w:rPr>
              <w:t>31</w:t>
            </w:r>
            <w:r w:rsidR="00B163A1">
              <w:rPr>
                <w:noProof/>
                <w:webHidden/>
              </w:rPr>
              <w:fldChar w:fldCharType="end"/>
            </w:r>
          </w:hyperlink>
        </w:p>
        <w:p w14:paraId="5D2FA5A1" w14:textId="0910E724"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53" w:history="1">
            <w:r w:rsidR="00B163A1" w:rsidRPr="00FC4CC3">
              <w:rPr>
                <w:rStyle w:val="Hyperlink"/>
                <w:noProof/>
              </w:rPr>
              <w:t>Research Questions</w:t>
            </w:r>
            <w:r w:rsidR="00B163A1">
              <w:rPr>
                <w:noProof/>
                <w:webHidden/>
              </w:rPr>
              <w:tab/>
            </w:r>
            <w:r w:rsidR="00B163A1">
              <w:rPr>
                <w:noProof/>
                <w:webHidden/>
              </w:rPr>
              <w:fldChar w:fldCharType="begin"/>
            </w:r>
            <w:r w:rsidR="00B163A1">
              <w:rPr>
                <w:noProof/>
                <w:webHidden/>
              </w:rPr>
              <w:instrText xml:space="preserve"> PAGEREF _Toc225937153 \h </w:instrText>
            </w:r>
            <w:r w:rsidR="00B163A1">
              <w:rPr>
                <w:noProof/>
                <w:webHidden/>
              </w:rPr>
            </w:r>
            <w:r w:rsidR="00B163A1">
              <w:rPr>
                <w:noProof/>
                <w:webHidden/>
              </w:rPr>
              <w:fldChar w:fldCharType="separate"/>
            </w:r>
            <w:r w:rsidR="00B163A1">
              <w:rPr>
                <w:noProof/>
                <w:webHidden/>
              </w:rPr>
              <w:t>32</w:t>
            </w:r>
            <w:r w:rsidR="00B163A1">
              <w:rPr>
                <w:noProof/>
                <w:webHidden/>
              </w:rPr>
              <w:fldChar w:fldCharType="end"/>
            </w:r>
          </w:hyperlink>
        </w:p>
        <w:p w14:paraId="07F207F4" w14:textId="102C863F"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54" w:history="1">
            <w:r w:rsidR="00B163A1" w:rsidRPr="00FC4CC3">
              <w:rPr>
                <w:rStyle w:val="Hyperlink"/>
                <w:noProof/>
              </w:rPr>
              <w:t>Significance of the Study</w:t>
            </w:r>
            <w:r w:rsidR="00B163A1">
              <w:rPr>
                <w:noProof/>
                <w:webHidden/>
              </w:rPr>
              <w:tab/>
            </w:r>
            <w:r w:rsidR="00B163A1">
              <w:rPr>
                <w:noProof/>
                <w:webHidden/>
              </w:rPr>
              <w:fldChar w:fldCharType="begin"/>
            </w:r>
            <w:r w:rsidR="00B163A1">
              <w:rPr>
                <w:noProof/>
                <w:webHidden/>
              </w:rPr>
              <w:instrText xml:space="preserve"> PAGEREF _Toc225937154 \h </w:instrText>
            </w:r>
            <w:r w:rsidR="00B163A1">
              <w:rPr>
                <w:noProof/>
                <w:webHidden/>
              </w:rPr>
            </w:r>
            <w:r w:rsidR="00B163A1">
              <w:rPr>
                <w:noProof/>
                <w:webHidden/>
              </w:rPr>
              <w:fldChar w:fldCharType="separate"/>
            </w:r>
            <w:r w:rsidR="00B163A1">
              <w:rPr>
                <w:noProof/>
                <w:webHidden/>
              </w:rPr>
              <w:t>32</w:t>
            </w:r>
            <w:r w:rsidR="00B163A1">
              <w:rPr>
                <w:noProof/>
                <w:webHidden/>
              </w:rPr>
              <w:fldChar w:fldCharType="end"/>
            </w:r>
          </w:hyperlink>
        </w:p>
        <w:p w14:paraId="6B27D5C8" w14:textId="48D0FAE7"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55" w:history="1">
            <w:r w:rsidR="00B163A1" w:rsidRPr="00FC4CC3">
              <w:rPr>
                <w:rStyle w:val="Hyperlink"/>
                <w:noProof/>
              </w:rPr>
              <w:t>Chapter Summary</w:t>
            </w:r>
            <w:r w:rsidR="00B163A1">
              <w:rPr>
                <w:noProof/>
                <w:webHidden/>
              </w:rPr>
              <w:tab/>
            </w:r>
            <w:r w:rsidR="00B163A1">
              <w:rPr>
                <w:noProof/>
                <w:webHidden/>
              </w:rPr>
              <w:fldChar w:fldCharType="begin"/>
            </w:r>
            <w:r w:rsidR="00B163A1">
              <w:rPr>
                <w:noProof/>
                <w:webHidden/>
              </w:rPr>
              <w:instrText xml:space="preserve"> PAGEREF _Toc225937155 \h </w:instrText>
            </w:r>
            <w:r w:rsidR="00B163A1">
              <w:rPr>
                <w:noProof/>
                <w:webHidden/>
              </w:rPr>
            </w:r>
            <w:r w:rsidR="00B163A1">
              <w:rPr>
                <w:noProof/>
                <w:webHidden/>
              </w:rPr>
              <w:fldChar w:fldCharType="separate"/>
            </w:r>
            <w:r w:rsidR="00B163A1">
              <w:rPr>
                <w:noProof/>
                <w:webHidden/>
              </w:rPr>
              <w:t>34</w:t>
            </w:r>
            <w:r w:rsidR="00B163A1">
              <w:rPr>
                <w:noProof/>
                <w:webHidden/>
              </w:rPr>
              <w:fldChar w:fldCharType="end"/>
            </w:r>
          </w:hyperlink>
        </w:p>
        <w:p w14:paraId="7241580F" w14:textId="03171960"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156" w:history="1">
            <w:r w:rsidR="00B163A1" w:rsidRPr="00FC4CC3">
              <w:rPr>
                <w:rStyle w:val="Hyperlink"/>
                <w:noProof/>
              </w:rPr>
              <w:t>Chapter II: Review of the Literature</w:t>
            </w:r>
            <w:r w:rsidR="00B163A1">
              <w:rPr>
                <w:noProof/>
                <w:webHidden/>
              </w:rPr>
              <w:tab/>
            </w:r>
            <w:r w:rsidR="00B163A1">
              <w:rPr>
                <w:noProof/>
                <w:webHidden/>
              </w:rPr>
              <w:fldChar w:fldCharType="begin"/>
            </w:r>
            <w:r w:rsidR="00B163A1">
              <w:rPr>
                <w:noProof/>
                <w:webHidden/>
              </w:rPr>
              <w:instrText xml:space="preserve"> PAGEREF _Toc225937156 \h </w:instrText>
            </w:r>
            <w:r w:rsidR="00B163A1">
              <w:rPr>
                <w:noProof/>
                <w:webHidden/>
              </w:rPr>
            </w:r>
            <w:r w:rsidR="00B163A1">
              <w:rPr>
                <w:noProof/>
                <w:webHidden/>
              </w:rPr>
              <w:fldChar w:fldCharType="separate"/>
            </w:r>
            <w:r w:rsidR="00B163A1">
              <w:rPr>
                <w:noProof/>
                <w:webHidden/>
              </w:rPr>
              <w:t>35</w:t>
            </w:r>
            <w:r w:rsidR="00B163A1">
              <w:rPr>
                <w:noProof/>
                <w:webHidden/>
              </w:rPr>
              <w:fldChar w:fldCharType="end"/>
            </w:r>
          </w:hyperlink>
        </w:p>
        <w:p w14:paraId="4FDC21C6" w14:textId="1A207522"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57" w:history="1">
            <w:r w:rsidR="00B163A1" w:rsidRPr="00FC4CC3">
              <w:rPr>
                <w:rStyle w:val="Hyperlink"/>
                <w:noProof/>
              </w:rPr>
              <w:t>Introduction</w:t>
            </w:r>
            <w:r w:rsidR="00B163A1">
              <w:rPr>
                <w:noProof/>
                <w:webHidden/>
              </w:rPr>
              <w:tab/>
            </w:r>
            <w:r w:rsidR="00B163A1">
              <w:rPr>
                <w:noProof/>
                <w:webHidden/>
              </w:rPr>
              <w:fldChar w:fldCharType="begin"/>
            </w:r>
            <w:r w:rsidR="00B163A1">
              <w:rPr>
                <w:noProof/>
                <w:webHidden/>
              </w:rPr>
              <w:instrText xml:space="preserve"> PAGEREF _Toc225937157 \h </w:instrText>
            </w:r>
            <w:r w:rsidR="00B163A1">
              <w:rPr>
                <w:noProof/>
                <w:webHidden/>
              </w:rPr>
            </w:r>
            <w:r w:rsidR="00B163A1">
              <w:rPr>
                <w:noProof/>
                <w:webHidden/>
              </w:rPr>
              <w:fldChar w:fldCharType="separate"/>
            </w:r>
            <w:r w:rsidR="00B163A1">
              <w:rPr>
                <w:noProof/>
                <w:webHidden/>
              </w:rPr>
              <w:t>35</w:t>
            </w:r>
            <w:r w:rsidR="00B163A1">
              <w:rPr>
                <w:noProof/>
                <w:webHidden/>
              </w:rPr>
              <w:fldChar w:fldCharType="end"/>
            </w:r>
          </w:hyperlink>
        </w:p>
        <w:p w14:paraId="4B08792D" w14:textId="59D3107D"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58" w:history="1">
            <w:r w:rsidR="00B163A1" w:rsidRPr="00FC4CC3">
              <w:rPr>
                <w:rStyle w:val="Hyperlink"/>
                <w:noProof/>
              </w:rPr>
              <w:t>Climate change and health education</w:t>
            </w:r>
            <w:r w:rsidR="00B163A1">
              <w:rPr>
                <w:noProof/>
                <w:webHidden/>
              </w:rPr>
              <w:tab/>
            </w:r>
            <w:r w:rsidR="00B163A1">
              <w:rPr>
                <w:noProof/>
                <w:webHidden/>
              </w:rPr>
              <w:fldChar w:fldCharType="begin"/>
            </w:r>
            <w:r w:rsidR="00B163A1">
              <w:rPr>
                <w:noProof/>
                <w:webHidden/>
              </w:rPr>
              <w:instrText xml:space="preserve"> PAGEREF _Toc225937158 \h </w:instrText>
            </w:r>
            <w:r w:rsidR="00B163A1">
              <w:rPr>
                <w:noProof/>
                <w:webHidden/>
              </w:rPr>
            </w:r>
            <w:r w:rsidR="00B163A1">
              <w:rPr>
                <w:noProof/>
                <w:webHidden/>
              </w:rPr>
              <w:fldChar w:fldCharType="separate"/>
            </w:r>
            <w:r w:rsidR="00B163A1">
              <w:rPr>
                <w:noProof/>
                <w:webHidden/>
              </w:rPr>
              <w:t>35</w:t>
            </w:r>
            <w:r w:rsidR="00B163A1">
              <w:rPr>
                <w:noProof/>
                <w:webHidden/>
              </w:rPr>
              <w:fldChar w:fldCharType="end"/>
            </w:r>
          </w:hyperlink>
        </w:p>
        <w:p w14:paraId="1F1DA1CB" w14:textId="7023AF2F"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59" w:history="1">
            <w:r w:rsidR="00B163A1" w:rsidRPr="00FC4CC3">
              <w:rPr>
                <w:rStyle w:val="Hyperlink"/>
                <w:noProof/>
              </w:rPr>
              <w:t>Health Professionals education and training needs</w:t>
            </w:r>
            <w:r w:rsidR="00B163A1">
              <w:rPr>
                <w:noProof/>
                <w:webHidden/>
              </w:rPr>
              <w:tab/>
            </w:r>
            <w:r w:rsidR="00B163A1">
              <w:rPr>
                <w:noProof/>
                <w:webHidden/>
              </w:rPr>
              <w:fldChar w:fldCharType="begin"/>
            </w:r>
            <w:r w:rsidR="00B163A1">
              <w:rPr>
                <w:noProof/>
                <w:webHidden/>
              </w:rPr>
              <w:instrText xml:space="preserve"> PAGEREF _Toc225937159 \h </w:instrText>
            </w:r>
            <w:r w:rsidR="00B163A1">
              <w:rPr>
                <w:noProof/>
                <w:webHidden/>
              </w:rPr>
            </w:r>
            <w:r w:rsidR="00B163A1">
              <w:rPr>
                <w:noProof/>
                <w:webHidden/>
              </w:rPr>
              <w:fldChar w:fldCharType="separate"/>
            </w:r>
            <w:r w:rsidR="00B163A1">
              <w:rPr>
                <w:noProof/>
                <w:webHidden/>
              </w:rPr>
              <w:t>36</w:t>
            </w:r>
            <w:r w:rsidR="00B163A1">
              <w:rPr>
                <w:noProof/>
                <w:webHidden/>
              </w:rPr>
              <w:fldChar w:fldCharType="end"/>
            </w:r>
          </w:hyperlink>
        </w:p>
        <w:p w14:paraId="4ED4B88B" w14:textId="60A336AE"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0" w:history="1">
            <w:r w:rsidR="00B163A1" w:rsidRPr="00FC4CC3">
              <w:rPr>
                <w:rStyle w:val="Hyperlink"/>
                <w:noProof/>
              </w:rPr>
              <w:t>The emerging evidence gap</w:t>
            </w:r>
            <w:r w:rsidR="00B163A1">
              <w:rPr>
                <w:noProof/>
                <w:webHidden/>
              </w:rPr>
              <w:tab/>
            </w:r>
            <w:r w:rsidR="00B163A1">
              <w:rPr>
                <w:noProof/>
                <w:webHidden/>
              </w:rPr>
              <w:fldChar w:fldCharType="begin"/>
            </w:r>
            <w:r w:rsidR="00B163A1">
              <w:rPr>
                <w:noProof/>
                <w:webHidden/>
              </w:rPr>
              <w:instrText xml:space="preserve"> PAGEREF _Toc225937160 \h </w:instrText>
            </w:r>
            <w:r w:rsidR="00B163A1">
              <w:rPr>
                <w:noProof/>
                <w:webHidden/>
              </w:rPr>
            </w:r>
            <w:r w:rsidR="00B163A1">
              <w:rPr>
                <w:noProof/>
                <w:webHidden/>
              </w:rPr>
              <w:fldChar w:fldCharType="separate"/>
            </w:r>
            <w:r w:rsidR="00B163A1">
              <w:rPr>
                <w:noProof/>
                <w:webHidden/>
              </w:rPr>
              <w:t>40</w:t>
            </w:r>
            <w:r w:rsidR="00B163A1">
              <w:rPr>
                <w:noProof/>
                <w:webHidden/>
              </w:rPr>
              <w:fldChar w:fldCharType="end"/>
            </w:r>
          </w:hyperlink>
        </w:p>
        <w:p w14:paraId="51B8977E" w14:textId="6878627D"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61" w:history="1">
            <w:r w:rsidR="00B163A1" w:rsidRPr="00FC4CC3">
              <w:rPr>
                <w:rStyle w:val="Hyperlink"/>
                <w:noProof/>
              </w:rPr>
              <w:t>Methods</w:t>
            </w:r>
            <w:r w:rsidR="00B163A1">
              <w:rPr>
                <w:noProof/>
                <w:webHidden/>
              </w:rPr>
              <w:tab/>
            </w:r>
            <w:r w:rsidR="00B163A1">
              <w:rPr>
                <w:noProof/>
                <w:webHidden/>
              </w:rPr>
              <w:fldChar w:fldCharType="begin"/>
            </w:r>
            <w:r w:rsidR="00B163A1">
              <w:rPr>
                <w:noProof/>
                <w:webHidden/>
              </w:rPr>
              <w:instrText xml:space="preserve"> PAGEREF _Toc225937161 \h </w:instrText>
            </w:r>
            <w:r w:rsidR="00B163A1">
              <w:rPr>
                <w:noProof/>
                <w:webHidden/>
              </w:rPr>
            </w:r>
            <w:r w:rsidR="00B163A1">
              <w:rPr>
                <w:noProof/>
                <w:webHidden/>
              </w:rPr>
              <w:fldChar w:fldCharType="separate"/>
            </w:r>
            <w:r w:rsidR="00B163A1">
              <w:rPr>
                <w:noProof/>
                <w:webHidden/>
              </w:rPr>
              <w:t>41</w:t>
            </w:r>
            <w:r w:rsidR="00B163A1">
              <w:rPr>
                <w:noProof/>
                <w:webHidden/>
              </w:rPr>
              <w:fldChar w:fldCharType="end"/>
            </w:r>
          </w:hyperlink>
        </w:p>
        <w:p w14:paraId="3198A54D" w14:textId="2BEB2C2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2" w:history="1">
            <w:r w:rsidR="00B163A1" w:rsidRPr="00FC4CC3">
              <w:rPr>
                <w:rStyle w:val="Hyperlink"/>
                <w:noProof/>
              </w:rPr>
              <w:t>Inclusion Criteria</w:t>
            </w:r>
            <w:r w:rsidR="00B163A1">
              <w:rPr>
                <w:noProof/>
                <w:webHidden/>
              </w:rPr>
              <w:tab/>
            </w:r>
            <w:r w:rsidR="00B163A1">
              <w:rPr>
                <w:noProof/>
                <w:webHidden/>
              </w:rPr>
              <w:fldChar w:fldCharType="begin"/>
            </w:r>
            <w:r w:rsidR="00B163A1">
              <w:rPr>
                <w:noProof/>
                <w:webHidden/>
              </w:rPr>
              <w:instrText xml:space="preserve"> PAGEREF _Toc225937162 \h </w:instrText>
            </w:r>
            <w:r w:rsidR="00B163A1">
              <w:rPr>
                <w:noProof/>
                <w:webHidden/>
              </w:rPr>
            </w:r>
            <w:r w:rsidR="00B163A1">
              <w:rPr>
                <w:noProof/>
                <w:webHidden/>
              </w:rPr>
              <w:fldChar w:fldCharType="separate"/>
            </w:r>
            <w:r w:rsidR="00B163A1">
              <w:rPr>
                <w:noProof/>
                <w:webHidden/>
              </w:rPr>
              <w:t>41</w:t>
            </w:r>
            <w:r w:rsidR="00B163A1">
              <w:rPr>
                <w:noProof/>
                <w:webHidden/>
              </w:rPr>
              <w:fldChar w:fldCharType="end"/>
            </w:r>
          </w:hyperlink>
        </w:p>
        <w:p w14:paraId="480A3D5C" w14:textId="1A396097"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3" w:history="1">
            <w:r w:rsidR="00B163A1" w:rsidRPr="00FC4CC3">
              <w:rPr>
                <w:rStyle w:val="Hyperlink"/>
                <w:noProof/>
              </w:rPr>
              <w:t>Concept</w:t>
            </w:r>
            <w:r w:rsidR="00B163A1">
              <w:rPr>
                <w:noProof/>
                <w:webHidden/>
              </w:rPr>
              <w:tab/>
            </w:r>
            <w:r w:rsidR="00B163A1">
              <w:rPr>
                <w:noProof/>
                <w:webHidden/>
              </w:rPr>
              <w:fldChar w:fldCharType="begin"/>
            </w:r>
            <w:r w:rsidR="00B163A1">
              <w:rPr>
                <w:noProof/>
                <w:webHidden/>
              </w:rPr>
              <w:instrText xml:space="preserve"> PAGEREF _Toc225937163 \h </w:instrText>
            </w:r>
            <w:r w:rsidR="00B163A1">
              <w:rPr>
                <w:noProof/>
                <w:webHidden/>
              </w:rPr>
            </w:r>
            <w:r w:rsidR="00B163A1">
              <w:rPr>
                <w:noProof/>
                <w:webHidden/>
              </w:rPr>
              <w:fldChar w:fldCharType="separate"/>
            </w:r>
            <w:r w:rsidR="00B163A1">
              <w:rPr>
                <w:noProof/>
                <w:webHidden/>
              </w:rPr>
              <w:t>41</w:t>
            </w:r>
            <w:r w:rsidR="00B163A1">
              <w:rPr>
                <w:noProof/>
                <w:webHidden/>
              </w:rPr>
              <w:fldChar w:fldCharType="end"/>
            </w:r>
          </w:hyperlink>
        </w:p>
        <w:p w14:paraId="4BE0C9B7" w14:textId="4AD7559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4" w:history="1">
            <w:r w:rsidR="00B163A1" w:rsidRPr="00FC4CC3">
              <w:rPr>
                <w:rStyle w:val="Hyperlink"/>
                <w:noProof/>
              </w:rPr>
              <w:t>Context</w:t>
            </w:r>
            <w:r w:rsidR="00B163A1">
              <w:rPr>
                <w:noProof/>
                <w:webHidden/>
              </w:rPr>
              <w:tab/>
            </w:r>
            <w:r w:rsidR="00B163A1">
              <w:rPr>
                <w:noProof/>
                <w:webHidden/>
              </w:rPr>
              <w:fldChar w:fldCharType="begin"/>
            </w:r>
            <w:r w:rsidR="00B163A1">
              <w:rPr>
                <w:noProof/>
                <w:webHidden/>
              </w:rPr>
              <w:instrText xml:space="preserve"> PAGEREF _Toc225937164 \h </w:instrText>
            </w:r>
            <w:r w:rsidR="00B163A1">
              <w:rPr>
                <w:noProof/>
                <w:webHidden/>
              </w:rPr>
            </w:r>
            <w:r w:rsidR="00B163A1">
              <w:rPr>
                <w:noProof/>
                <w:webHidden/>
              </w:rPr>
              <w:fldChar w:fldCharType="separate"/>
            </w:r>
            <w:r w:rsidR="00B163A1">
              <w:rPr>
                <w:noProof/>
                <w:webHidden/>
              </w:rPr>
              <w:t>42</w:t>
            </w:r>
            <w:r w:rsidR="00B163A1">
              <w:rPr>
                <w:noProof/>
                <w:webHidden/>
              </w:rPr>
              <w:fldChar w:fldCharType="end"/>
            </w:r>
          </w:hyperlink>
        </w:p>
        <w:p w14:paraId="09A73C6A" w14:textId="570CD6AE"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5" w:history="1">
            <w:r w:rsidR="00B163A1" w:rsidRPr="00FC4CC3">
              <w:rPr>
                <w:rStyle w:val="Hyperlink"/>
                <w:noProof/>
              </w:rPr>
              <w:t>Types of sources</w:t>
            </w:r>
            <w:r w:rsidR="00B163A1">
              <w:rPr>
                <w:noProof/>
                <w:webHidden/>
              </w:rPr>
              <w:tab/>
            </w:r>
            <w:r w:rsidR="00B163A1">
              <w:rPr>
                <w:noProof/>
                <w:webHidden/>
              </w:rPr>
              <w:fldChar w:fldCharType="begin"/>
            </w:r>
            <w:r w:rsidR="00B163A1">
              <w:rPr>
                <w:noProof/>
                <w:webHidden/>
              </w:rPr>
              <w:instrText xml:space="preserve"> PAGEREF _Toc225937165 \h </w:instrText>
            </w:r>
            <w:r w:rsidR="00B163A1">
              <w:rPr>
                <w:noProof/>
                <w:webHidden/>
              </w:rPr>
            </w:r>
            <w:r w:rsidR="00B163A1">
              <w:rPr>
                <w:noProof/>
                <w:webHidden/>
              </w:rPr>
              <w:fldChar w:fldCharType="separate"/>
            </w:r>
            <w:r w:rsidR="00B163A1">
              <w:rPr>
                <w:noProof/>
                <w:webHidden/>
              </w:rPr>
              <w:t>42</w:t>
            </w:r>
            <w:r w:rsidR="00B163A1">
              <w:rPr>
                <w:noProof/>
                <w:webHidden/>
              </w:rPr>
              <w:fldChar w:fldCharType="end"/>
            </w:r>
          </w:hyperlink>
        </w:p>
        <w:p w14:paraId="6FC55432" w14:textId="3CDA5EBD"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6" w:history="1">
            <w:r w:rsidR="00B163A1" w:rsidRPr="00FC4CC3">
              <w:rPr>
                <w:rStyle w:val="Hyperlink"/>
                <w:noProof/>
              </w:rPr>
              <w:t>Search strategy</w:t>
            </w:r>
            <w:r w:rsidR="00B163A1">
              <w:rPr>
                <w:noProof/>
                <w:webHidden/>
              </w:rPr>
              <w:tab/>
            </w:r>
            <w:r w:rsidR="00B163A1">
              <w:rPr>
                <w:noProof/>
                <w:webHidden/>
              </w:rPr>
              <w:fldChar w:fldCharType="begin"/>
            </w:r>
            <w:r w:rsidR="00B163A1">
              <w:rPr>
                <w:noProof/>
                <w:webHidden/>
              </w:rPr>
              <w:instrText xml:space="preserve"> PAGEREF _Toc225937166 \h </w:instrText>
            </w:r>
            <w:r w:rsidR="00B163A1">
              <w:rPr>
                <w:noProof/>
                <w:webHidden/>
              </w:rPr>
            </w:r>
            <w:r w:rsidR="00B163A1">
              <w:rPr>
                <w:noProof/>
                <w:webHidden/>
              </w:rPr>
              <w:fldChar w:fldCharType="separate"/>
            </w:r>
            <w:r w:rsidR="00B163A1">
              <w:rPr>
                <w:noProof/>
                <w:webHidden/>
              </w:rPr>
              <w:t>43</w:t>
            </w:r>
            <w:r w:rsidR="00B163A1">
              <w:rPr>
                <w:noProof/>
                <w:webHidden/>
              </w:rPr>
              <w:fldChar w:fldCharType="end"/>
            </w:r>
          </w:hyperlink>
        </w:p>
        <w:p w14:paraId="003BEA05" w14:textId="37290228"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7" w:history="1">
            <w:r w:rsidR="00B163A1" w:rsidRPr="00FC4CC3">
              <w:rPr>
                <w:rStyle w:val="Hyperlink"/>
                <w:noProof/>
              </w:rPr>
              <w:t>Study/Source of evidence selection</w:t>
            </w:r>
            <w:r w:rsidR="00B163A1">
              <w:rPr>
                <w:noProof/>
                <w:webHidden/>
              </w:rPr>
              <w:tab/>
            </w:r>
            <w:r w:rsidR="00B163A1">
              <w:rPr>
                <w:noProof/>
                <w:webHidden/>
              </w:rPr>
              <w:fldChar w:fldCharType="begin"/>
            </w:r>
            <w:r w:rsidR="00B163A1">
              <w:rPr>
                <w:noProof/>
                <w:webHidden/>
              </w:rPr>
              <w:instrText xml:space="preserve"> PAGEREF _Toc225937167 \h </w:instrText>
            </w:r>
            <w:r w:rsidR="00B163A1">
              <w:rPr>
                <w:noProof/>
                <w:webHidden/>
              </w:rPr>
            </w:r>
            <w:r w:rsidR="00B163A1">
              <w:rPr>
                <w:noProof/>
                <w:webHidden/>
              </w:rPr>
              <w:fldChar w:fldCharType="separate"/>
            </w:r>
            <w:r w:rsidR="00B163A1">
              <w:rPr>
                <w:noProof/>
                <w:webHidden/>
              </w:rPr>
              <w:t>45</w:t>
            </w:r>
            <w:r w:rsidR="00B163A1">
              <w:rPr>
                <w:noProof/>
                <w:webHidden/>
              </w:rPr>
              <w:fldChar w:fldCharType="end"/>
            </w:r>
          </w:hyperlink>
        </w:p>
        <w:p w14:paraId="158D6C01" w14:textId="4CD344AC"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8" w:history="1">
            <w:r w:rsidR="00B163A1" w:rsidRPr="00FC4CC3">
              <w:rPr>
                <w:rStyle w:val="Hyperlink"/>
                <w:noProof/>
              </w:rPr>
              <w:t>Table 1: PRISMA Flow Diagram</w:t>
            </w:r>
            <w:r w:rsidR="00B163A1">
              <w:rPr>
                <w:noProof/>
                <w:webHidden/>
              </w:rPr>
              <w:tab/>
            </w:r>
            <w:r w:rsidR="00B163A1">
              <w:rPr>
                <w:noProof/>
                <w:webHidden/>
              </w:rPr>
              <w:fldChar w:fldCharType="begin"/>
            </w:r>
            <w:r w:rsidR="00B163A1">
              <w:rPr>
                <w:noProof/>
                <w:webHidden/>
              </w:rPr>
              <w:instrText xml:space="preserve"> PAGEREF _Toc225937168 \h </w:instrText>
            </w:r>
            <w:r w:rsidR="00B163A1">
              <w:rPr>
                <w:noProof/>
                <w:webHidden/>
              </w:rPr>
            </w:r>
            <w:r w:rsidR="00B163A1">
              <w:rPr>
                <w:noProof/>
                <w:webHidden/>
              </w:rPr>
              <w:fldChar w:fldCharType="separate"/>
            </w:r>
            <w:r w:rsidR="00B163A1">
              <w:rPr>
                <w:noProof/>
                <w:webHidden/>
              </w:rPr>
              <w:t>46</w:t>
            </w:r>
            <w:r w:rsidR="00B163A1">
              <w:rPr>
                <w:noProof/>
                <w:webHidden/>
              </w:rPr>
              <w:fldChar w:fldCharType="end"/>
            </w:r>
          </w:hyperlink>
        </w:p>
        <w:p w14:paraId="6D751FF4" w14:textId="3A9F89B4"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69" w:history="1">
            <w:r w:rsidR="00B163A1" w:rsidRPr="00FC4CC3">
              <w:rPr>
                <w:rStyle w:val="Hyperlink"/>
                <w:noProof/>
              </w:rPr>
              <w:t>Figure 1: Distribution of studies by number and country</w:t>
            </w:r>
            <w:r w:rsidR="00B163A1">
              <w:rPr>
                <w:noProof/>
                <w:webHidden/>
              </w:rPr>
              <w:tab/>
            </w:r>
            <w:r w:rsidR="00B163A1">
              <w:rPr>
                <w:noProof/>
                <w:webHidden/>
              </w:rPr>
              <w:fldChar w:fldCharType="begin"/>
            </w:r>
            <w:r w:rsidR="00B163A1">
              <w:rPr>
                <w:noProof/>
                <w:webHidden/>
              </w:rPr>
              <w:instrText xml:space="preserve"> PAGEREF _Toc225937169 \h </w:instrText>
            </w:r>
            <w:r w:rsidR="00B163A1">
              <w:rPr>
                <w:noProof/>
                <w:webHidden/>
              </w:rPr>
            </w:r>
            <w:r w:rsidR="00B163A1">
              <w:rPr>
                <w:noProof/>
                <w:webHidden/>
              </w:rPr>
              <w:fldChar w:fldCharType="separate"/>
            </w:r>
            <w:r w:rsidR="00B163A1">
              <w:rPr>
                <w:noProof/>
                <w:webHidden/>
              </w:rPr>
              <w:t>47</w:t>
            </w:r>
            <w:r w:rsidR="00B163A1">
              <w:rPr>
                <w:noProof/>
                <w:webHidden/>
              </w:rPr>
              <w:fldChar w:fldCharType="end"/>
            </w:r>
          </w:hyperlink>
        </w:p>
        <w:p w14:paraId="4157C7B0" w14:textId="697D5323"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70" w:history="1">
            <w:r w:rsidR="00B163A1" w:rsidRPr="00FC4CC3">
              <w:rPr>
                <w:rStyle w:val="Hyperlink"/>
                <w:noProof/>
              </w:rPr>
              <w:t>Results</w:t>
            </w:r>
            <w:r w:rsidR="00B163A1">
              <w:rPr>
                <w:noProof/>
                <w:webHidden/>
              </w:rPr>
              <w:tab/>
            </w:r>
            <w:r w:rsidR="00B163A1">
              <w:rPr>
                <w:noProof/>
                <w:webHidden/>
              </w:rPr>
              <w:fldChar w:fldCharType="begin"/>
            </w:r>
            <w:r w:rsidR="00B163A1">
              <w:rPr>
                <w:noProof/>
                <w:webHidden/>
              </w:rPr>
              <w:instrText xml:space="preserve"> PAGEREF _Toc225937170 \h </w:instrText>
            </w:r>
            <w:r w:rsidR="00B163A1">
              <w:rPr>
                <w:noProof/>
                <w:webHidden/>
              </w:rPr>
            </w:r>
            <w:r w:rsidR="00B163A1">
              <w:rPr>
                <w:noProof/>
                <w:webHidden/>
              </w:rPr>
              <w:fldChar w:fldCharType="separate"/>
            </w:r>
            <w:r w:rsidR="00B163A1">
              <w:rPr>
                <w:noProof/>
                <w:webHidden/>
              </w:rPr>
              <w:t>47</w:t>
            </w:r>
            <w:r w:rsidR="00B163A1">
              <w:rPr>
                <w:noProof/>
                <w:webHidden/>
              </w:rPr>
              <w:fldChar w:fldCharType="end"/>
            </w:r>
          </w:hyperlink>
        </w:p>
        <w:p w14:paraId="5F947424" w14:textId="692B22A6"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71" w:history="1">
            <w:r w:rsidR="00B163A1" w:rsidRPr="00FC4CC3">
              <w:rPr>
                <w:rStyle w:val="Hyperlink"/>
                <w:noProof/>
              </w:rPr>
              <w:t>Table 2: Frequency count by year of intervention</w:t>
            </w:r>
            <w:r w:rsidR="00B163A1">
              <w:rPr>
                <w:noProof/>
                <w:webHidden/>
              </w:rPr>
              <w:tab/>
            </w:r>
            <w:r w:rsidR="00B163A1">
              <w:rPr>
                <w:noProof/>
                <w:webHidden/>
              </w:rPr>
              <w:fldChar w:fldCharType="begin"/>
            </w:r>
            <w:r w:rsidR="00B163A1">
              <w:rPr>
                <w:noProof/>
                <w:webHidden/>
              </w:rPr>
              <w:instrText xml:space="preserve"> PAGEREF _Toc225937171 \h </w:instrText>
            </w:r>
            <w:r w:rsidR="00B163A1">
              <w:rPr>
                <w:noProof/>
                <w:webHidden/>
              </w:rPr>
            </w:r>
            <w:r w:rsidR="00B163A1">
              <w:rPr>
                <w:noProof/>
                <w:webHidden/>
              </w:rPr>
              <w:fldChar w:fldCharType="separate"/>
            </w:r>
            <w:r w:rsidR="00B163A1">
              <w:rPr>
                <w:noProof/>
                <w:webHidden/>
              </w:rPr>
              <w:t>48</w:t>
            </w:r>
            <w:r w:rsidR="00B163A1">
              <w:rPr>
                <w:noProof/>
                <w:webHidden/>
              </w:rPr>
              <w:fldChar w:fldCharType="end"/>
            </w:r>
          </w:hyperlink>
        </w:p>
        <w:p w14:paraId="5D3874AC" w14:textId="6CDC6812"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72" w:history="1">
            <w:r w:rsidR="00B163A1" w:rsidRPr="00FC4CC3">
              <w:rPr>
                <w:rStyle w:val="Hyperlink"/>
                <w:noProof/>
              </w:rPr>
              <w:t xml:space="preserve">Table 3: Duration of interventions </w:t>
            </w:r>
            <w:r w:rsidR="00B163A1">
              <w:rPr>
                <w:noProof/>
                <w:webHidden/>
              </w:rPr>
              <w:tab/>
            </w:r>
            <w:r w:rsidR="00B163A1">
              <w:rPr>
                <w:noProof/>
                <w:webHidden/>
              </w:rPr>
              <w:fldChar w:fldCharType="begin"/>
            </w:r>
            <w:r w:rsidR="00B163A1">
              <w:rPr>
                <w:noProof/>
                <w:webHidden/>
              </w:rPr>
              <w:instrText xml:space="preserve"> PAGEREF _Toc225937172 \h </w:instrText>
            </w:r>
            <w:r w:rsidR="00B163A1">
              <w:rPr>
                <w:noProof/>
                <w:webHidden/>
              </w:rPr>
            </w:r>
            <w:r w:rsidR="00B163A1">
              <w:rPr>
                <w:noProof/>
                <w:webHidden/>
              </w:rPr>
              <w:fldChar w:fldCharType="separate"/>
            </w:r>
            <w:r w:rsidR="00B163A1">
              <w:rPr>
                <w:noProof/>
                <w:webHidden/>
              </w:rPr>
              <w:t>49</w:t>
            </w:r>
            <w:r w:rsidR="00B163A1">
              <w:rPr>
                <w:noProof/>
                <w:webHidden/>
              </w:rPr>
              <w:fldChar w:fldCharType="end"/>
            </w:r>
          </w:hyperlink>
        </w:p>
        <w:p w14:paraId="59E0E464" w14:textId="346DD2F1"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73" w:history="1">
            <w:r w:rsidR="00B163A1" w:rsidRPr="00FC4CC3">
              <w:rPr>
                <w:rStyle w:val="Hyperlink"/>
                <w:noProof/>
              </w:rPr>
              <w:t>Table 4: Frequency of Intervention Types</w:t>
            </w:r>
            <w:r w:rsidR="00B163A1">
              <w:rPr>
                <w:noProof/>
                <w:webHidden/>
              </w:rPr>
              <w:tab/>
            </w:r>
            <w:r w:rsidR="00B163A1">
              <w:rPr>
                <w:noProof/>
                <w:webHidden/>
              </w:rPr>
              <w:fldChar w:fldCharType="begin"/>
            </w:r>
            <w:r w:rsidR="00B163A1">
              <w:rPr>
                <w:noProof/>
                <w:webHidden/>
              </w:rPr>
              <w:instrText xml:space="preserve"> PAGEREF _Toc225937173 \h </w:instrText>
            </w:r>
            <w:r w:rsidR="00B163A1">
              <w:rPr>
                <w:noProof/>
                <w:webHidden/>
              </w:rPr>
            </w:r>
            <w:r w:rsidR="00B163A1">
              <w:rPr>
                <w:noProof/>
                <w:webHidden/>
              </w:rPr>
              <w:fldChar w:fldCharType="separate"/>
            </w:r>
            <w:r w:rsidR="00B163A1">
              <w:rPr>
                <w:noProof/>
                <w:webHidden/>
              </w:rPr>
              <w:t>50</w:t>
            </w:r>
            <w:r w:rsidR="00B163A1">
              <w:rPr>
                <w:noProof/>
                <w:webHidden/>
              </w:rPr>
              <w:fldChar w:fldCharType="end"/>
            </w:r>
          </w:hyperlink>
        </w:p>
        <w:p w14:paraId="23A6BE7A" w14:textId="2BF8F4D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74" w:history="1">
            <w:r w:rsidR="00B163A1" w:rsidRPr="00FC4CC3">
              <w:rPr>
                <w:rStyle w:val="Hyperlink"/>
                <w:noProof/>
              </w:rPr>
              <w:t>Table 5: Included competencies, type of intervention and findings</w:t>
            </w:r>
            <w:r w:rsidR="00B163A1">
              <w:rPr>
                <w:noProof/>
                <w:webHidden/>
              </w:rPr>
              <w:tab/>
            </w:r>
            <w:r w:rsidR="00B163A1">
              <w:rPr>
                <w:noProof/>
                <w:webHidden/>
              </w:rPr>
              <w:fldChar w:fldCharType="begin"/>
            </w:r>
            <w:r w:rsidR="00B163A1">
              <w:rPr>
                <w:noProof/>
                <w:webHidden/>
              </w:rPr>
              <w:instrText xml:space="preserve"> PAGEREF _Toc225937174 \h </w:instrText>
            </w:r>
            <w:r w:rsidR="00B163A1">
              <w:rPr>
                <w:noProof/>
                <w:webHidden/>
              </w:rPr>
            </w:r>
            <w:r w:rsidR="00B163A1">
              <w:rPr>
                <w:noProof/>
                <w:webHidden/>
              </w:rPr>
              <w:fldChar w:fldCharType="separate"/>
            </w:r>
            <w:r w:rsidR="00B163A1">
              <w:rPr>
                <w:noProof/>
                <w:webHidden/>
              </w:rPr>
              <w:t>51</w:t>
            </w:r>
            <w:r w:rsidR="00B163A1">
              <w:rPr>
                <w:noProof/>
                <w:webHidden/>
              </w:rPr>
              <w:fldChar w:fldCharType="end"/>
            </w:r>
          </w:hyperlink>
        </w:p>
        <w:p w14:paraId="4EE6023F" w14:textId="795892E2"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75" w:history="1">
            <w:r w:rsidR="00B163A1" w:rsidRPr="00FC4CC3">
              <w:rPr>
                <w:rStyle w:val="Hyperlink"/>
                <w:noProof/>
              </w:rPr>
              <w:t>Discussion and Review of Research</w:t>
            </w:r>
            <w:r w:rsidR="00B163A1">
              <w:rPr>
                <w:noProof/>
                <w:webHidden/>
              </w:rPr>
              <w:tab/>
            </w:r>
            <w:r w:rsidR="00B163A1">
              <w:rPr>
                <w:noProof/>
                <w:webHidden/>
              </w:rPr>
              <w:fldChar w:fldCharType="begin"/>
            </w:r>
            <w:r w:rsidR="00B163A1">
              <w:rPr>
                <w:noProof/>
                <w:webHidden/>
              </w:rPr>
              <w:instrText xml:space="preserve"> PAGEREF _Toc225937175 \h </w:instrText>
            </w:r>
            <w:r w:rsidR="00B163A1">
              <w:rPr>
                <w:noProof/>
                <w:webHidden/>
              </w:rPr>
            </w:r>
            <w:r w:rsidR="00B163A1">
              <w:rPr>
                <w:noProof/>
                <w:webHidden/>
              </w:rPr>
              <w:fldChar w:fldCharType="separate"/>
            </w:r>
            <w:r w:rsidR="00B163A1">
              <w:rPr>
                <w:noProof/>
                <w:webHidden/>
              </w:rPr>
              <w:t>53</w:t>
            </w:r>
            <w:r w:rsidR="00B163A1">
              <w:rPr>
                <w:noProof/>
                <w:webHidden/>
              </w:rPr>
              <w:fldChar w:fldCharType="end"/>
            </w:r>
          </w:hyperlink>
        </w:p>
        <w:p w14:paraId="68F10001" w14:textId="04ECB22D"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76" w:history="1">
            <w:r w:rsidR="00B163A1" w:rsidRPr="00FC4CC3">
              <w:rPr>
                <w:rStyle w:val="Hyperlink"/>
                <w:noProof/>
              </w:rPr>
              <w:t>Chapter Summary</w:t>
            </w:r>
            <w:r w:rsidR="00B163A1">
              <w:rPr>
                <w:noProof/>
                <w:webHidden/>
              </w:rPr>
              <w:tab/>
            </w:r>
            <w:r w:rsidR="00B163A1">
              <w:rPr>
                <w:noProof/>
                <w:webHidden/>
              </w:rPr>
              <w:fldChar w:fldCharType="begin"/>
            </w:r>
            <w:r w:rsidR="00B163A1">
              <w:rPr>
                <w:noProof/>
                <w:webHidden/>
              </w:rPr>
              <w:instrText xml:space="preserve"> PAGEREF _Toc225937176 \h </w:instrText>
            </w:r>
            <w:r w:rsidR="00B163A1">
              <w:rPr>
                <w:noProof/>
                <w:webHidden/>
              </w:rPr>
            </w:r>
            <w:r w:rsidR="00B163A1">
              <w:rPr>
                <w:noProof/>
                <w:webHidden/>
              </w:rPr>
              <w:fldChar w:fldCharType="separate"/>
            </w:r>
            <w:r w:rsidR="00B163A1">
              <w:rPr>
                <w:noProof/>
                <w:webHidden/>
              </w:rPr>
              <w:t>55</w:t>
            </w:r>
            <w:r w:rsidR="00B163A1">
              <w:rPr>
                <w:noProof/>
                <w:webHidden/>
              </w:rPr>
              <w:fldChar w:fldCharType="end"/>
            </w:r>
          </w:hyperlink>
        </w:p>
        <w:p w14:paraId="009A0D65" w14:textId="41F90028"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177" w:history="1">
            <w:r w:rsidR="00B163A1" w:rsidRPr="00FC4CC3">
              <w:rPr>
                <w:rStyle w:val="Hyperlink"/>
                <w:noProof/>
              </w:rPr>
              <w:t>CHAPTER III: RESEARCH METHODOLOGY</w:t>
            </w:r>
            <w:r w:rsidR="00B163A1">
              <w:rPr>
                <w:noProof/>
                <w:webHidden/>
              </w:rPr>
              <w:tab/>
            </w:r>
            <w:r w:rsidR="00B163A1">
              <w:rPr>
                <w:noProof/>
                <w:webHidden/>
              </w:rPr>
              <w:fldChar w:fldCharType="begin"/>
            </w:r>
            <w:r w:rsidR="00B163A1">
              <w:rPr>
                <w:noProof/>
                <w:webHidden/>
              </w:rPr>
              <w:instrText xml:space="preserve"> PAGEREF _Toc225937177 \h </w:instrText>
            </w:r>
            <w:r w:rsidR="00B163A1">
              <w:rPr>
                <w:noProof/>
                <w:webHidden/>
              </w:rPr>
            </w:r>
            <w:r w:rsidR="00B163A1">
              <w:rPr>
                <w:noProof/>
                <w:webHidden/>
              </w:rPr>
              <w:fldChar w:fldCharType="separate"/>
            </w:r>
            <w:r w:rsidR="00B163A1">
              <w:rPr>
                <w:noProof/>
                <w:webHidden/>
              </w:rPr>
              <w:t>57</w:t>
            </w:r>
            <w:r w:rsidR="00B163A1">
              <w:rPr>
                <w:noProof/>
                <w:webHidden/>
              </w:rPr>
              <w:fldChar w:fldCharType="end"/>
            </w:r>
          </w:hyperlink>
        </w:p>
        <w:p w14:paraId="310085CD" w14:textId="5F171F96"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78" w:history="1">
            <w:r w:rsidR="00B163A1" w:rsidRPr="00FC4CC3">
              <w:rPr>
                <w:rStyle w:val="Hyperlink"/>
                <w:noProof/>
              </w:rPr>
              <w:t>Introduction</w:t>
            </w:r>
            <w:r w:rsidR="00B163A1">
              <w:rPr>
                <w:noProof/>
                <w:webHidden/>
              </w:rPr>
              <w:tab/>
            </w:r>
            <w:r w:rsidR="00B163A1">
              <w:rPr>
                <w:noProof/>
                <w:webHidden/>
              </w:rPr>
              <w:fldChar w:fldCharType="begin"/>
            </w:r>
            <w:r w:rsidR="00B163A1">
              <w:rPr>
                <w:noProof/>
                <w:webHidden/>
              </w:rPr>
              <w:instrText xml:space="preserve"> PAGEREF _Toc225937178 \h </w:instrText>
            </w:r>
            <w:r w:rsidR="00B163A1">
              <w:rPr>
                <w:noProof/>
                <w:webHidden/>
              </w:rPr>
            </w:r>
            <w:r w:rsidR="00B163A1">
              <w:rPr>
                <w:noProof/>
                <w:webHidden/>
              </w:rPr>
              <w:fldChar w:fldCharType="separate"/>
            </w:r>
            <w:r w:rsidR="00B163A1">
              <w:rPr>
                <w:noProof/>
                <w:webHidden/>
              </w:rPr>
              <w:t>57</w:t>
            </w:r>
            <w:r w:rsidR="00B163A1">
              <w:rPr>
                <w:noProof/>
                <w:webHidden/>
              </w:rPr>
              <w:fldChar w:fldCharType="end"/>
            </w:r>
          </w:hyperlink>
        </w:p>
        <w:p w14:paraId="7C19E675" w14:textId="145FA7CD"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79" w:history="1">
            <w:r w:rsidR="00B163A1" w:rsidRPr="00FC4CC3">
              <w:rPr>
                <w:rStyle w:val="Hyperlink"/>
                <w:noProof/>
              </w:rPr>
              <w:t>Research Design</w:t>
            </w:r>
            <w:r w:rsidR="00B163A1">
              <w:rPr>
                <w:noProof/>
                <w:webHidden/>
              </w:rPr>
              <w:tab/>
            </w:r>
            <w:r w:rsidR="00B163A1">
              <w:rPr>
                <w:noProof/>
                <w:webHidden/>
              </w:rPr>
              <w:fldChar w:fldCharType="begin"/>
            </w:r>
            <w:r w:rsidR="00B163A1">
              <w:rPr>
                <w:noProof/>
                <w:webHidden/>
              </w:rPr>
              <w:instrText xml:space="preserve"> PAGEREF _Toc225937179 \h </w:instrText>
            </w:r>
            <w:r w:rsidR="00B163A1">
              <w:rPr>
                <w:noProof/>
                <w:webHidden/>
              </w:rPr>
            </w:r>
            <w:r w:rsidR="00B163A1">
              <w:rPr>
                <w:noProof/>
                <w:webHidden/>
              </w:rPr>
              <w:fldChar w:fldCharType="separate"/>
            </w:r>
            <w:r w:rsidR="00B163A1">
              <w:rPr>
                <w:noProof/>
                <w:webHidden/>
              </w:rPr>
              <w:t>58</w:t>
            </w:r>
            <w:r w:rsidR="00B163A1">
              <w:rPr>
                <w:noProof/>
                <w:webHidden/>
              </w:rPr>
              <w:fldChar w:fldCharType="end"/>
            </w:r>
          </w:hyperlink>
        </w:p>
        <w:p w14:paraId="08AB0BCF" w14:textId="21F65D2F"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0" w:history="1">
            <w:r w:rsidR="00B163A1" w:rsidRPr="00FC4CC3">
              <w:rPr>
                <w:rStyle w:val="Hyperlink"/>
                <w:noProof/>
              </w:rPr>
              <w:t>Philosophical underpinning</w:t>
            </w:r>
            <w:r w:rsidR="00B163A1">
              <w:rPr>
                <w:noProof/>
                <w:webHidden/>
              </w:rPr>
              <w:tab/>
            </w:r>
            <w:r w:rsidR="00B163A1">
              <w:rPr>
                <w:noProof/>
                <w:webHidden/>
              </w:rPr>
              <w:fldChar w:fldCharType="begin"/>
            </w:r>
            <w:r w:rsidR="00B163A1">
              <w:rPr>
                <w:noProof/>
                <w:webHidden/>
              </w:rPr>
              <w:instrText xml:space="preserve"> PAGEREF _Toc225937180 \h </w:instrText>
            </w:r>
            <w:r w:rsidR="00B163A1">
              <w:rPr>
                <w:noProof/>
                <w:webHidden/>
              </w:rPr>
            </w:r>
            <w:r w:rsidR="00B163A1">
              <w:rPr>
                <w:noProof/>
                <w:webHidden/>
              </w:rPr>
              <w:fldChar w:fldCharType="separate"/>
            </w:r>
            <w:r w:rsidR="00B163A1">
              <w:rPr>
                <w:noProof/>
                <w:webHidden/>
              </w:rPr>
              <w:t>58</w:t>
            </w:r>
            <w:r w:rsidR="00B163A1">
              <w:rPr>
                <w:noProof/>
                <w:webHidden/>
              </w:rPr>
              <w:fldChar w:fldCharType="end"/>
            </w:r>
          </w:hyperlink>
        </w:p>
        <w:p w14:paraId="24F0B248" w14:textId="5379B147"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1" w:history="1">
            <w:r w:rsidR="00B163A1" w:rsidRPr="00FC4CC3">
              <w:rPr>
                <w:rStyle w:val="Hyperlink"/>
                <w:noProof/>
              </w:rPr>
              <w:t>Defining Quantitative Methods</w:t>
            </w:r>
            <w:r w:rsidR="00B163A1">
              <w:rPr>
                <w:noProof/>
                <w:webHidden/>
              </w:rPr>
              <w:tab/>
            </w:r>
            <w:r w:rsidR="00B163A1">
              <w:rPr>
                <w:noProof/>
                <w:webHidden/>
              </w:rPr>
              <w:fldChar w:fldCharType="begin"/>
            </w:r>
            <w:r w:rsidR="00B163A1">
              <w:rPr>
                <w:noProof/>
                <w:webHidden/>
              </w:rPr>
              <w:instrText xml:space="preserve"> PAGEREF _Toc225937181 \h </w:instrText>
            </w:r>
            <w:r w:rsidR="00B163A1">
              <w:rPr>
                <w:noProof/>
                <w:webHidden/>
              </w:rPr>
            </w:r>
            <w:r w:rsidR="00B163A1">
              <w:rPr>
                <w:noProof/>
                <w:webHidden/>
              </w:rPr>
              <w:fldChar w:fldCharType="separate"/>
            </w:r>
            <w:r w:rsidR="00B163A1">
              <w:rPr>
                <w:noProof/>
                <w:webHidden/>
              </w:rPr>
              <w:t>60</w:t>
            </w:r>
            <w:r w:rsidR="00B163A1">
              <w:rPr>
                <w:noProof/>
                <w:webHidden/>
              </w:rPr>
              <w:fldChar w:fldCharType="end"/>
            </w:r>
          </w:hyperlink>
        </w:p>
        <w:p w14:paraId="40F442D5" w14:textId="600A1F4F"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2" w:history="1">
            <w:r w:rsidR="00B163A1" w:rsidRPr="00FC4CC3">
              <w:rPr>
                <w:rStyle w:val="Hyperlink"/>
                <w:noProof/>
              </w:rPr>
              <w:t>Alternate designs</w:t>
            </w:r>
            <w:r w:rsidR="00B163A1">
              <w:rPr>
                <w:noProof/>
                <w:webHidden/>
              </w:rPr>
              <w:tab/>
            </w:r>
            <w:r w:rsidR="00B163A1">
              <w:rPr>
                <w:noProof/>
                <w:webHidden/>
              </w:rPr>
              <w:fldChar w:fldCharType="begin"/>
            </w:r>
            <w:r w:rsidR="00B163A1">
              <w:rPr>
                <w:noProof/>
                <w:webHidden/>
              </w:rPr>
              <w:instrText xml:space="preserve"> PAGEREF _Toc225937182 \h </w:instrText>
            </w:r>
            <w:r w:rsidR="00B163A1">
              <w:rPr>
                <w:noProof/>
                <w:webHidden/>
              </w:rPr>
            </w:r>
            <w:r w:rsidR="00B163A1">
              <w:rPr>
                <w:noProof/>
                <w:webHidden/>
              </w:rPr>
              <w:fldChar w:fldCharType="separate"/>
            </w:r>
            <w:r w:rsidR="00B163A1">
              <w:rPr>
                <w:noProof/>
                <w:webHidden/>
              </w:rPr>
              <w:t>61</w:t>
            </w:r>
            <w:r w:rsidR="00B163A1">
              <w:rPr>
                <w:noProof/>
                <w:webHidden/>
              </w:rPr>
              <w:fldChar w:fldCharType="end"/>
            </w:r>
          </w:hyperlink>
        </w:p>
        <w:p w14:paraId="75B4B493" w14:textId="1EDB0923"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3" w:history="1">
            <w:r w:rsidR="00B163A1" w:rsidRPr="00FC4CC3">
              <w:rPr>
                <w:rStyle w:val="Hyperlink"/>
                <w:noProof/>
              </w:rPr>
              <w:t>Figure 2: Alternative Mixed Methods Approach (Explanatory Sequential Design)</w:t>
            </w:r>
            <w:r w:rsidR="00B163A1">
              <w:rPr>
                <w:noProof/>
                <w:webHidden/>
              </w:rPr>
              <w:tab/>
            </w:r>
            <w:r w:rsidR="00B163A1">
              <w:rPr>
                <w:noProof/>
                <w:webHidden/>
              </w:rPr>
              <w:fldChar w:fldCharType="begin"/>
            </w:r>
            <w:r w:rsidR="00B163A1">
              <w:rPr>
                <w:noProof/>
                <w:webHidden/>
              </w:rPr>
              <w:instrText xml:space="preserve"> PAGEREF _Toc225937183 \h </w:instrText>
            </w:r>
            <w:r w:rsidR="00B163A1">
              <w:rPr>
                <w:noProof/>
                <w:webHidden/>
              </w:rPr>
            </w:r>
            <w:r w:rsidR="00B163A1">
              <w:rPr>
                <w:noProof/>
                <w:webHidden/>
              </w:rPr>
              <w:fldChar w:fldCharType="separate"/>
            </w:r>
            <w:r w:rsidR="00B163A1">
              <w:rPr>
                <w:noProof/>
                <w:webHidden/>
              </w:rPr>
              <w:t>61</w:t>
            </w:r>
            <w:r w:rsidR="00B163A1">
              <w:rPr>
                <w:noProof/>
                <w:webHidden/>
              </w:rPr>
              <w:fldChar w:fldCharType="end"/>
            </w:r>
          </w:hyperlink>
        </w:p>
        <w:p w14:paraId="30806B62" w14:textId="40B129A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4" w:history="1">
            <w:r w:rsidR="00B163A1" w:rsidRPr="00FC4CC3">
              <w:rPr>
                <w:rStyle w:val="Hyperlink"/>
                <w:noProof/>
              </w:rPr>
              <w:t>Table 6 Quantitative and Qualitative Constructs</w:t>
            </w:r>
            <w:r w:rsidR="00B163A1">
              <w:rPr>
                <w:noProof/>
                <w:webHidden/>
              </w:rPr>
              <w:tab/>
            </w:r>
            <w:r w:rsidR="00B163A1">
              <w:rPr>
                <w:noProof/>
                <w:webHidden/>
              </w:rPr>
              <w:fldChar w:fldCharType="begin"/>
            </w:r>
            <w:r w:rsidR="00B163A1">
              <w:rPr>
                <w:noProof/>
                <w:webHidden/>
              </w:rPr>
              <w:instrText xml:space="preserve"> PAGEREF _Toc225937184 \h </w:instrText>
            </w:r>
            <w:r w:rsidR="00B163A1">
              <w:rPr>
                <w:noProof/>
                <w:webHidden/>
              </w:rPr>
            </w:r>
            <w:r w:rsidR="00B163A1">
              <w:rPr>
                <w:noProof/>
                <w:webHidden/>
              </w:rPr>
              <w:fldChar w:fldCharType="separate"/>
            </w:r>
            <w:r w:rsidR="00B163A1">
              <w:rPr>
                <w:noProof/>
                <w:webHidden/>
              </w:rPr>
              <w:t>62</w:t>
            </w:r>
            <w:r w:rsidR="00B163A1">
              <w:rPr>
                <w:noProof/>
                <w:webHidden/>
              </w:rPr>
              <w:fldChar w:fldCharType="end"/>
            </w:r>
          </w:hyperlink>
        </w:p>
        <w:p w14:paraId="49A44B5E" w14:textId="3AA50F72"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5" w:history="1">
            <w:r w:rsidR="00B163A1" w:rsidRPr="00FC4CC3">
              <w:rPr>
                <w:rStyle w:val="Hyperlink"/>
                <w:noProof/>
              </w:rPr>
              <w:t>Research Questions</w:t>
            </w:r>
            <w:r w:rsidR="00B163A1">
              <w:rPr>
                <w:noProof/>
                <w:webHidden/>
              </w:rPr>
              <w:tab/>
            </w:r>
            <w:r w:rsidR="00B163A1">
              <w:rPr>
                <w:noProof/>
                <w:webHidden/>
              </w:rPr>
              <w:fldChar w:fldCharType="begin"/>
            </w:r>
            <w:r w:rsidR="00B163A1">
              <w:rPr>
                <w:noProof/>
                <w:webHidden/>
              </w:rPr>
              <w:instrText xml:space="preserve"> PAGEREF _Toc225937185 \h </w:instrText>
            </w:r>
            <w:r w:rsidR="00B163A1">
              <w:rPr>
                <w:noProof/>
                <w:webHidden/>
              </w:rPr>
            </w:r>
            <w:r w:rsidR="00B163A1">
              <w:rPr>
                <w:noProof/>
                <w:webHidden/>
              </w:rPr>
              <w:fldChar w:fldCharType="separate"/>
            </w:r>
            <w:r w:rsidR="00B163A1">
              <w:rPr>
                <w:noProof/>
                <w:webHidden/>
              </w:rPr>
              <w:t>62</w:t>
            </w:r>
            <w:r w:rsidR="00B163A1">
              <w:rPr>
                <w:noProof/>
                <w:webHidden/>
              </w:rPr>
              <w:fldChar w:fldCharType="end"/>
            </w:r>
          </w:hyperlink>
        </w:p>
        <w:p w14:paraId="3EEC3AE7" w14:textId="00DC951D"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86" w:history="1">
            <w:r w:rsidR="00B163A1" w:rsidRPr="00FC4CC3">
              <w:rPr>
                <w:rStyle w:val="Hyperlink"/>
                <w:noProof/>
              </w:rPr>
              <w:t>Study design</w:t>
            </w:r>
            <w:r w:rsidR="00B163A1">
              <w:rPr>
                <w:noProof/>
                <w:webHidden/>
              </w:rPr>
              <w:tab/>
            </w:r>
            <w:r w:rsidR="00B163A1">
              <w:rPr>
                <w:noProof/>
                <w:webHidden/>
              </w:rPr>
              <w:fldChar w:fldCharType="begin"/>
            </w:r>
            <w:r w:rsidR="00B163A1">
              <w:rPr>
                <w:noProof/>
                <w:webHidden/>
              </w:rPr>
              <w:instrText xml:space="preserve"> PAGEREF _Toc225937186 \h </w:instrText>
            </w:r>
            <w:r w:rsidR="00B163A1">
              <w:rPr>
                <w:noProof/>
                <w:webHidden/>
              </w:rPr>
            </w:r>
            <w:r w:rsidR="00B163A1">
              <w:rPr>
                <w:noProof/>
                <w:webHidden/>
              </w:rPr>
              <w:fldChar w:fldCharType="separate"/>
            </w:r>
            <w:r w:rsidR="00B163A1">
              <w:rPr>
                <w:noProof/>
                <w:webHidden/>
              </w:rPr>
              <w:t>62</w:t>
            </w:r>
            <w:r w:rsidR="00B163A1">
              <w:rPr>
                <w:noProof/>
                <w:webHidden/>
              </w:rPr>
              <w:fldChar w:fldCharType="end"/>
            </w:r>
          </w:hyperlink>
        </w:p>
        <w:p w14:paraId="079C7D06" w14:textId="2B8BCE81"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7" w:history="1">
            <w:r w:rsidR="00B163A1" w:rsidRPr="00FC4CC3">
              <w:rPr>
                <w:rStyle w:val="Hyperlink"/>
                <w:noProof/>
              </w:rPr>
              <w:t>Pre-Study: Scoping review of literature</w:t>
            </w:r>
            <w:r w:rsidR="00B163A1">
              <w:rPr>
                <w:noProof/>
                <w:webHidden/>
              </w:rPr>
              <w:tab/>
            </w:r>
            <w:r w:rsidR="00B163A1">
              <w:rPr>
                <w:noProof/>
                <w:webHidden/>
              </w:rPr>
              <w:fldChar w:fldCharType="begin"/>
            </w:r>
            <w:r w:rsidR="00B163A1">
              <w:rPr>
                <w:noProof/>
                <w:webHidden/>
              </w:rPr>
              <w:instrText xml:space="preserve"> PAGEREF _Toc225937187 \h </w:instrText>
            </w:r>
            <w:r w:rsidR="00B163A1">
              <w:rPr>
                <w:noProof/>
                <w:webHidden/>
              </w:rPr>
            </w:r>
            <w:r w:rsidR="00B163A1">
              <w:rPr>
                <w:noProof/>
                <w:webHidden/>
              </w:rPr>
              <w:fldChar w:fldCharType="separate"/>
            </w:r>
            <w:r w:rsidR="00B163A1">
              <w:rPr>
                <w:noProof/>
                <w:webHidden/>
              </w:rPr>
              <w:t>63</w:t>
            </w:r>
            <w:r w:rsidR="00B163A1">
              <w:rPr>
                <w:noProof/>
                <w:webHidden/>
              </w:rPr>
              <w:fldChar w:fldCharType="end"/>
            </w:r>
          </w:hyperlink>
        </w:p>
        <w:p w14:paraId="1974FF23" w14:textId="544CA8BC"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8" w:history="1">
            <w:r w:rsidR="00B163A1" w:rsidRPr="00FC4CC3">
              <w:rPr>
                <w:rStyle w:val="Hyperlink"/>
                <w:noProof/>
              </w:rPr>
              <w:t>Phase 1 Health Leader Survey</w:t>
            </w:r>
            <w:r w:rsidR="00B163A1">
              <w:rPr>
                <w:noProof/>
                <w:webHidden/>
              </w:rPr>
              <w:tab/>
            </w:r>
            <w:r w:rsidR="00B163A1">
              <w:rPr>
                <w:noProof/>
                <w:webHidden/>
              </w:rPr>
              <w:fldChar w:fldCharType="begin"/>
            </w:r>
            <w:r w:rsidR="00B163A1">
              <w:rPr>
                <w:noProof/>
                <w:webHidden/>
              </w:rPr>
              <w:instrText xml:space="preserve"> PAGEREF _Toc225937188 \h </w:instrText>
            </w:r>
            <w:r w:rsidR="00B163A1">
              <w:rPr>
                <w:noProof/>
                <w:webHidden/>
              </w:rPr>
            </w:r>
            <w:r w:rsidR="00B163A1">
              <w:rPr>
                <w:noProof/>
                <w:webHidden/>
              </w:rPr>
              <w:fldChar w:fldCharType="separate"/>
            </w:r>
            <w:r w:rsidR="00B163A1">
              <w:rPr>
                <w:noProof/>
                <w:webHidden/>
              </w:rPr>
              <w:t>64</w:t>
            </w:r>
            <w:r w:rsidR="00B163A1">
              <w:rPr>
                <w:noProof/>
                <w:webHidden/>
              </w:rPr>
              <w:fldChar w:fldCharType="end"/>
            </w:r>
          </w:hyperlink>
        </w:p>
        <w:p w14:paraId="386C9EC8" w14:textId="2EFFC2E8"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89" w:history="1">
            <w:r w:rsidR="00B163A1" w:rsidRPr="00FC4CC3">
              <w:rPr>
                <w:rStyle w:val="Hyperlink"/>
                <w:noProof/>
              </w:rPr>
              <w:t>Setting</w:t>
            </w:r>
            <w:r w:rsidR="00B163A1">
              <w:rPr>
                <w:noProof/>
                <w:webHidden/>
              </w:rPr>
              <w:tab/>
            </w:r>
            <w:r w:rsidR="00B163A1">
              <w:rPr>
                <w:noProof/>
                <w:webHidden/>
              </w:rPr>
              <w:fldChar w:fldCharType="begin"/>
            </w:r>
            <w:r w:rsidR="00B163A1">
              <w:rPr>
                <w:noProof/>
                <w:webHidden/>
              </w:rPr>
              <w:instrText xml:space="preserve"> PAGEREF _Toc225937189 \h </w:instrText>
            </w:r>
            <w:r w:rsidR="00B163A1">
              <w:rPr>
                <w:noProof/>
                <w:webHidden/>
              </w:rPr>
            </w:r>
            <w:r w:rsidR="00B163A1">
              <w:rPr>
                <w:noProof/>
                <w:webHidden/>
              </w:rPr>
              <w:fldChar w:fldCharType="separate"/>
            </w:r>
            <w:r w:rsidR="00B163A1">
              <w:rPr>
                <w:noProof/>
                <w:webHidden/>
              </w:rPr>
              <w:t>64</w:t>
            </w:r>
            <w:r w:rsidR="00B163A1">
              <w:rPr>
                <w:noProof/>
                <w:webHidden/>
              </w:rPr>
              <w:fldChar w:fldCharType="end"/>
            </w:r>
          </w:hyperlink>
        </w:p>
        <w:p w14:paraId="3A1439EB" w14:textId="00AAD3AB"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90" w:history="1">
            <w:r w:rsidR="00B163A1" w:rsidRPr="00FC4CC3">
              <w:rPr>
                <w:rStyle w:val="Hyperlink"/>
                <w:noProof/>
              </w:rPr>
              <w:t>Timeframe</w:t>
            </w:r>
            <w:r w:rsidR="00B163A1">
              <w:rPr>
                <w:noProof/>
                <w:webHidden/>
              </w:rPr>
              <w:tab/>
            </w:r>
            <w:r w:rsidR="00B163A1">
              <w:rPr>
                <w:noProof/>
                <w:webHidden/>
              </w:rPr>
              <w:fldChar w:fldCharType="begin"/>
            </w:r>
            <w:r w:rsidR="00B163A1">
              <w:rPr>
                <w:noProof/>
                <w:webHidden/>
              </w:rPr>
              <w:instrText xml:space="preserve"> PAGEREF _Toc225937190 \h </w:instrText>
            </w:r>
            <w:r w:rsidR="00B163A1">
              <w:rPr>
                <w:noProof/>
                <w:webHidden/>
              </w:rPr>
            </w:r>
            <w:r w:rsidR="00B163A1">
              <w:rPr>
                <w:noProof/>
                <w:webHidden/>
              </w:rPr>
              <w:fldChar w:fldCharType="separate"/>
            </w:r>
            <w:r w:rsidR="00B163A1">
              <w:rPr>
                <w:noProof/>
                <w:webHidden/>
              </w:rPr>
              <w:t>65</w:t>
            </w:r>
            <w:r w:rsidR="00B163A1">
              <w:rPr>
                <w:noProof/>
                <w:webHidden/>
              </w:rPr>
              <w:fldChar w:fldCharType="end"/>
            </w:r>
          </w:hyperlink>
        </w:p>
        <w:p w14:paraId="34FECF5A" w14:textId="3662F29F"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91" w:history="1">
            <w:r w:rsidR="00B163A1" w:rsidRPr="00FC4CC3">
              <w:rPr>
                <w:rStyle w:val="Hyperlink"/>
                <w:noProof/>
              </w:rPr>
              <w:t>Characteristics of population</w:t>
            </w:r>
            <w:r w:rsidR="00B163A1">
              <w:rPr>
                <w:noProof/>
                <w:webHidden/>
              </w:rPr>
              <w:tab/>
            </w:r>
            <w:r w:rsidR="00B163A1">
              <w:rPr>
                <w:noProof/>
                <w:webHidden/>
              </w:rPr>
              <w:fldChar w:fldCharType="begin"/>
            </w:r>
            <w:r w:rsidR="00B163A1">
              <w:rPr>
                <w:noProof/>
                <w:webHidden/>
              </w:rPr>
              <w:instrText xml:space="preserve"> PAGEREF _Toc225937191 \h </w:instrText>
            </w:r>
            <w:r w:rsidR="00B163A1">
              <w:rPr>
                <w:noProof/>
                <w:webHidden/>
              </w:rPr>
            </w:r>
            <w:r w:rsidR="00B163A1">
              <w:rPr>
                <w:noProof/>
                <w:webHidden/>
              </w:rPr>
              <w:fldChar w:fldCharType="separate"/>
            </w:r>
            <w:r w:rsidR="00B163A1">
              <w:rPr>
                <w:noProof/>
                <w:webHidden/>
              </w:rPr>
              <w:t>65</w:t>
            </w:r>
            <w:r w:rsidR="00B163A1">
              <w:rPr>
                <w:noProof/>
                <w:webHidden/>
              </w:rPr>
              <w:fldChar w:fldCharType="end"/>
            </w:r>
          </w:hyperlink>
        </w:p>
        <w:p w14:paraId="2E658783" w14:textId="37831076"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92" w:history="1">
            <w:r w:rsidR="00B163A1" w:rsidRPr="00FC4CC3">
              <w:rPr>
                <w:rStyle w:val="Hyperlink"/>
                <w:noProof/>
              </w:rPr>
              <w:t>Selection of subjects</w:t>
            </w:r>
            <w:r w:rsidR="00B163A1">
              <w:rPr>
                <w:noProof/>
                <w:webHidden/>
              </w:rPr>
              <w:tab/>
            </w:r>
            <w:r w:rsidR="00B163A1">
              <w:rPr>
                <w:noProof/>
                <w:webHidden/>
              </w:rPr>
              <w:fldChar w:fldCharType="begin"/>
            </w:r>
            <w:r w:rsidR="00B163A1">
              <w:rPr>
                <w:noProof/>
                <w:webHidden/>
              </w:rPr>
              <w:instrText xml:space="preserve"> PAGEREF _Toc225937192 \h </w:instrText>
            </w:r>
            <w:r w:rsidR="00B163A1">
              <w:rPr>
                <w:noProof/>
                <w:webHidden/>
              </w:rPr>
            </w:r>
            <w:r w:rsidR="00B163A1">
              <w:rPr>
                <w:noProof/>
                <w:webHidden/>
              </w:rPr>
              <w:fldChar w:fldCharType="separate"/>
            </w:r>
            <w:r w:rsidR="00B163A1">
              <w:rPr>
                <w:noProof/>
                <w:webHidden/>
              </w:rPr>
              <w:t>66</w:t>
            </w:r>
            <w:r w:rsidR="00B163A1">
              <w:rPr>
                <w:noProof/>
                <w:webHidden/>
              </w:rPr>
              <w:fldChar w:fldCharType="end"/>
            </w:r>
          </w:hyperlink>
        </w:p>
        <w:p w14:paraId="080C81F0" w14:textId="45AE2EDB"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93" w:history="1">
            <w:r w:rsidR="00B163A1" w:rsidRPr="00FC4CC3">
              <w:rPr>
                <w:rStyle w:val="Hyperlink"/>
                <w:noProof/>
              </w:rPr>
              <w:t>Ethics statement</w:t>
            </w:r>
            <w:r w:rsidR="00B163A1">
              <w:rPr>
                <w:noProof/>
                <w:webHidden/>
              </w:rPr>
              <w:tab/>
            </w:r>
            <w:r w:rsidR="00B163A1">
              <w:rPr>
                <w:noProof/>
                <w:webHidden/>
              </w:rPr>
              <w:fldChar w:fldCharType="begin"/>
            </w:r>
            <w:r w:rsidR="00B163A1">
              <w:rPr>
                <w:noProof/>
                <w:webHidden/>
              </w:rPr>
              <w:instrText xml:space="preserve"> PAGEREF _Toc225937193 \h </w:instrText>
            </w:r>
            <w:r w:rsidR="00B163A1">
              <w:rPr>
                <w:noProof/>
                <w:webHidden/>
              </w:rPr>
            </w:r>
            <w:r w:rsidR="00B163A1">
              <w:rPr>
                <w:noProof/>
                <w:webHidden/>
              </w:rPr>
              <w:fldChar w:fldCharType="separate"/>
            </w:r>
            <w:r w:rsidR="00B163A1">
              <w:rPr>
                <w:noProof/>
                <w:webHidden/>
              </w:rPr>
              <w:t>66</w:t>
            </w:r>
            <w:r w:rsidR="00B163A1">
              <w:rPr>
                <w:noProof/>
                <w:webHidden/>
              </w:rPr>
              <w:fldChar w:fldCharType="end"/>
            </w:r>
          </w:hyperlink>
        </w:p>
        <w:p w14:paraId="62E18364" w14:textId="64AD369E"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94" w:history="1">
            <w:r w:rsidR="00B163A1" w:rsidRPr="00FC4CC3">
              <w:rPr>
                <w:rStyle w:val="Hyperlink"/>
                <w:noProof/>
              </w:rPr>
              <w:t>Data Collection</w:t>
            </w:r>
            <w:r w:rsidR="00B163A1">
              <w:rPr>
                <w:noProof/>
                <w:webHidden/>
              </w:rPr>
              <w:tab/>
            </w:r>
            <w:r w:rsidR="00B163A1">
              <w:rPr>
                <w:noProof/>
                <w:webHidden/>
              </w:rPr>
              <w:fldChar w:fldCharType="begin"/>
            </w:r>
            <w:r w:rsidR="00B163A1">
              <w:rPr>
                <w:noProof/>
                <w:webHidden/>
              </w:rPr>
              <w:instrText xml:space="preserve"> PAGEREF _Toc225937194 \h </w:instrText>
            </w:r>
            <w:r w:rsidR="00B163A1">
              <w:rPr>
                <w:noProof/>
                <w:webHidden/>
              </w:rPr>
            </w:r>
            <w:r w:rsidR="00B163A1">
              <w:rPr>
                <w:noProof/>
                <w:webHidden/>
              </w:rPr>
              <w:fldChar w:fldCharType="separate"/>
            </w:r>
            <w:r w:rsidR="00B163A1">
              <w:rPr>
                <w:noProof/>
                <w:webHidden/>
              </w:rPr>
              <w:t>69</w:t>
            </w:r>
            <w:r w:rsidR="00B163A1">
              <w:rPr>
                <w:noProof/>
                <w:webHidden/>
              </w:rPr>
              <w:fldChar w:fldCharType="end"/>
            </w:r>
          </w:hyperlink>
        </w:p>
        <w:p w14:paraId="007A7DCE" w14:textId="1D110681"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95" w:history="1">
            <w:r w:rsidR="00B163A1" w:rsidRPr="00FC4CC3">
              <w:rPr>
                <w:rStyle w:val="Hyperlink"/>
                <w:noProof/>
              </w:rPr>
              <w:t>Data Analysis</w:t>
            </w:r>
            <w:r w:rsidR="00B163A1">
              <w:rPr>
                <w:noProof/>
                <w:webHidden/>
              </w:rPr>
              <w:tab/>
            </w:r>
            <w:r w:rsidR="00B163A1">
              <w:rPr>
                <w:noProof/>
                <w:webHidden/>
              </w:rPr>
              <w:fldChar w:fldCharType="begin"/>
            </w:r>
            <w:r w:rsidR="00B163A1">
              <w:rPr>
                <w:noProof/>
                <w:webHidden/>
              </w:rPr>
              <w:instrText xml:space="preserve"> PAGEREF _Toc225937195 \h </w:instrText>
            </w:r>
            <w:r w:rsidR="00B163A1">
              <w:rPr>
                <w:noProof/>
                <w:webHidden/>
              </w:rPr>
            </w:r>
            <w:r w:rsidR="00B163A1">
              <w:rPr>
                <w:noProof/>
                <w:webHidden/>
              </w:rPr>
              <w:fldChar w:fldCharType="separate"/>
            </w:r>
            <w:r w:rsidR="00B163A1">
              <w:rPr>
                <w:noProof/>
                <w:webHidden/>
              </w:rPr>
              <w:t>70</w:t>
            </w:r>
            <w:r w:rsidR="00B163A1">
              <w:rPr>
                <w:noProof/>
                <w:webHidden/>
              </w:rPr>
              <w:fldChar w:fldCharType="end"/>
            </w:r>
          </w:hyperlink>
        </w:p>
        <w:p w14:paraId="7638FF94" w14:textId="157BF07C"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196" w:history="1">
            <w:r w:rsidR="00B163A1" w:rsidRPr="00FC4CC3">
              <w:rPr>
                <w:rStyle w:val="Hyperlink"/>
                <w:noProof/>
              </w:rPr>
              <w:t>Quantitative</w:t>
            </w:r>
            <w:r w:rsidR="00B163A1">
              <w:rPr>
                <w:noProof/>
                <w:webHidden/>
              </w:rPr>
              <w:tab/>
            </w:r>
            <w:r w:rsidR="00B163A1">
              <w:rPr>
                <w:noProof/>
                <w:webHidden/>
              </w:rPr>
              <w:fldChar w:fldCharType="begin"/>
            </w:r>
            <w:r w:rsidR="00B163A1">
              <w:rPr>
                <w:noProof/>
                <w:webHidden/>
              </w:rPr>
              <w:instrText xml:space="preserve"> PAGEREF _Toc225937196 \h </w:instrText>
            </w:r>
            <w:r w:rsidR="00B163A1">
              <w:rPr>
                <w:noProof/>
                <w:webHidden/>
              </w:rPr>
            </w:r>
            <w:r w:rsidR="00B163A1">
              <w:rPr>
                <w:noProof/>
                <w:webHidden/>
              </w:rPr>
              <w:fldChar w:fldCharType="separate"/>
            </w:r>
            <w:r w:rsidR="00B163A1">
              <w:rPr>
                <w:noProof/>
                <w:webHidden/>
              </w:rPr>
              <w:t>71</w:t>
            </w:r>
            <w:r w:rsidR="00B163A1">
              <w:rPr>
                <w:noProof/>
                <w:webHidden/>
              </w:rPr>
              <w:fldChar w:fldCharType="end"/>
            </w:r>
          </w:hyperlink>
        </w:p>
        <w:p w14:paraId="03B1D65E" w14:textId="0C9B9117"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97" w:history="1">
            <w:r w:rsidR="00B163A1" w:rsidRPr="00FC4CC3">
              <w:rPr>
                <w:rStyle w:val="Hyperlink"/>
                <w:noProof/>
              </w:rPr>
              <w:t>Chapter Summary</w:t>
            </w:r>
            <w:r w:rsidR="00B163A1">
              <w:rPr>
                <w:noProof/>
                <w:webHidden/>
              </w:rPr>
              <w:tab/>
            </w:r>
            <w:r w:rsidR="00B163A1">
              <w:rPr>
                <w:noProof/>
                <w:webHidden/>
              </w:rPr>
              <w:fldChar w:fldCharType="begin"/>
            </w:r>
            <w:r w:rsidR="00B163A1">
              <w:rPr>
                <w:noProof/>
                <w:webHidden/>
              </w:rPr>
              <w:instrText xml:space="preserve"> PAGEREF _Toc225937197 \h </w:instrText>
            </w:r>
            <w:r w:rsidR="00B163A1">
              <w:rPr>
                <w:noProof/>
                <w:webHidden/>
              </w:rPr>
            </w:r>
            <w:r w:rsidR="00B163A1">
              <w:rPr>
                <w:noProof/>
                <w:webHidden/>
              </w:rPr>
              <w:fldChar w:fldCharType="separate"/>
            </w:r>
            <w:r w:rsidR="00B163A1">
              <w:rPr>
                <w:noProof/>
                <w:webHidden/>
              </w:rPr>
              <w:t>72</w:t>
            </w:r>
            <w:r w:rsidR="00B163A1">
              <w:rPr>
                <w:noProof/>
                <w:webHidden/>
              </w:rPr>
              <w:fldChar w:fldCharType="end"/>
            </w:r>
          </w:hyperlink>
        </w:p>
        <w:p w14:paraId="58798E11" w14:textId="46F8ED2F"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198" w:history="1">
            <w:r w:rsidR="00B163A1" w:rsidRPr="00FC4CC3">
              <w:rPr>
                <w:rStyle w:val="Hyperlink"/>
                <w:noProof/>
              </w:rPr>
              <w:t>CHAPTER IV: PRESENTATION OF RESEARCH</w:t>
            </w:r>
            <w:r w:rsidR="00B163A1">
              <w:rPr>
                <w:noProof/>
                <w:webHidden/>
              </w:rPr>
              <w:tab/>
            </w:r>
            <w:r w:rsidR="00B163A1">
              <w:rPr>
                <w:noProof/>
                <w:webHidden/>
              </w:rPr>
              <w:fldChar w:fldCharType="begin"/>
            </w:r>
            <w:r w:rsidR="00B163A1">
              <w:rPr>
                <w:noProof/>
                <w:webHidden/>
              </w:rPr>
              <w:instrText xml:space="preserve"> PAGEREF _Toc225937198 \h </w:instrText>
            </w:r>
            <w:r w:rsidR="00B163A1">
              <w:rPr>
                <w:noProof/>
                <w:webHidden/>
              </w:rPr>
            </w:r>
            <w:r w:rsidR="00B163A1">
              <w:rPr>
                <w:noProof/>
                <w:webHidden/>
              </w:rPr>
              <w:fldChar w:fldCharType="separate"/>
            </w:r>
            <w:r w:rsidR="00B163A1">
              <w:rPr>
                <w:noProof/>
                <w:webHidden/>
              </w:rPr>
              <w:t>73</w:t>
            </w:r>
            <w:r w:rsidR="00B163A1">
              <w:rPr>
                <w:noProof/>
                <w:webHidden/>
              </w:rPr>
              <w:fldChar w:fldCharType="end"/>
            </w:r>
          </w:hyperlink>
        </w:p>
        <w:p w14:paraId="4A4C0BAD" w14:textId="3B926A50"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199" w:history="1">
            <w:r w:rsidR="00B163A1" w:rsidRPr="00FC4CC3">
              <w:rPr>
                <w:rStyle w:val="Hyperlink"/>
                <w:noProof/>
              </w:rPr>
              <w:t>Introduction</w:t>
            </w:r>
            <w:r w:rsidR="00B163A1">
              <w:rPr>
                <w:noProof/>
                <w:webHidden/>
              </w:rPr>
              <w:tab/>
            </w:r>
            <w:r w:rsidR="00B163A1">
              <w:rPr>
                <w:noProof/>
                <w:webHidden/>
              </w:rPr>
              <w:fldChar w:fldCharType="begin"/>
            </w:r>
            <w:r w:rsidR="00B163A1">
              <w:rPr>
                <w:noProof/>
                <w:webHidden/>
              </w:rPr>
              <w:instrText xml:space="preserve"> PAGEREF _Toc225937199 \h </w:instrText>
            </w:r>
            <w:r w:rsidR="00B163A1">
              <w:rPr>
                <w:noProof/>
                <w:webHidden/>
              </w:rPr>
            </w:r>
            <w:r w:rsidR="00B163A1">
              <w:rPr>
                <w:noProof/>
                <w:webHidden/>
              </w:rPr>
              <w:fldChar w:fldCharType="separate"/>
            </w:r>
            <w:r w:rsidR="00B163A1">
              <w:rPr>
                <w:noProof/>
                <w:webHidden/>
              </w:rPr>
              <w:t>73</w:t>
            </w:r>
            <w:r w:rsidR="00B163A1">
              <w:rPr>
                <w:noProof/>
                <w:webHidden/>
              </w:rPr>
              <w:fldChar w:fldCharType="end"/>
            </w:r>
          </w:hyperlink>
        </w:p>
        <w:p w14:paraId="6268BC18" w14:textId="18C2D57D"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00" w:history="1">
            <w:r w:rsidR="00B163A1" w:rsidRPr="00FC4CC3">
              <w:rPr>
                <w:rStyle w:val="Hyperlink"/>
                <w:noProof/>
              </w:rPr>
              <w:t>Findings</w:t>
            </w:r>
            <w:r w:rsidR="00B163A1">
              <w:rPr>
                <w:noProof/>
                <w:webHidden/>
              </w:rPr>
              <w:tab/>
            </w:r>
            <w:r w:rsidR="00B163A1">
              <w:rPr>
                <w:noProof/>
                <w:webHidden/>
              </w:rPr>
              <w:fldChar w:fldCharType="begin"/>
            </w:r>
            <w:r w:rsidR="00B163A1">
              <w:rPr>
                <w:noProof/>
                <w:webHidden/>
              </w:rPr>
              <w:instrText xml:space="preserve"> PAGEREF _Toc225937200 \h </w:instrText>
            </w:r>
            <w:r w:rsidR="00B163A1">
              <w:rPr>
                <w:noProof/>
                <w:webHidden/>
              </w:rPr>
            </w:r>
            <w:r w:rsidR="00B163A1">
              <w:rPr>
                <w:noProof/>
                <w:webHidden/>
              </w:rPr>
              <w:fldChar w:fldCharType="separate"/>
            </w:r>
            <w:r w:rsidR="00B163A1">
              <w:rPr>
                <w:noProof/>
                <w:webHidden/>
              </w:rPr>
              <w:t>73</w:t>
            </w:r>
            <w:r w:rsidR="00B163A1">
              <w:rPr>
                <w:noProof/>
                <w:webHidden/>
              </w:rPr>
              <w:fldChar w:fldCharType="end"/>
            </w:r>
          </w:hyperlink>
        </w:p>
        <w:p w14:paraId="6704D329" w14:textId="52E30C3D"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01" w:history="1">
            <w:r w:rsidR="00B163A1" w:rsidRPr="00FC4CC3">
              <w:rPr>
                <w:rStyle w:val="Hyperlink"/>
                <w:noProof/>
              </w:rPr>
              <w:t>Demographics</w:t>
            </w:r>
            <w:r w:rsidR="00B163A1">
              <w:rPr>
                <w:noProof/>
                <w:webHidden/>
              </w:rPr>
              <w:tab/>
            </w:r>
            <w:r w:rsidR="00B163A1">
              <w:rPr>
                <w:noProof/>
                <w:webHidden/>
              </w:rPr>
              <w:fldChar w:fldCharType="begin"/>
            </w:r>
            <w:r w:rsidR="00B163A1">
              <w:rPr>
                <w:noProof/>
                <w:webHidden/>
              </w:rPr>
              <w:instrText xml:space="preserve"> PAGEREF _Toc225937201 \h </w:instrText>
            </w:r>
            <w:r w:rsidR="00B163A1">
              <w:rPr>
                <w:noProof/>
                <w:webHidden/>
              </w:rPr>
            </w:r>
            <w:r w:rsidR="00B163A1">
              <w:rPr>
                <w:noProof/>
                <w:webHidden/>
              </w:rPr>
              <w:fldChar w:fldCharType="separate"/>
            </w:r>
            <w:r w:rsidR="00B163A1">
              <w:rPr>
                <w:noProof/>
                <w:webHidden/>
              </w:rPr>
              <w:t>73</w:t>
            </w:r>
            <w:r w:rsidR="00B163A1">
              <w:rPr>
                <w:noProof/>
                <w:webHidden/>
              </w:rPr>
              <w:fldChar w:fldCharType="end"/>
            </w:r>
          </w:hyperlink>
        </w:p>
        <w:p w14:paraId="3F25C20F" w14:textId="61201E2A"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02" w:history="1">
            <w:r w:rsidR="00B163A1" w:rsidRPr="00FC4CC3">
              <w:rPr>
                <w:rStyle w:val="Hyperlink"/>
                <w:noProof/>
              </w:rPr>
              <w:t>Table 8: Employer description</w:t>
            </w:r>
            <w:r w:rsidR="00B163A1">
              <w:rPr>
                <w:noProof/>
                <w:webHidden/>
              </w:rPr>
              <w:tab/>
            </w:r>
            <w:r w:rsidR="00B163A1">
              <w:rPr>
                <w:noProof/>
                <w:webHidden/>
              </w:rPr>
              <w:fldChar w:fldCharType="begin"/>
            </w:r>
            <w:r w:rsidR="00B163A1">
              <w:rPr>
                <w:noProof/>
                <w:webHidden/>
              </w:rPr>
              <w:instrText xml:space="preserve"> PAGEREF _Toc225937202 \h </w:instrText>
            </w:r>
            <w:r w:rsidR="00B163A1">
              <w:rPr>
                <w:noProof/>
                <w:webHidden/>
              </w:rPr>
            </w:r>
            <w:r w:rsidR="00B163A1">
              <w:rPr>
                <w:noProof/>
                <w:webHidden/>
              </w:rPr>
              <w:fldChar w:fldCharType="separate"/>
            </w:r>
            <w:r w:rsidR="00B163A1">
              <w:rPr>
                <w:noProof/>
                <w:webHidden/>
              </w:rPr>
              <w:t>75</w:t>
            </w:r>
            <w:r w:rsidR="00B163A1">
              <w:rPr>
                <w:noProof/>
                <w:webHidden/>
              </w:rPr>
              <w:fldChar w:fldCharType="end"/>
            </w:r>
          </w:hyperlink>
        </w:p>
        <w:p w14:paraId="26927E16" w14:textId="27AED867"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03" w:history="1">
            <w:r w:rsidR="00B163A1" w:rsidRPr="00FC4CC3">
              <w:rPr>
                <w:rStyle w:val="Hyperlink"/>
                <w:noProof/>
              </w:rPr>
              <w:t>Table 9: Highest completed level of education</w:t>
            </w:r>
            <w:r w:rsidR="00B163A1">
              <w:rPr>
                <w:noProof/>
                <w:webHidden/>
              </w:rPr>
              <w:tab/>
            </w:r>
            <w:r w:rsidR="00B163A1">
              <w:rPr>
                <w:noProof/>
                <w:webHidden/>
              </w:rPr>
              <w:fldChar w:fldCharType="begin"/>
            </w:r>
            <w:r w:rsidR="00B163A1">
              <w:rPr>
                <w:noProof/>
                <w:webHidden/>
              </w:rPr>
              <w:instrText xml:space="preserve"> PAGEREF _Toc225937203 \h </w:instrText>
            </w:r>
            <w:r w:rsidR="00B163A1">
              <w:rPr>
                <w:noProof/>
                <w:webHidden/>
              </w:rPr>
            </w:r>
            <w:r w:rsidR="00B163A1">
              <w:rPr>
                <w:noProof/>
                <w:webHidden/>
              </w:rPr>
              <w:fldChar w:fldCharType="separate"/>
            </w:r>
            <w:r w:rsidR="00B163A1">
              <w:rPr>
                <w:noProof/>
                <w:webHidden/>
              </w:rPr>
              <w:t>75</w:t>
            </w:r>
            <w:r w:rsidR="00B163A1">
              <w:rPr>
                <w:noProof/>
                <w:webHidden/>
              </w:rPr>
              <w:fldChar w:fldCharType="end"/>
            </w:r>
          </w:hyperlink>
        </w:p>
        <w:p w14:paraId="5CFBD427" w14:textId="0D0411E0"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04" w:history="1">
            <w:r w:rsidR="00B163A1" w:rsidRPr="00FC4CC3">
              <w:rPr>
                <w:rStyle w:val="Hyperlink"/>
                <w:noProof/>
              </w:rPr>
              <w:t>Table 10: Level of seniority</w:t>
            </w:r>
            <w:r w:rsidR="00B163A1">
              <w:rPr>
                <w:noProof/>
                <w:webHidden/>
              </w:rPr>
              <w:tab/>
            </w:r>
            <w:r w:rsidR="00B163A1">
              <w:rPr>
                <w:noProof/>
                <w:webHidden/>
              </w:rPr>
              <w:fldChar w:fldCharType="begin"/>
            </w:r>
            <w:r w:rsidR="00B163A1">
              <w:rPr>
                <w:noProof/>
                <w:webHidden/>
              </w:rPr>
              <w:instrText xml:space="preserve"> PAGEREF _Toc225937204 \h </w:instrText>
            </w:r>
            <w:r w:rsidR="00B163A1">
              <w:rPr>
                <w:noProof/>
                <w:webHidden/>
              </w:rPr>
            </w:r>
            <w:r w:rsidR="00B163A1">
              <w:rPr>
                <w:noProof/>
                <w:webHidden/>
              </w:rPr>
              <w:fldChar w:fldCharType="separate"/>
            </w:r>
            <w:r w:rsidR="00B163A1">
              <w:rPr>
                <w:noProof/>
                <w:webHidden/>
              </w:rPr>
              <w:t>76</w:t>
            </w:r>
            <w:r w:rsidR="00B163A1">
              <w:rPr>
                <w:noProof/>
                <w:webHidden/>
              </w:rPr>
              <w:fldChar w:fldCharType="end"/>
            </w:r>
          </w:hyperlink>
        </w:p>
        <w:p w14:paraId="4406C4EB" w14:textId="42CC731B"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05" w:history="1">
            <w:r w:rsidR="00B163A1" w:rsidRPr="00FC4CC3">
              <w:rPr>
                <w:rStyle w:val="Hyperlink"/>
                <w:noProof/>
              </w:rPr>
              <w:t>Table 11: Primary role/responsibilities (multiple selection)</w:t>
            </w:r>
            <w:r w:rsidR="00B163A1">
              <w:rPr>
                <w:noProof/>
                <w:webHidden/>
              </w:rPr>
              <w:tab/>
            </w:r>
            <w:r w:rsidR="00B163A1">
              <w:rPr>
                <w:noProof/>
                <w:webHidden/>
              </w:rPr>
              <w:fldChar w:fldCharType="begin"/>
            </w:r>
            <w:r w:rsidR="00B163A1">
              <w:rPr>
                <w:noProof/>
                <w:webHidden/>
              </w:rPr>
              <w:instrText xml:space="preserve"> PAGEREF _Toc225937205 \h </w:instrText>
            </w:r>
            <w:r w:rsidR="00B163A1">
              <w:rPr>
                <w:noProof/>
                <w:webHidden/>
              </w:rPr>
            </w:r>
            <w:r w:rsidR="00B163A1">
              <w:rPr>
                <w:noProof/>
                <w:webHidden/>
              </w:rPr>
              <w:fldChar w:fldCharType="separate"/>
            </w:r>
            <w:r w:rsidR="00B163A1">
              <w:rPr>
                <w:noProof/>
                <w:webHidden/>
              </w:rPr>
              <w:t>76</w:t>
            </w:r>
            <w:r w:rsidR="00B163A1">
              <w:rPr>
                <w:noProof/>
                <w:webHidden/>
              </w:rPr>
              <w:fldChar w:fldCharType="end"/>
            </w:r>
          </w:hyperlink>
        </w:p>
        <w:p w14:paraId="52BD42A9" w14:textId="2332A84A"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06" w:history="1">
            <w:r w:rsidR="00B163A1" w:rsidRPr="00FC4CC3">
              <w:rPr>
                <w:rStyle w:val="Hyperlink"/>
                <w:noProof/>
              </w:rPr>
              <w:t>Segment 2  Organisational Climate Change Education</w:t>
            </w:r>
            <w:r w:rsidR="00B163A1">
              <w:rPr>
                <w:noProof/>
                <w:webHidden/>
              </w:rPr>
              <w:tab/>
            </w:r>
            <w:r w:rsidR="00B163A1">
              <w:rPr>
                <w:noProof/>
                <w:webHidden/>
              </w:rPr>
              <w:fldChar w:fldCharType="begin"/>
            </w:r>
            <w:r w:rsidR="00B163A1">
              <w:rPr>
                <w:noProof/>
                <w:webHidden/>
              </w:rPr>
              <w:instrText xml:space="preserve"> PAGEREF _Toc225937206 \h </w:instrText>
            </w:r>
            <w:r w:rsidR="00B163A1">
              <w:rPr>
                <w:noProof/>
                <w:webHidden/>
              </w:rPr>
            </w:r>
            <w:r w:rsidR="00B163A1">
              <w:rPr>
                <w:noProof/>
                <w:webHidden/>
              </w:rPr>
              <w:fldChar w:fldCharType="separate"/>
            </w:r>
            <w:r w:rsidR="00B163A1">
              <w:rPr>
                <w:noProof/>
                <w:webHidden/>
              </w:rPr>
              <w:t>77</w:t>
            </w:r>
            <w:r w:rsidR="00B163A1">
              <w:rPr>
                <w:noProof/>
                <w:webHidden/>
              </w:rPr>
              <w:fldChar w:fldCharType="end"/>
            </w:r>
          </w:hyperlink>
        </w:p>
        <w:p w14:paraId="41B33EB0" w14:textId="5E917199"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07" w:history="1">
            <w:r w:rsidR="00B163A1" w:rsidRPr="00FC4CC3">
              <w:rPr>
                <w:rStyle w:val="Hyperlink"/>
                <w:noProof/>
              </w:rPr>
              <w:t>Table 12: Organisation, Climate change and Education</w:t>
            </w:r>
            <w:r w:rsidR="00B163A1">
              <w:rPr>
                <w:noProof/>
                <w:webHidden/>
              </w:rPr>
              <w:tab/>
            </w:r>
            <w:r w:rsidR="00B163A1">
              <w:rPr>
                <w:noProof/>
                <w:webHidden/>
              </w:rPr>
              <w:fldChar w:fldCharType="begin"/>
            </w:r>
            <w:r w:rsidR="00B163A1">
              <w:rPr>
                <w:noProof/>
                <w:webHidden/>
              </w:rPr>
              <w:instrText xml:space="preserve"> PAGEREF _Toc225937207 \h </w:instrText>
            </w:r>
            <w:r w:rsidR="00B163A1">
              <w:rPr>
                <w:noProof/>
                <w:webHidden/>
              </w:rPr>
            </w:r>
            <w:r w:rsidR="00B163A1">
              <w:rPr>
                <w:noProof/>
                <w:webHidden/>
              </w:rPr>
              <w:fldChar w:fldCharType="separate"/>
            </w:r>
            <w:r w:rsidR="00B163A1">
              <w:rPr>
                <w:noProof/>
                <w:webHidden/>
              </w:rPr>
              <w:t>79</w:t>
            </w:r>
            <w:r w:rsidR="00B163A1">
              <w:rPr>
                <w:noProof/>
                <w:webHidden/>
              </w:rPr>
              <w:fldChar w:fldCharType="end"/>
            </w:r>
          </w:hyperlink>
        </w:p>
        <w:p w14:paraId="1478B1FE" w14:textId="65753291"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08" w:history="1">
            <w:r w:rsidR="00B163A1" w:rsidRPr="00FC4CC3">
              <w:rPr>
                <w:rStyle w:val="Hyperlink"/>
                <w:noProof/>
              </w:rPr>
              <w:t>Table 13: If you received climate change education and/or training from sources other than your organisation (multiple responses)</w:t>
            </w:r>
            <w:r w:rsidR="00B163A1">
              <w:rPr>
                <w:noProof/>
                <w:webHidden/>
              </w:rPr>
              <w:tab/>
            </w:r>
            <w:r w:rsidR="00B163A1">
              <w:rPr>
                <w:noProof/>
                <w:webHidden/>
              </w:rPr>
              <w:fldChar w:fldCharType="begin"/>
            </w:r>
            <w:r w:rsidR="00B163A1">
              <w:rPr>
                <w:noProof/>
                <w:webHidden/>
              </w:rPr>
              <w:instrText xml:space="preserve"> PAGEREF _Toc225937208 \h </w:instrText>
            </w:r>
            <w:r w:rsidR="00B163A1">
              <w:rPr>
                <w:noProof/>
                <w:webHidden/>
              </w:rPr>
            </w:r>
            <w:r w:rsidR="00B163A1">
              <w:rPr>
                <w:noProof/>
                <w:webHidden/>
              </w:rPr>
              <w:fldChar w:fldCharType="separate"/>
            </w:r>
            <w:r w:rsidR="00B163A1">
              <w:rPr>
                <w:noProof/>
                <w:webHidden/>
              </w:rPr>
              <w:t>81</w:t>
            </w:r>
            <w:r w:rsidR="00B163A1">
              <w:rPr>
                <w:noProof/>
                <w:webHidden/>
              </w:rPr>
              <w:fldChar w:fldCharType="end"/>
            </w:r>
          </w:hyperlink>
        </w:p>
        <w:p w14:paraId="75511EC2" w14:textId="177F49A4"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09" w:history="1">
            <w:r w:rsidR="00B163A1" w:rsidRPr="00FC4CC3">
              <w:rPr>
                <w:rStyle w:val="Hyperlink"/>
                <w:noProof/>
              </w:rPr>
              <w:t xml:space="preserve">Segment 3 Climate Change and Health Competencies </w:t>
            </w:r>
            <w:r w:rsidR="00B163A1">
              <w:rPr>
                <w:noProof/>
                <w:webHidden/>
              </w:rPr>
              <w:tab/>
            </w:r>
            <w:r w:rsidR="00B163A1">
              <w:rPr>
                <w:noProof/>
                <w:webHidden/>
              </w:rPr>
              <w:fldChar w:fldCharType="begin"/>
            </w:r>
            <w:r w:rsidR="00B163A1">
              <w:rPr>
                <w:noProof/>
                <w:webHidden/>
              </w:rPr>
              <w:instrText xml:space="preserve"> PAGEREF _Toc225937209 \h </w:instrText>
            </w:r>
            <w:r w:rsidR="00B163A1">
              <w:rPr>
                <w:noProof/>
                <w:webHidden/>
              </w:rPr>
            </w:r>
            <w:r w:rsidR="00B163A1">
              <w:rPr>
                <w:noProof/>
                <w:webHidden/>
              </w:rPr>
              <w:fldChar w:fldCharType="separate"/>
            </w:r>
            <w:r w:rsidR="00B163A1">
              <w:rPr>
                <w:noProof/>
                <w:webHidden/>
              </w:rPr>
              <w:t>82</w:t>
            </w:r>
            <w:r w:rsidR="00B163A1">
              <w:rPr>
                <w:noProof/>
                <w:webHidden/>
              </w:rPr>
              <w:fldChar w:fldCharType="end"/>
            </w:r>
          </w:hyperlink>
        </w:p>
        <w:p w14:paraId="4415EF3D" w14:textId="672656A6"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10" w:history="1">
            <w:r w:rsidR="00B163A1" w:rsidRPr="00FC4CC3">
              <w:rPr>
                <w:rStyle w:val="Hyperlink"/>
                <w:noProof/>
              </w:rPr>
              <w:t>Segment 4 Climate Change and Health Capacities</w:t>
            </w:r>
            <w:r w:rsidR="00B163A1">
              <w:rPr>
                <w:noProof/>
                <w:webHidden/>
              </w:rPr>
              <w:tab/>
            </w:r>
            <w:r w:rsidR="00B163A1">
              <w:rPr>
                <w:noProof/>
                <w:webHidden/>
              </w:rPr>
              <w:fldChar w:fldCharType="begin"/>
            </w:r>
            <w:r w:rsidR="00B163A1">
              <w:rPr>
                <w:noProof/>
                <w:webHidden/>
              </w:rPr>
              <w:instrText xml:space="preserve"> PAGEREF _Toc225937210 \h </w:instrText>
            </w:r>
            <w:r w:rsidR="00B163A1">
              <w:rPr>
                <w:noProof/>
                <w:webHidden/>
              </w:rPr>
            </w:r>
            <w:r w:rsidR="00B163A1">
              <w:rPr>
                <w:noProof/>
                <w:webHidden/>
              </w:rPr>
              <w:fldChar w:fldCharType="separate"/>
            </w:r>
            <w:r w:rsidR="00B163A1">
              <w:rPr>
                <w:noProof/>
                <w:webHidden/>
              </w:rPr>
              <w:t>86</w:t>
            </w:r>
            <w:r w:rsidR="00B163A1">
              <w:rPr>
                <w:noProof/>
                <w:webHidden/>
              </w:rPr>
              <w:fldChar w:fldCharType="end"/>
            </w:r>
          </w:hyperlink>
        </w:p>
        <w:p w14:paraId="1887CD41" w14:textId="0622B34E"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11" w:history="1">
            <w:r w:rsidR="00B163A1" w:rsidRPr="00FC4CC3">
              <w:rPr>
                <w:rStyle w:val="Hyperlink"/>
                <w:noProof/>
              </w:rPr>
              <w:t>Country of employment</w:t>
            </w:r>
            <w:r w:rsidR="00B163A1">
              <w:rPr>
                <w:noProof/>
                <w:webHidden/>
              </w:rPr>
              <w:tab/>
            </w:r>
            <w:r w:rsidR="00B163A1">
              <w:rPr>
                <w:noProof/>
                <w:webHidden/>
              </w:rPr>
              <w:fldChar w:fldCharType="begin"/>
            </w:r>
            <w:r w:rsidR="00B163A1">
              <w:rPr>
                <w:noProof/>
                <w:webHidden/>
              </w:rPr>
              <w:instrText xml:space="preserve"> PAGEREF _Toc225937211 \h </w:instrText>
            </w:r>
            <w:r w:rsidR="00B163A1">
              <w:rPr>
                <w:noProof/>
                <w:webHidden/>
              </w:rPr>
            </w:r>
            <w:r w:rsidR="00B163A1">
              <w:rPr>
                <w:noProof/>
                <w:webHidden/>
              </w:rPr>
              <w:fldChar w:fldCharType="separate"/>
            </w:r>
            <w:r w:rsidR="00B163A1">
              <w:rPr>
                <w:noProof/>
                <w:webHidden/>
              </w:rPr>
              <w:t>89</w:t>
            </w:r>
            <w:r w:rsidR="00B163A1">
              <w:rPr>
                <w:noProof/>
                <w:webHidden/>
              </w:rPr>
              <w:fldChar w:fldCharType="end"/>
            </w:r>
          </w:hyperlink>
        </w:p>
        <w:p w14:paraId="2CDA0524" w14:textId="10E85F2A"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12" w:history="1">
            <w:r w:rsidR="00B163A1" w:rsidRPr="00FC4CC3">
              <w:rPr>
                <w:rStyle w:val="Hyperlink"/>
                <w:noProof/>
              </w:rPr>
              <w:t>Level of Seniority</w:t>
            </w:r>
            <w:r w:rsidR="00B163A1">
              <w:rPr>
                <w:noProof/>
                <w:webHidden/>
              </w:rPr>
              <w:tab/>
            </w:r>
            <w:r w:rsidR="00B163A1">
              <w:rPr>
                <w:noProof/>
                <w:webHidden/>
              </w:rPr>
              <w:fldChar w:fldCharType="begin"/>
            </w:r>
            <w:r w:rsidR="00B163A1">
              <w:rPr>
                <w:noProof/>
                <w:webHidden/>
              </w:rPr>
              <w:instrText xml:space="preserve"> PAGEREF _Toc225937212 \h </w:instrText>
            </w:r>
            <w:r w:rsidR="00B163A1">
              <w:rPr>
                <w:noProof/>
                <w:webHidden/>
              </w:rPr>
            </w:r>
            <w:r w:rsidR="00B163A1">
              <w:rPr>
                <w:noProof/>
                <w:webHidden/>
              </w:rPr>
              <w:fldChar w:fldCharType="separate"/>
            </w:r>
            <w:r w:rsidR="00B163A1">
              <w:rPr>
                <w:noProof/>
                <w:webHidden/>
              </w:rPr>
              <w:t>95</w:t>
            </w:r>
            <w:r w:rsidR="00B163A1">
              <w:rPr>
                <w:noProof/>
                <w:webHidden/>
              </w:rPr>
              <w:fldChar w:fldCharType="end"/>
            </w:r>
          </w:hyperlink>
        </w:p>
        <w:p w14:paraId="4303F757" w14:textId="7A5E43B0"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13" w:history="1">
            <w:r w:rsidR="00B163A1" w:rsidRPr="00FC4CC3">
              <w:rPr>
                <w:rStyle w:val="Hyperlink"/>
                <w:noProof/>
              </w:rPr>
              <w:t>Role Setting</w:t>
            </w:r>
            <w:r w:rsidR="00B163A1">
              <w:rPr>
                <w:noProof/>
                <w:webHidden/>
              </w:rPr>
              <w:tab/>
            </w:r>
            <w:r w:rsidR="00B163A1">
              <w:rPr>
                <w:noProof/>
                <w:webHidden/>
              </w:rPr>
              <w:fldChar w:fldCharType="begin"/>
            </w:r>
            <w:r w:rsidR="00B163A1">
              <w:rPr>
                <w:noProof/>
                <w:webHidden/>
              </w:rPr>
              <w:instrText xml:space="preserve"> PAGEREF _Toc225937213 \h </w:instrText>
            </w:r>
            <w:r w:rsidR="00B163A1">
              <w:rPr>
                <w:noProof/>
                <w:webHidden/>
              </w:rPr>
            </w:r>
            <w:r w:rsidR="00B163A1">
              <w:rPr>
                <w:noProof/>
                <w:webHidden/>
              </w:rPr>
              <w:fldChar w:fldCharType="separate"/>
            </w:r>
            <w:r w:rsidR="00B163A1">
              <w:rPr>
                <w:noProof/>
                <w:webHidden/>
              </w:rPr>
              <w:t>98</w:t>
            </w:r>
            <w:r w:rsidR="00B163A1">
              <w:rPr>
                <w:noProof/>
                <w:webHidden/>
              </w:rPr>
              <w:fldChar w:fldCharType="end"/>
            </w:r>
          </w:hyperlink>
        </w:p>
        <w:p w14:paraId="0A34A677" w14:textId="771A08D8"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214" w:history="1">
            <w:r w:rsidR="00B163A1" w:rsidRPr="00FC4CC3">
              <w:rPr>
                <w:rStyle w:val="Hyperlink"/>
                <w:noProof/>
              </w:rPr>
              <w:t>CHAPTER V: SUMMARY of FINDINGS, OUTCOMES and IMPLICATIONS</w:t>
            </w:r>
            <w:r w:rsidR="00B163A1">
              <w:rPr>
                <w:noProof/>
                <w:webHidden/>
              </w:rPr>
              <w:tab/>
            </w:r>
            <w:r w:rsidR="00B163A1">
              <w:rPr>
                <w:noProof/>
                <w:webHidden/>
              </w:rPr>
              <w:fldChar w:fldCharType="begin"/>
            </w:r>
            <w:r w:rsidR="00B163A1">
              <w:rPr>
                <w:noProof/>
                <w:webHidden/>
              </w:rPr>
              <w:instrText xml:space="preserve"> PAGEREF _Toc225937214 \h </w:instrText>
            </w:r>
            <w:r w:rsidR="00B163A1">
              <w:rPr>
                <w:noProof/>
                <w:webHidden/>
              </w:rPr>
            </w:r>
            <w:r w:rsidR="00B163A1">
              <w:rPr>
                <w:noProof/>
                <w:webHidden/>
              </w:rPr>
              <w:fldChar w:fldCharType="separate"/>
            </w:r>
            <w:r w:rsidR="00B163A1">
              <w:rPr>
                <w:noProof/>
                <w:webHidden/>
              </w:rPr>
              <w:t>108</w:t>
            </w:r>
            <w:r w:rsidR="00B163A1">
              <w:rPr>
                <w:noProof/>
                <w:webHidden/>
              </w:rPr>
              <w:fldChar w:fldCharType="end"/>
            </w:r>
          </w:hyperlink>
        </w:p>
        <w:p w14:paraId="20E2DF40" w14:textId="65DA9519"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15" w:history="1">
            <w:r w:rsidR="00B163A1" w:rsidRPr="00FC4CC3">
              <w:rPr>
                <w:rStyle w:val="Hyperlink"/>
                <w:noProof/>
              </w:rPr>
              <w:t>Introduction</w:t>
            </w:r>
            <w:r w:rsidR="00B163A1">
              <w:rPr>
                <w:noProof/>
                <w:webHidden/>
              </w:rPr>
              <w:tab/>
            </w:r>
            <w:r w:rsidR="00B163A1">
              <w:rPr>
                <w:noProof/>
                <w:webHidden/>
              </w:rPr>
              <w:fldChar w:fldCharType="begin"/>
            </w:r>
            <w:r w:rsidR="00B163A1">
              <w:rPr>
                <w:noProof/>
                <w:webHidden/>
              </w:rPr>
              <w:instrText xml:space="preserve"> PAGEREF _Toc225937215 \h </w:instrText>
            </w:r>
            <w:r w:rsidR="00B163A1">
              <w:rPr>
                <w:noProof/>
                <w:webHidden/>
              </w:rPr>
            </w:r>
            <w:r w:rsidR="00B163A1">
              <w:rPr>
                <w:noProof/>
                <w:webHidden/>
              </w:rPr>
              <w:fldChar w:fldCharType="separate"/>
            </w:r>
            <w:r w:rsidR="00B163A1">
              <w:rPr>
                <w:noProof/>
                <w:webHidden/>
              </w:rPr>
              <w:t>108</w:t>
            </w:r>
            <w:r w:rsidR="00B163A1">
              <w:rPr>
                <w:noProof/>
                <w:webHidden/>
              </w:rPr>
              <w:fldChar w:fldCharType="end"/>
            </w:r>
          </w:hyperlink>
        </w:p>
        <w:p w14:paraId="3A9B60AF" w14:textId="700D435A"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16" w:history="1">
            <w:r w:rsidR="00B163A1" w:rsidRPr="00FC4CC3">
              <w:rPr>
                <w:rStyle w:val="Hyperlink"/>
                <w:noProof/>
              </w:rPr>
              <w:t>Summary of Findings</w:t>
            </w:r>
            <w:r w:rsidR="00B163A1">
              <w:rPr>
                <w:noProof/>
                <w:webHidden/>
              </w:rPr>
              <w:tab/>
            </w:r>
            <w:r w:rsidR="00B163A1">
              <w:rPr>
                <w:noProof/>
                <w:webHidden/>
              </w:rPr>
              <w:fldChar w:fldCharType="begin"/>
            </w:r>
            <w:r w:rsidR="00B163A1">
              <w:rPr>
                <w:noProof/>
                <w:webHidden/>
              </w:rPr>
              <w:instrText xml:space="preserve"> PAGEREF _Toc225937216 \h </w:instrText>
            </w:r>
            <w:r w:rsidR="00B163A1">
              <w:rPr>
                <w:noProof/>
                <w:webHidden/>
              </w:rPr>
            </w:r>
            <w:r w:rsidR="00B163A1">
              <w:rPr>
                <w:noProof/>
                <w:webHidden/>
              </w:rPr>
              <w:fldChar w:fldCharType="separate"/>
            </w:r>
            <w:r w:rsidR="00B163A1">
              <w:rPr>
                <w:noProof/>
                <w:webHidden/>
              </w:rPr>
              <w:t>108</w:t>
            </w:r>
            <w:r w:rsidR="00B163A1">
              <w:rPr>
                <w:noProof/>
                <w:webHidden/>
              </w:rPr>
              <w:fldChar w:fldCharType="end"/>
            </w:r>
          </w:hyperlink>
        </w:p>
        <w:p w14:paraId="75D8E985" w14:textId="23D4D334"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17" w:history="1">
            <w:r w:rsidR="00B163A1" w:rsidRPr="00FC4CC3">
              <w:rPr>
                <w:rStyle w:val="Hyperlink"/>
                <w:noProof/>
              </w:rPr>
              <w:t>Outcomes and Implications</w:t>
            </w:r>
            <w:r w:rsidR="00B163A1">
              <w:rPr>
                <w:noProof/>
                <w:webHidden/>
              </w:rPr>
              <w:tab/>
            </w:r>
            <w:r w:rsidR="00B163A1">
              <w:rPr>
                <w:noProof/>
                <w:webHidden/>
              </w:rPr>
              <w:fldChar w:fldCharType="begin"/>
            </w:r>
            <w:r w:rsidR="00B163A1">
              <w:rPr>
                <w:noProof/>
                <w:webHidden/>
              </w:rPr>
              <w:instrText xml:space="preserve"> PAGEREF _Toc225937217 \h </w:instrText>
            </w:r>
            <w:r w:rsidR="00B163A1">
              <w:rPr>
                <w:noProof/>
                <w:webHidden/>
              </w:rPr>
            </w:r>
            <w:r w:rsidR="00B163A1">
              <w:rPr>
                <w:noProof/>
                <w:webHidden/>
              </w:rPr>
              <w:fldChar w:fldCharType="separate"/>
            </w:r>
            <w:r w:rsidR="00B163A1">
              <w:rPr>
                <w:noProof/>
                <w:webHidden/>
              </w:rPr>
              <w:t>114</w:t>
            </w:r>
            <w:r w:rsidR="00B163A1">
              <w:rPr>
                <w:noProof/>
                <w:webHidden/>
              </w:rPr>
              <w:fldChar w:fldCharType="end"/>
            </w:r>
          </w:hyperlink>
        </w:p>
        <w:p w14:paraId="1D838C41" w14:textId="2DC4DA6E"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18" w:history="1">
            <w:r w:rsidR="00B163A1" w:rsidRPr="00FC4CC3">
              <w:rPr>
                <w:rStyle w:val="Hyperlink"/>
                <w:noProof/>
              </w:rPr>
              <w:t>Moderate to high levels of competence and capacity</w:t>
            </w:r>
            <w:r w:rsidR="00B163A1">
              <w:rPr>
                <w:noProof/>
                <w:webHidden/>
              </w:rPr>
              <w:tab/>
            </w:r>
            <w:r w:rsidR="00B163A1">
              <w:rPr>
                <w:noProof/>
                <w:webHidden/>
              </w:rPr>
              <w:fldChar w:fldCharType="begin"/>
            </w:r>
            <w:r w:rsidR="00B163A1">
              <w:rPr>
                <w:noProof/>
                <w:webHidden/>
              </w:rPr>
              <w:instrText xml:space="preserve"> PAGEREF _Toc225937218 \h </w:instrText>
            </w:r>
            <w:r w:rsidR="00B163A1">
              <w:rPr>
                <w:noProof/>
                <w:webHidden/>
              </w:rPr>
            </w:r>
            <w:r w:rsidR="00B163A1">
              <w:rPr>
                <w:noProof/>
                <w:webHidden/>
              </w:rPr>
              <w:fldChar w:fldCharType="separate"/>
            </w:r>
            <w:r w:rsidR="00B163A1">
              <w:rPr>
                <w:noProof/>
                <w:webHidden/>
              </w:rPr>
              <w:t>114</w:t>
            </w:r>
            <w:r w:rsidR="00B163A1">
              <w:rPr>
                <w:noProof/>
                <w:webHidden/>
              </w:rPr>
              <w:fldChar w:fldCharType="end"/>
            </w:r>
          </w:hyperlink>
        </w:p>
        <w:p w14:paraId="5AA853AE" w14:textId="387A0616"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19" w:history="1">
            <w:r w:rsidR="00B163A1" w:rsidRPr="00FC4CC3">
              <w:rPr>
                <w:rStyle w:val="Hyperlink"/>
                <w:noProof/>
              </w:rPr>
              <w:t>Approaches to Organisational Climate Change and Health Education</w:t>
            </w:r>
            <w:r w:rsidR="00B163A1">
              <w:rPr>
                <w:noProof/>
                <w:webHidden/>
              </w:rPr>
              <w:tab/>
            </w:r>
            <w:r w:rsidR="00B163A1">
              <w:rPr>
                <w:noProof/>
                <w:webHidden/>
              </w:rPr>
              <w:fldChar w:fldCharType="begin"/>
            </w:r>
            <w:r w:rsidR="00B163A1">
              <w:rPr>
                <w:noProof/>
                <w:webHidden/>
              </w:rPr>
              <w:instrText xml:space="preserve"> PAGEREF _Toc225937219 \h </w:instrText>
            </w:r>
            <w:r w:rsidR="00B163A1">
              <w:rPr>
                <w:noProof/>
                <w:webHidden/>
              </w:rPr>
            </w:r>
            <w:r w:rsidR="00B163A1">
              <w:rPr>
                <w:noProof/>
                <w:webHidden/>
              </w:rPr>
              <w:fldChar w:fldCharType="separate"/>
            </w:r>
            <w:r w:rsidR="00B163A1">
              <w:rPr>
                <w:noProof/>
                <w:webHidden/>
              </w:rPr>
              <w:t>115</w:t>
            </w:r>
            <w:r w:rsidR="00B163A1">
              <w:rPr>
                <w:noProof/>
                <w:webHidden/>
              </w:rPr>
              <w:fldChar w:fldCharType="end"/>
            </w:r>
          </w:hyperlink>
        </w:p>
        <w:p w14:paraId="069F31A7" w14:textId="3E20DFEA"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0" w:history="1">
            <w:r w:rsidR="00B163A1" w:rsidRPr="00FC4CC3">
              <w:rPr>
                <w:rStyle w:val="Hyperlink"/>
                <w:noProof/>
              </w:rPr>
              <w:t>Frequency and types of learning</w:t>
            </w:r>
            <w:r w:rsidR="00B163A1">
              <w:rPr>
                <w:noProof/>
                <w:webHidden/>
              </w:rPr>
              <w:tab/>
            </w:r>
            <w:r w:rsidR="00B163A1">
              <w:rPr>
                <w:noProof/>
                <w:webHidden/>
              </w:rPr>
              <w:fldChar w:fldCharType="begin"/>
            </w:r>
            <w:r w:rsidR="00B163A1">
              <w:rPr>
                <w:noProof/>
                <w:webHidden/>
              </w:rPr>
              <w:instrText xml:space="preserve"> PAGEREF _Toc225937220 \h </w:instrText>
            </w:r>
            <w:r w:rsidR="00B163A1">
              <w:rPr>
                <w:noProof/>
                <w:webHidden/>
              </w:rPr>
            </w:r>
            <w:r w:rsidR="00B163A1">
              <w:rPr>
                <w:noProof/>
                <w:webHidden/>
              </w:rPr>
              <w:fldChar w:fldCharType="separate"/>
            </w:r>
            <w:r w:rsidR="00B163A1">
              <w:rPr>
                <w:noProof/>
                <w:webHidden/>
              </w:rPr>
              <w:t>117</w:t>
            </w:r>
            <w:r w:rsidR="00B163A1">
              <w:rPr>
                <w:noProof/>
                <w:webHidden/>
              </w:rPr>
              <w:fldChar w:fldCharType="end"/>
            </w:r>
          </w:hyperlink>
        </w:p>
        <w:p w14:paraId="24407550" w14:textId="032E4D41"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1" w:history="1">
            <w:r w:rsidR="00B163A1" w:rsidRPr="00FC4CC3">
              <w:rPr>
                <w:rStyle w:val="Hyperlink"/>
                <w:noProof/>
              </w:rPr>
              <w:t>Climate and health topics for leadership</w:t>
            </w:r>
            <w:r w:rsidR="00B163A1">
              <w:rPr>
                <w:noProof/>
                <w:webHidden/>
              </w:rPr>
              <w:tab/>
            </w:r>
            <w:r w:rsidR="00B163A1">
              <w:rPr>
                <w:noProof/>
                <w:webHidden/>
              </w:rPr>
              <w:fldChar w:fldCharType="begin"/>
            </w:r>
            <w:r w:rsidR="00B163A1">
              <w:rPr>
                <w:noProof/>
                <w:webHidden/>
              </w:rPr>
              <w:instrText xml:space="preserve"> PAGEREF _Toc225937221 \h </w:instrText>
            </w:r>
            <w:r w:rsidR="00B163A1">
              <w:rPr>
                <w:noProof/>
                <w:webHidden/>
              </w:rPr>
            </w:r>
            <w:r w:rsidR="00B163A1">
              <w:rPr>
                <w:noProof/>
                <w:webHidden/>
              </w:rPr>
              <w:fldChar w:fldCharType="separate"/>
            </w:r>
            <w:r w:rsidR="00B163A1">
              <w:rPr>
                <w:noProof/>
                <w:webHidden/>
              </w:rPr>
              <w:t>118</w:t>
            </w:r>
            <w:r w:rsidR="00B163A1">
              <w:rPr>
                <w:noProof/>
                <w:webHidden/>
              </w:rPr>
              <w:fldChar w:fldCharType="end"/>
            </w:r>
          </w:hyperlink>
        </w:p>
        <w:p w14:paraId="57E146E4" w14:textId="66705A34"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22" w:history="1">
            <w:r w:rsidR="00B163A1" w:rsidRPr="00FC4CC3">
              <w:rPr>
                <w:rStyle w:val="Hyperlink"/>
                <w:noProof/>
              </w:rPr>
              <w:t>Suggestions for Future Research</w:t>
            </w:r>
            <w:r w:rsidR="00B163A1">
              <w:rPr>
                <w:noProof/>
                <w:webHidden/>
              </w:rPr>
              <w:tab/>
            </w:r>
            <w:r w:rsidR="00B163A1">
              <w:rPr>
                <w:noProof/>
                <w:webHidden/>
              </w:rPr>
              <w:fldChar w:fldCharType="begin"/>
            </w:r>
            <w:r w:rsidR="00B163A1">
              <w:rPr>
                <w:noProof/>
                <w:webHidden/>
              </w:rPr>
              <w:instrText xml:space="preserve"> PAGEREF _Toc225937222 \h </w:instrText>
            </w:r>
            <w:r w:rsidR="00B163A1">
              <w:rPr>
                <w:noProof/>
                <w:webHidden/>
              </w:rPr>
            </w:r>
            <w:r w:rsidR="00B163A1">
              <w:rPr>
                <w:noProof/>
                <w:webHidden/>
              </w:rPr>
              <w:fldChar w:fldCharType="separate"/>
            </w:r>
            <w:r w:rsidR="00B163A1">
              <w:rPr>
                <w:noProof/>
                <w:webHidden/>
              </w:rPr>
              <w:t>122</w:t>
            </w:r>
            <w:r w:rsidR="00B163A1">
              <w:rPr>
                <w:noProof/>
                <w:webHidden/>
              </w:rPr>
              <w:fldChar w:fldCharType="end"/>
            </w:r>
          </w:hyperlink>
        </w:p>
        <w:p w14:paraId="786987F2" w14:textId="0AA5DEB8"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3" w:history="1">
            <w:r w:rsidR="00B163A1" w:rsidRPr="00FC4CC3">
              <w:rPr>
                <w:rStyle w:val="Hyperlink"/>
                <w:noProof/>
              </w:rPr>
              <w:t>A case for mix methods research</w:t>
            </w:r>
            <w:r w:rsidR="00B163A1">
              <w:rPr>
                <w:noProof/>
                <w:webHidden/>
              </w:rPr>
              <w:tab/>
            </w:r>
            <w:r w:rsidR="00B163A1">
              <w:rPr>
                <w:noProof/>
                <w:webHidden/>
              </w:rPr>
              <w:fldChar w:fldCharType="begin"/>
            </w:r>
            <w:r w:rsidR="00B163A1">
              <w:rPr>
                <w:noProof/>
                <w:webHidden/>
              </w:rPr>
              <w:instrText xml:space="preserve"> PAGEREF _Toc225937223 \h </w:instrText>
            </w:r>
            <w:r w:rsidR="00B163A1">
              <w:rPr>
                <w:noProof/>
                <w:webHidden/>
              </w:rPr>
            </w:r>
            <w:r w:rsidR="00B163A1">
              <w:rPr>
                <w:noProof/>
                <w:webHidden/>
              </w:rPr>
              <w:fldChar w:fldCharType="separate"/>
            </w:r>
            <w:r w:rsidR="00B163A1">
              <w:rPr>
                <w:noProof/>
                <w:webHidden/>
              </w:rPr>
              <w:t>122</w:t>
            </w:r>
            <w:r w:rsidR="00B163A1">
              <w:rPr>
                <w:noProof/>
                <w:webHidden/>
              </w:rPr>
              <w:fldChar w:fldCharType="end"/>
            </w:r>
          </w:hyperlink>
        </w:p>
        <w:p w14:paraId="03913712" w14:textId="661D5903"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4" w:history="1">
            <w:r w:rsidR="00B163A1" w:rsidRPr="00FC4CC3">
              <w:rPr>
                <w:rStyle w:val="Hyperlink"/>
                <w:noProof/>
              </w:rPr>
              <w:t>Climate change and health competencies and measuring effectiveness</w:t>
            </w:r>
            <w:r w:rsidR="00B163A1">
              <w:rPr>
                <w:noProof/>
                <w:webHidden/>
              </w:rPr>
              <w:tab/>
            </w:r>
            <w:r w:rsidR="00B163A1">
              <w:rPr>
                <w:noProof/>
                <w:webHidden/>
              </w:rPr>
              <w:fldChar w:fldCharType="begin"/>
            </w:r>
            <w:r w:rsidR="00B163A1">
              <w:rPr>
                <w:noProof/>
                <w:webHidden/>
              </w:rPr>
              <w:instrText xml:space="preserve"> PAGEREF _Toc225937224 \h </w:instrText>
            </w:r>
            <w:r w:rsidR="00B163A1">
              <w:rPr>
                <w:noProof/>
                <w:webHidden/>
              </w:rPr>
            </w:r>
            <w:r w:rsidR="00B163A1">
              <w:rPr>
                <w:noProof/>
                <w:webHidden/>
              </w:rPr>
              <w:fldChar w:fldCharType="separate"/>
            </w:r>
            <w:r w:rsidR="00B163A1">
              <w:rPr>
                <w:noProof/>
                <w:webHidden/>
              </w:rPr>
              <w:t>123</w:t>
            </w:r>
            <w:r w:rsidR="00B163A1">
              <w:rPr>
                <w:noProof/>
                <w:webHidden/>
              </w:rPr>
              <w:fldChar w:fldCharType="end"/>
            </w:r>
          </w:hyperlink>
        </w:p>
        <w:p w14:paraId="74FA4D3B" w14:textId="28A526C5"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5" w:history="1">
            <w:r w:rsidR="00B163A1" w:rsidRPr="00FC4CC3">
              <w:rPr>
                <w:rStyle w:val="Hyperlink"/>
                <w:noProof/>
              </w:rPr>
              <w:t>Further exploration of higher income healthcare systems</w:t>
            </w:r>
            <w:r w:rsidR="00B163A1">
              <w:rPr>
                <w:noProof/>
                <w:webHidden/>
              </w:rPr>
              <w:tab/>
            </w:r>
            <w:r w:rsidR="00B163A1">
              <w:rPr>
                <w:noProof/>
                <w:webHidden/>
              </w:rPr>
              <w:fldChar w:fldCharType="begin"/>
            </w:r>
            <w:r w:rsidR="00B163A1">
              <w:rPr>
                <w:noProof/>
                <w:webHidden/>
              </w:rPr>
              <w:instrText xml:space="preserve"> PAGEREF _Toc225937225 \h </w:instrText>
            </w:r>
            <w:r w:rsidR="00B163A1">
              <w:rPr>
                <w:noProof/>
                <w:webHidden/>
              </w:rPr>
            </w:r>
            <w:r w:rsidR="00B163A1">
              <w:rPr>
                <w:noProof/>
                <w:webHidden/>
              </w:rPr>
              <w:fldChar w:fldCharType="separate"/>
            </w:r>
            <w:r w:rsidR="00B163A1">
              <w:rPr>
                <w:noProof/>
                <w:webHidden/>
              </w:rPr>
              <w:t>123</w:t>
            </w:r>
            <w:r w:rsidR="00B163A1">
              <w:rPr>
                <w:noProof/>
                <w:webHidden/>
              </w:rPr>
              <w:fldChar w:fldCharType="end"/>
            </w:r>
          </w:hyperlink>
        </w:p>
        <w:p w14:paraId="4171CA44" w14:textId="72CCD20A"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6" w:history="1">
            <w:r w:rsidR="00B163A1" w:rsidRPr="00FC4CC3">
              <w:rPr>
                <w:rStyle w:val="Hyperlink"/>
                <w:noProof/>
              </w:rPr>
              <w:t>Integrating climate change and health education with low- and middle-income health care systems</w:t>
            </w:r>
            <w:r w:rsidR="00B163A1">
              <w:rPr>
                <w:noProof/>
                <w:webHidden/>
              </w:rPr>
              <w:tab/>
            </w:r>
            <w:r w:rsidR="00B163A1">
              <w:rPr>
                <w:noProof/>
                <w:webHidden/>
              </w:rPr>
              <w:fldChar w:fldCharType="begin"/>
            </w:r>
            <w:r w:rsidR="00B163A1">
              <w:rPr>
                <w:noProof/>
                <w:webHidden/>
              </w:rPr>
              <w:instrText xml:space="preserve"> PAGEREF _Toc225937226 \h </w:instrText>
            </w:r>
            <w:r w:rsidR="00B163A1">
              <w:rPr>
                <w:noProof/>
                <w:webHidden/>
              </w:rPr>
            </w:r>
            <w:r w:rsidR="00B163A1">
              <w:rPr>
                <w:noProof/>
                <w:webHidden/>
              </w:rPr>
              <w:fldChar w:fldCharType="separate"/>
            </w:r>
            <w:r w:rsidR="00B163A1">
              <w:rPr>
                <w:noProof/>
                <w:webHidden/>
              </w:rPr>
              <w:t>124</w:t>
            </w:r>
            <w:r w:rsidR="00B163A1">
              <w:rPr>
                <w:noProof/>
                <w:webHidden/>
              </w:rPr>
              <w:fldChar w:fldCharType="end"/>
            </w:r>
          </w:hyperlink>
        </w:p>
        <w:p w14:paraId="45697A07" w14:textId="1BD5C322" w:rsidR="00B163A1" w:rsidRDefault="00000000">
          <w:pPr>
            <w:pStyle w:val="TOC3"/>
            <w:tabs>
              <w:tab w:val="right" w:leader="dot" w:pos="9350"/>
            </w:tabs>
            <w:rPr>
              <w:rFonts w:eastAsiaTheme="minorEastAsia"/>
              <w:noProof/>
              <w:kern w:val="2"/>
              <w:sz w:val="24"/>
              <w:szCs w:val="24"/>
              <w:lang w:eastAsia="en-CA"/>
              <w14:ligatures w14:val="standardContextual"/>
            </w:rPr>
          </w:pPr>
          <w:hyperlink w:anchor="_Toc225937227" w:history="1">
            <w:r w:rsidR="00B163A1" w:rsidRPr="00FC4CC3">
              <w:rPr>
                <w:rStyle w:val="Hyperlink"/>
                <w:noProof/>
              </w:rPr>
              <w:t>Crisis Management Paradigm</w:t>
            </w:r>
            <w:r w:rsidR="00B163A1">
              <w:rPr>
                <w:noProof/>
                <w:webHidden/>
              </w:rPr>
              <w:tab/>
            </w:r>
            <w:r w:rsidR="00B163A1">
              <w:rPr>
                <w:noProof/>
                <w:webHidden/>
              </w:rPr>
              <w:fldChar w:fldCharType="begin"/>
            </w:r>
            <w:r w:rsidR="00B163A1">
              <w:rPr>
                <w:noProof/>
                <w:webHidden/>
              </w:rPr>
              <w:instrText xml:space="preserve"> PAGEREF _Toc225937227 \h </w:instrText>
            </w:r>
            <w:r w:rsidR="00B163A1">
              <w:rPr>
                <w:noProof/>
                <w:webHidden/>
              </w:rPr>
            </w:r>
            <w:r w:rsidR="00B163A1">
              <w:rPr>
                <w:noProof/>
                <w:webHidden/>
              </w:rPr>
              <w:fldChar w:fldCharType="separate"/>
            </w:r>
            <w:r w:rsidR="00B163A1">
              <w:rPr>
                <w:noProof/>
                <w:webHidden/>
              </w:rPr>
              <w:t>125</w:t>
            </w:r>
            <w:r w:rsidR="00B163A1">
              <w:rPr>
                <w:noProof/>
                <w:webHidden/>
              </w:rPr>
              <w:fldChar w:fldCharType="end"/>
            </w:r>
          </w:hyperlink>
        </w:p>
        <w:p w14:paraId="7A7B4AE3" w14:textId="3F4A3CE7"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28" w:history="1">
            <w:r w:rsidR="00B163A1" w:rsidRPr="00FC4CC3">
              <w:rPr>
                <w:rStyle w:val="Hyperlink"/>
                <w:noProof/>
              </w:rPr>
              <w:t>Conclusion</w:t>
            </w:r>
            <w:r w:rsidR="00B163A1">
              <w:rPr>
                <w:noProof/>
                <w:webHidden/>
              </w:rPr>
              <w:tab/>
            </w:r>
            <w:r w:rsidR="00B163A1">
              <w:rPr>
                <w:noProof/>
                <w:webHidden/>
              </w:rPr>
              <w:fldChar w:fldCharType="begin"/>
            </w:r>
            <w:r w:rsidR="00B163A1">
              <w:rPr>
                <w:noProof/>
                <w:webHidden/>
              </w:rPr>
              <w:instrText xml:space="preserve"> PAGEREF _Toc225937228 \h </w:instrText>
            </w:r>
            <w:r w:rsidR="00B163A1">
              <w:rPr>
                <w:noProof/>
                <w:webHidden/>
              </w:rPr>
            </w:r>
            <w:r w:rsidR="00B163A1">
              <w:rPr>
                <w:noProof/>
                <w:webHidden/>
              </w:rPr>
              <w:fldChar w:fldCharType="separate"/>
            </w:r>
            <w:r w:rsidR="00B163A1">
              <w:rPr>
                <w:noProof/>
                <w:webHidden/>
              </w:rPr>
              <w:t>126</w:t>
            </w:r>
            <w:r w:rsidR="00B163A1">
              <w:rPr>
                <w:noProof/>
                <w:webHidden/>
              </w:rPr>
              <w:fldChar w:fldCharType="end"/>
            </w:r>
          </w:hyperlink>
        </w:p>
        <w:p w14:paraId="66F4D954" w14:textId="4817D8A2"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229" w:history="1">
            <w:r w:rsidR="00B163A1" w:rsidRPr="00FC4CC3">
              <w:rPr>
                <w:rStyle w:val="Hyperlink"/>
                <w:noProof/>
              </w:rPr>
              <w:t>Appendices</w:t>
            </w:r>
            <w:r w:rsidR="00B163A1">
              <w:rPr>
                <w:noProof/>
                <w:webHidden/>
              </w:rPr>
              <w:tab/>
            </w:r>
            <w:r w:rsidR="00B163A1">
              <w:rPr>
                <w:noProof/>
                <w:webHidden/>
              </w:rPr>
              <w:fldChar w:fldCharType="begin"/>
            </w:r>
            <w:r w:rsidR="00B163A1">
              <w:rPr>
                <w:noProof/>
                <w:webHidden/>
              </w:rPr>
              <w:instrText xml:space="preserve"> PAGEREF _Toc225937229 \h </w:instrText>
            </w:r>
            <w:r w:rsidR="00B163A1">
              <w:rPr>
                <w:noProof/>
                <w:webHidden/>
              </w:rPr>
            </w:r>
            <w:r w:rsidR="00B163A1">
              <w:rPr>
                <w:noProof/>
                <w:webHidden/>
              </w:rPr>
              <w:fldChar w:fldCharType="separate"/>
            </w:r>
            <w:r w:rsidR="00B163A1">
              <w:rPr>
                <w:noProof/>
                <w:webHidden/>
              </w:rPr>
              <w:t>128</w:t>
            </w:r>
            <w:r w:rsidR="00B163A1">
              <w:rPr>
                <w:noProof/>
                <w:webHidden/>
              </w:rPr>
              <w:fldChar w:fldCharType="end"/>
            </w:r>
          </w:hyperlink>
        </w:p>
        <w:p w14:paraId="5A4256E3" w14:textId="5A57B028"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30" w:history="1">
            <w:r w:rsidR="00B163A1" w:rsidRPr="00FC4CC3">
              <w:rPr>
                <w:rStyle w:val="Hyperlink"/>
                <w:noProof/>
              </w:rPr>
              <w:t>Appendix I: Search strategy</w:t>
            </w:r>
            <w:r w:rsidR="00B163A1">
              <w:rPr>
                <w:noProof/>
                <w:webHidden/>
              </w:rPr>
              <w:tab/>
            </w:r>
            <w:r w:rsidR="00B163A1">
              <w:rPr>
                <w:noProof/>
                <w:webHidden/>
              </w:rPr>
              <w:fldChar w:fldCharType="begin"/>
            </w:r>
            <w:r w:rsidR="00B163A1">
              <w:rPr>
                <w:noProof/>
                <w:webHidden/>
              </w:rPr>
              <w:instrText xml:space="preserve"> PAGEREF _Toc225937230 \h </w:instrText>
            </w:r>
            <w:r w:rsidR="00B163A1">
              <w:rPr>
                <w:noProof/>
                <w:webHidden/>
              </w:rPr>
            </w:r>
            <w:r w:rsidR="00B163A1">
              <w:rPr>
                <w:noProof/>
                <w:webHidden/>
              </w:rPr>
              <w:fldChar w:fldCharType="separate"/>
            </w:r>
            <w:r w:rsidR="00B163A1">
              <w:rPr>
                <w:noProof/>
                <w:webHidden/>
              </w:rPr>
              <w:t>128</w:t>
            </w:r>
            <w:r w:rsidR="00B163A1">
              <w:rPr>
                <w:noProof/>
                <w:webHidden/>
              </w:rPr>
              <w:fldChar w:fldCharType="end"/>
            </w:r>
          </w:hyperlink>
        </w:p>
        <w:p w14:paraId="3E0C2778" w14:textId="3C0890F0" w:rsidR="00B163A1" w:rsidRDefault="00000000">
          <w:pPr>
            <w:pStyle w:val="TOC2"/>
            <w:tabs>
              <w:tab w:val="right" w:leader="dot" w:pos="9350"/>
            </w:tabs>
            <w:rPr>
              <w:rFonts w:eastAsiaTheme="minorEastAsia"/>
              <w:noProof/>
              <w:kern w:val="2"/>
              <w:sz w:val="24"/>
              <w:szCs w:val="24"/>
              <w:lang w:eastAsia="en-CA"/>
              <w14:ligatures w14:val="standardContextual"/>
            </w:rPr>
          </w:pPr>
          <w:hyperlink w:anchor="_Toc225937231" w:history="1">
            <w:r w:rsidR="00B163A1" w:rsidRPr="00FC4CC3">
              <w:rPr>
                <w:rStyle w:val="Hyperlink"/>
                <w:noProof/>
              </w:rPr>
              <w:t>Appendix II: Data extraction instrument</w:t>
            </w:r>
            <w:r w:rsidR="00B163A1">
              <w:rPr>
                <w:noProof/>
                <w:webHidden/>
              </w:rPr>
              <w:tab/>
            </w:r>
            <w:r w:rsidR="00B163A1">
              <w:rPr>
                <w:noProof/>
                <w:webHidden/>
              </w:rPr>
              <w:fldChar w:fldCharType="begin"/>
            </w:r>
            <w:r w:rsidR="00B163A1">
              <w:rPr>
                <w:noProof/>
                <w:webHidden/>
              </w:rPr>
              <w:instrText xml:space="preserve"> PAGEREF _Toc225937231 \h </w:instrText>
            </w:r>
            <w:r w:rsidR="00B163A1">
              <w:rPr>
                <w:noProof/>
                <w:webHidden/>
              </w:rPr>
            </w:r>
            <w:r w:rsidR="00B163A1">
              <w:rPr>
                <w:noProof/>
                <w:webHidden/>
              </w:rPr>
              <w:fldChar w:fldCharType="separate"/>
            </w:r>
            <w:r w:rsidR="00B163A1">
              <w:rPr>
                <w:noProof/>
                <w:webHidden/>
              </w:rPr>
              <w:t>130</w:t>
            </w:r>
            <w:r w:rsidR="00B163A1">
              <w:rPr>
                <w:noProof/>
                <w:webHidden/>
              </w:rPr>
              <w:fldChar w:fldCharType="end"/>
            </w:r>
          </w:hyperlink>
        </w:p>
        <w:p w14:paraId="7352FABC" w14:textId="20295799" w:rsidR="00B163A1" w:rsidRDefault="00000000">
          <w:pPr>
            <w:pStyle w:val="TOC1"/>
            <w:tabs>
              <w:tab w:val="right" w:leader="dot" w:pos="9350"/>
            </w:tabs>
            <w:rPr>
              <w:rFonts w:eastAsiaTheme="minorEastAsia"/>
              <w:noProof/>
              <w:kern w:val="2"/>
              <w:sz w:val="24"/>
              <w:szCs w:val="24"/>
              <w:lang w:eastAsia="en-CA"/>
              <w14:ligatures w14:val="standardContextual"/>
            </w:rPr>
          </w:pPr>
          <w:hyperlink w:anchor="_Toc225937232" w:history="1">
            <w:r w:rsidR="00B163A1" w:rsidRPr="00FC4CC3">
              <w:rPr>
                <w:rStyle w:val="Hyperlink"/>
                <w:noProof/>
                <w:lang w:val="en-US"/>
              </w:rPr>
              <w:t>References</w:t>
            </w:r>
            <w:r w:rsidR="00B163A1">
              <w:rPr>
                <w:noProof/>
                <w:webHidden/>
              </w:rPr>
              <w:tab/>
            </w:r>
            <w:r w:rsidR="00B163A1">
              <w:rPr>
                <w:noProof/>
                <w:webHidden/>
              </w:rPr>
              <w:fldChar w:fldCharType="begin"/>
            </w:r>
            <w:r w:rsidR="00B163A1">
              <w:rPr>
                <w:noProof/>
                <w:webHidden/>
              </w:rPr>
              <w:instrText xml:space="preserve"> PAGEREF _Toc225937232 \h </w:instrText>
            </w:r>
            <w:r w:rsidR="00B163A1">
              <w:rPr>
                <w:noProof/>
                <w:webHidden/>
              </w:rPr>
            </w:r>
            <w:r w:rsidR="00B163A1">
              <w:rPr>
                <w:noProof/>
                <w:webHidden/>
              </w:rPr>
              <w:fldChar w:fldCharType="separate"/>
            </w:r>
            <w:r w:rsidR="00B163A1">
              <w:rPr>
                <w:noProof/>
                <w:webHidden/>
              </w:rPr>
              <w:t>131</w:t>
            </w:r>
            <w:r w:rsidR="00B163A1">
              <w:rPr>
                <w:noProof/>
                <w:webHidden/>
              </w:rPr>
              <w:fldChar w:fldCharType="end"/>
            </w:r>
          </w:hyperlink>
        </w:p>
        <w:p w14:paraId="07C354B4" w14:textId="6A3B677C" w:rsidR="00990AE1" w:rsidRDefault="00990AE1">
          <w:r>
            <w:rPr>
              <w:b/>
              <w:bCs/>
              <w:noProof/>
            </w:rPr>
            <w:fldChar w:fldCharType="end"/>
          </w:r>
        </w:p>
      </w:sdtContent>
    </w:sdt>
    <w:p w14:paraId="734C9227" w14:textId="77777777" w:rsidR="00005045" w:rsidRDefault="00005045"/>
    <w:p w14:paraId="3606B510" w14:textId="77777777" w:rsidR="00005045" w:rsidRDefault="00005045"/>
    <w:p w14:paraId="18B32919" w14:textId="77777777" w:rsidR="00005045" w:rsidRDefault="00005045"/>
    <w:p w14:paraId="24C39A6C" w14:textId="77777777" w:rsidR="00005045" w:rsidRDefault="00005045"/>
    <w:p w14:paraId="6BD9ABE1" w14:textId="77777777" w:rsidR="00005045" w:rsidRDefault="00005045"/>
    <w:p w14:paraId="5F31FC0A" w14:textId="77777777" w:rsidR="00005045" w:rsidRDefault="00005045"/>
    <w:p w14:paraId="3C3A6915" w14:textId="77777777" w:rsidR="00005045" w:rsidRDefault="00005045"/>
    <w:p w14:paraId="10C7FA28" w14:textId="77777777" w:rsidR="00005045" w:rsidRDefault="00005045"/>
    <w:p w14:paraId="0E4EED19" w14:textId="77777777" w:rsidR="00005045" w:rsidRDefault="00005045"/>
    <w:p w14:paraId="385437F4" w14:textId="77777777" w:rsidR="00005045" w:rsidRDefault="00005045"/>
    <w:p w14:paraId="40C85A05" w14:textId="77777777" w:rsidR="00005045" w:rsidRDefault="00005045"/>
    <w:p w14:paraId="629E516A" w14:textId="77777777" w:rsidR="00005045" w:rsidRDefault="00005045"/>
    <w:p w14:paraId="7C0DB924" w14:textId="77777777" w:rsidR="00005045" w:rsidRDefault="00005045"/>
    <w:p w14:paraId="3AA11398" w14:textId="77777777" w:rsidR="00005045" w:rsidRDefault="00005045"/>
    <w:p w14:paraId="11B56D48" w14:textId="77777777" w:rsidR="00D8283E" w:rsidRDefault="00D8283E"/>
    <w:p w14:paraId="1B40F55D" w14:textId="77777777" w:rsidR="00D8283E" w:rsidRDefault="00D8283E"/>
    <w:p w14:paraId="39E29B44" w14:textId="77777777" w:rsidR="000E12F7" w:rsidRDefault="000E12F7"/>
    <w:p w14:paraId="0DF9EE77" w14:textId="77777777" w:rsidR="00D8283E" w:rsidRDefault="00D8283E"/>
    <w:p w14:paraId="0BA68B58" w14:textId="77777777" w:rsidR="00D8283E" w:rsidRDefault="00D8283E"/>
    <w:p w14:paraId="1DA75DE9" w14:textId="77777777" w:rsidR="00D8283E" w:rsidRDefault="00D8283E"/>
    <w:p w14:paraId="4C4F6EFB" w14:textId="77777777" w:rsidR="00D8283E" w:rsidRDefault="00D8283E"/>
    <w:p w14:paraId="18B1E719" w14:textId="77777777" w:rsidR="00D8283E" w:rsidRDefault="00D8283E"/>
    <w:p w14:paraId="67064F82" w14:textId="77777777" w:rsidR="00005045" w:rsidRDefault="00005045"/>
    <w:p w14:paraId="64D22DB7" w14:textId="7C9B42F2" w:rsidR="00EB34F0" w:rsidRDefault="00EB34F0" w:rsidP="00990AE1">
      <w:pPr>
        <w:pStyle w:val="Heading2"/>
      </w:pPr>
      <w:bookmarkStart w:id="0" w:name="_Toc225937132"/>
      <w:r>
        <w:lastRenderedPageBreak/>
        <w:t>Abstract</w:t>
      </w:r>
      <w:bookmarkEnd w:id="0"/>
    </w:p>
    <w:p w14:paraId="4E1F5306" w14:textId="77777777" w:rsidR="00990AE1" w:rsidRDefault="00990AE1" w:rsidP="00990AE1"/>
    <w:p w14:paraId="5E099560" w14:textId="263D9BC6" w:rsidR="00990AE1" w:rsidRDefault="00786628" w:rsidP="006C17FF">
      <w:pPr>
        <w:spacing w:line="480" w:lineRule="auto"/>
      </w:pPr>
      <w:r>
        <w:t xml:space="preserve">How the changing climate interfaces with human health is an important topic of inquiry. </w:t>
      </w:r>
      <w:r w:rsidR="003F7E14">
        <w:t xml:space="preserve">Human </w:t>
      </w:r>
      <w:r w:rsidR="00D774D2">
        <w:t xml:space="preserve">health is dependent on the </w:t>
      </w:r>
      <w:r w:rsidR="003F7E14">
        <w:t xml:space="preserve">lived </w:t>
      </w:r>
      <w:r w:rsidR="00D774D2">
        <w:t>environment (</w:t>
      </w:r>
      <w:proofErr w:type="spellStart"/>
      <w:r w:rsidR="00D774D2">
        <w:t>Eckelmen</w:t>
      </w:r>
      <w:proofErr w:type="spellEnd"/>
      <w:r w:rsidR="00D774D2">
        <w:t xml:space="preserve">, et al., 2018) and the changing climate is impacting </w:t>
      </w:r>
      <w:r w:rsidR="003F7E14">
        <w:t>the way in which we live</w:t>
      </w:r>
      <w:r w:rsidR="00D774D2">
        <w:t xml:space="preserve">. This includes increases </w:t>
      </w:r>
      <w:r w:rsidR="00B22887">
        <w:t>in</w:t>
      </w:r>
      <w:r w:rsidR="00D774D2">
        <w:t xml:space="preserve"> global temperatures, disruptions to food security </w:t>
      </w:r>
      <w:r w:rsidR="00B22887">
        <w:t>and</w:t>
      </w:r>
      <w:r w:rsidR="00D774D2">
        <w:t xml:space="preserve"> extreme weather events. </w:t>
      </w:r>
      <w:r w:rsidR="003F7E14">
        <w:t>Those working in health systems</w:t>
      </w:r>
      <w:r>
        <w:t xml:space="preserve">, including leaders, </w:t>
      </w:r>
      <w:r w:rsidR="00D774D2">
        <w:t>face</w:t>
      </w:r>
      <w:r>
        <w:t xml:space="preserve"> challenges in providing healthcare that requires swift adaptation requiring a competent workforce foundationally.  </w:t>
      </w:r>
    </w:p>
    <w:p w14:paraId="5BA0AD32" w14:textId="60FFF09A" w:rsidR="00786628" w:rsidRDefault="003F7E14" w:rsidP="006C17FF">
      <w:pPr>
        <w:spacing w:line="480" w:lineRule="auto"/>
      </w:pPr>
      <w:r>
        <w:t xml:space="preserve">The research question guiding this inquiry is: are health leaders educated and trained, do they have capacity and are they competent through self-assessment. </w:t>
      </w:r>
      <w:r w:rsidR="00786628">
        <w:t>A scoping review was conducted that systematically approached the current educational landscape on topics related to health and climate change.</w:t>
      </w:r>
      <w:r w:rsidR="00D774D2">
        <w:t xml:space="preserve"> Criteria used for inclusion was primary studies that occurred in higher income countries that targeted health professional in climate and health related education from 2015.</w:t>
      </w:r>
      <w:r w:rsidR="00786628">
        <w:t xml:space="preserve"> This review highlights that a gap exists on education and/or training that is specific to health leaders. </w:t>
      </w:r>
    </w:p>
    <w:p w14:paraId="57342B0F" w14:textId="77777777" w:rsidR="00005E4E" w:rsidRDefault="003F7E14" w:rsidP="006C17FF">
      <w:pPr>
        <w:spacing w:line="480" w:lineRule="auto"/>
      </w:pPr>
      <w:r>
        <w:t>The second phase of this study</w:t>
      </w:r>
      <w:r w:rsidR="00005E4E">
        <w:t xml:space="preserve"> builds on the scoping review through a survey targeted to self-identified health leaders in Canada and the UK. A quantitative approach was selected to address the research objectives. In total, 67 responses were completed through an electronic survey. The survey used purposive and snowball sampling techniques for distribution. </w:t>
      </w:r>
    </w:p>
    <w:p w14:paraId="78E62F77" w14:textId="55BE2760" w:rsidR="00786628" w:rsidRDefault="00786628" w:rsidP="006C17FF">
      <w:pPr>
        <w:spacing w:line="480" w:lineRule="auto"/>
      </w:pPr>
      <w:r>
        <w:t xml:space="preserve">This research is rooted in a pragmatic approach </w:t>
      </w:r>
      <w:r w:rsidR="00824053">
        <w:t>a</w:t>
      </w:r>
      <w:r w:rsidR="00005E4E">
        <w:t>nd t</w:t>
      </w:r>
      <w:r>
        <w:t xml:space="preserve">he data collected from the </w:t>
      </w:r>
      <w:r w:rsidR="00D774D2">
        <w:t xml:space="preserve">survey is presented in descriptive statistics and a comparative analysis was performed. </w:t>
      </w:r>
      <w:r w:rsidR="006C17FF">
        <w:t>The finding</w:t>
      </w:r>
      <w:r w:rsidR="00005E4E">
        <w:t>s</w:t>
      </w:r>
      <w:r w:rsidR="006C17FF">
        <w:t xml:space="preserve"> indicate that health leaders are generally competent, as </w:t>
      </w:r>
      <w:proofErr w:type="spellStart"/>
      <w:r w:rsidR="006C17FF">
        <w:t>self reported</w:t>
      </w:r>
      <w:proofErr w:type="spellEnd"/>
      <w:r w:rsidR="006C17FF">
        <w:t xml:space="preserve">, in topics on climate change and health, however, </w:t>
      </w:r>
      <w:r w:rsidR="00005E4E">
        <w:t xml:space="preserve">generally </w:t>
      </w:r>
      <w:r w:rsidR="006C17FF">
        <w:t xml:space="preserve">lack capacity to increase their competency. The research highlights inconsistencies in competencies related to managing extreme weather events and how and where </w:t>
      </w:r>
      <w:r w:rsidR="006C17FF">
        <w:lastRenderedPageBreak/>
        <w:t>education is received. Practical implications are provided to help guide health organisations in prioritising and creating opportunities for leaders.</w:t>
      </w:r>
    </w:p>
    <w:p w14:paraId="1F160DE1" w14:textId="77777777" w:rsidR="0044303C" w:rsidRDefault="0044303C" w:rsidP="00990AE1"/>
    <w:p w14:paraId="43976E50" w14:textId="77777777" w:rsidR="0044303C" w:rsidRDefault="0044303C" w:rsidP="00990AE1"/>
    <w:p w14:paraId="14989A22" w14:textId="77777777" w:rsidR="0044303C" w:rsidRDefault="0044303C" w:rsidP="00990AE1"/>
    <w:p w14:paraId="5313FF7C" w14:textId="77777777" w:rsidR="0044303C" w:rsidRDefault="0044303C" w:rsidP="00990AE1"/>
    <w:p w14:paraId="6045933A" w14:textId="77777777" w:rsidR="0044303C" w:rsidRDefault="0044303C" w:rsidP="00990AE1"/>
    <w:p w14:paraId="4A1B75F9" w14:textId="77777777" w:rsidR="0044303C" w:rsidRDefault="0044303C" w:rsidP="00990AE1"/>
    <w:p w14:paraId="30745DA7" w14:textId="77777777" w:rsidR="0044303C" w:rsidRDefault="0044303C" w:rsidP="00990AE1"/>
    <w:p w14:paraId="697FC791" w14:textId="77777777" w:rsidR="0044303C" w:rsidRDefault="0044303C" w:rsidP="00990AE1"/>
    <w:p w14:paraId="402DF6DD" w14:textId="77777777" w:rsidR="0044303C" w:rsidRDefault="0044303C" w:rsidP="00990AE1"/>
    <w:p w14:paraId="281B3463" w14:textId="77777777" w:rsidR="0044303C" w:rsidRDefault="0044303C" w:rsidP="00990AE1"/>
    <w:p w14:paraId="6DF722E3" w14:textId="77777777" w:rsidR="0044303C" w:rsidRDefault="0044303C" w:rsidP="00990AE1"/>
    <w:p w14:paraId="1BC07CDC" w14:textId="77777777" w:rsidR="0044303C" w:rsidRDefault="0044303C" w:rsidP="00990AE1"/>
    <w:p w14:paraId="2B247CD7" w14:textId="77777777" w:rsidR="0044303C" w:rsidRDefault="0044303C" w:rsidP="00990AE1"/>
    <w:p w14:paraId="7DAF4570" w14:textId="77777777" w:rsidR="0044303C" w:rsidRDefault="0044303C" w:rsidP="00990AE1"/>
    <w:p w14:paraId="6E6A4694" w14:textId="77777777" w:rsidR="0044303C" w:rsidRDefault="0044303C" w:rsidP="00990AE1"/>
    <w:p w14:paraId="0DE38C28" w14:textId="77777777" w:rsidR="0044303C" w:rsidRDefault="0044303C" w:rsidP="00990AE1"/>
    <w:p w14:paraId="77ED29D7" w14:textId="77777777" w:rsidR="00D8283E" w:rsidRDefault="00D8283E" w:rsidP="00990AE1"/>
    <w:p w14:paraId="04FD57BB" w14:textId="77777777" w:rsidR="00D8283E" w:rsidRDefault="00D8283E" w:rsidP="00990AE1"/>
    <w:p w14:paraId="61513403" w14:textId="77777777" w:rsidR="00D8283E" w:rsidRDefault="00D8283E" w:rsidP="00990AE1"/>
    <w:p w14:paraId="15219635" w14:textId="77777777" w:rsidR="00D8283E" w:rsidRDefault="00D8283E" w:rsidP="00990AE1"/>
    <w:p w14:paraId="5039DBCE" w14:textId="77777777" w:rsidR="00D8283E" w:rsidRDefault="00D8283E" w:rsidP="00990AE1"/>
    <w:p w14:paraId="110F36FD" w14:textId="77777777" w:rsidR="0044303C" w:rsidRDefault="0044303C" w:rsidP="00990AE1"/>
    <w:p w14:paraId="6A6B0D53" w14:textId="77777777" w:rsidR="0044303C" w:rsidRDefault="0044303C" w:rsidP="00990AE1"/>
    <w:p w14:paraId="473EEADE" w14:textId="77777777" w:rsidR="0044303C" w:rsidRDefault="0044303C" w:rsidP="0044303C">
      <w:pPr>
        <w:pStyle w:val="Heading1"/>
      </w:pPr>
      <w:bookmarkStart w:id="1" w:name="_Toc225937133"/>
      <w:r>
        <w:lastRenderedPageBreak/>
        <w:t>Chapter I: Introduction</w:t>
      </w:r>
      <w:bookmarkEnd w:id="1"/>
    </w:p>
    <w:p w14:paraId="53C5109A" w14:textId="77777777" w:rsidR="0044303C" w:rsidRDefault="0044303C" w:rsidP="0044303C">
      <w:pPr>
        <w:pStyle w:val="Heading2"/>
      </w:pPr>
      <w:bookmarkStart w:id="2" w:name="_Toc225937134"/>
      <w:r>
        <w:t>Introduction</w:t>
      </w:r>
      <w:bookmarkEnd w:id="2"/>
    </w:p>
    <w:p w14:paraId="4A1AC880" w14:textId="4713B629" w:rsidR="0044303C" w:rsidRDefault="0044303C" w:rsidP="0044303C">
      <w:pPr>
        <w:spacing w:line="480" w:lineRule="auto"/>
        <w:jc w:val="both"/>
      </w:pPr>
      <w:r>
        <w:t xml:space="preserve">The changing climate has directly caused </w:t>
      </w:r>
      <w:r w:rsidR="00FE1F0E">
        <w:t>detrimental impacts to health</w:t>
      </w:r>
      <w:r>
        <w:t xml:space="preserve"> on a global scale for decades (Haines and Patz, 2004). </w:t>
      </w:r>
      <w:r w:rsidR="00FE1F0E">
        <w:t>C</w:t>
      </w:r>
      <w:r>
        <w:t xml:space="preserve">limate change </w:t>
      </w:r>
      <w:r w:rsidR="00FE1F0E">
        <w:t xml:space="preserve">has also </w:t>
      </w:r>
      <w:r>
        <w:t xml:space="preserve">influenced extreme weather events </w:t>
      </w:r>
      <w:r w:rsidR="00FE1F0E">
        <w:t xml:space="preserve">that </w:t>
      </w:r>
      <w:r>
        <w:t>will continue to increase in frequency, severity (</w:t>
      </w:r>
      <w:proofErr w:type="spellStart"/>
      <w:r>
        <w:t>Banholzer</w:t>
      </w:r>
      <w:proofErr w:type="spellEnd"/>
      <w:r>
        <w:t xml:space="preserve">, </w:t>
      </w:r>
      <w:proofErr w:type="spellStart"/>
      <w:r>
        <w:t>Kossin</w:t>
      </w:r>
      <w:proofErr w:type="spellEnd"/>
      <w:r>
        <w:t xml:space="preserve">, and Donner, 2014), and further impact higher income countries’ health systems. Climate change will continue to intensify demands on healthcare services (Ford, 2009) and present complex challenges to health professionals and leaders that will have to navigate through uncharted territory. Much like health systems and those that work within it, leaders must adapt to climate change. This leads to the inquiry of what education exists to provide leaders to navigate changes in climate and do leaders have capacity to become more competent to act.  </w:t>
      </w:r>
    </w:p>
    <w:p w14:paraId="008AA734" w14:textId="23938A73" w:rsidR="0044303C" w:rsidRDefault="0044303C" w:rsidP="0044303C">
      <w:pPr>
        <w:spacing w:line="480" w:lineRule="auto"/>
      </w:pPr>
      <w:r>
        <w:t xml:space="preserve">This Introduction chapter will be presented in five main sections. Initially, background context will be provided through a discussion on modern health professional education and its historical roots. Next the topic of the climate change and health will be </w:t>
      </w:r>
      <w:r w:rsidR="00FE1F0E">
        <w:t xml:space="preserve">discussed </w:t>
      </w:r>
      <w:r>
        <w:t xml:space="preserve">and its relevance to public health. Following this section will be an introduction to </w:t>
      </w:r>
      <w:r w:rsidR="002925BE">
        <w:t xml:space="preserve">Climate Change </w:t>
      </w:r>
      <w:r>
        <w:t xml:space="preserve">and </w:t>
      </w:r>
      <w:r w:rsidR="002925BE">
        <w:t xml:space="preserve">Health Competencies </w:t>
      </w:r>
      <w:r>
        <w:t>(CCHC) for health professionals and health leaders. Next</w:t>
      </w:r>
      <w:r w:rsidR="00FE1F0E">
        <w:t>,</w:t>
      </w:r>
      <w:r>
        <w:t xml:space="preserve"> the background section will state the central and secondary research questions, demonstrate the project’s feasibility, and provide rationale for the worthiness of investigation. Definitions will be provided though the introduction with the final section addressing assumptions, limitations, and delimitations. </w:t>
      </w:r>
    </w:p>
    <w:p w14:paraId="623D1B0E" w14:textId="6E331885" w:rsidR="0044303C" w:rsidRDefault="0044303C" w:rsidP="0044303C">
      <w:pPr>
        <w:spacing w:line="480" w:lineRule="auto"/>
      </w:pPr>
      <w:r>
        <w:t xml:space="preserve">Following the Introduction Chapter, the thesis will present results of a scoping review conducted in the second year of part time study. A detailed search description is provided in </w:t>
      </w:r>
      <w:r w:rsidR="00CF7DD9">
        <w:t>A</w:t>
      </w:r>
      <w:r>
        <w:t xml:space="preserve">ppendix A. The scoping review’s intent is to describe the extent of climate change and health education interventions for health professionals and applicability for health leaders- the goal being to build </w:t>
      </w:r>
      <w:r>
        <w:lastRenderedPageBreak/>
        <w:t>CCHC. Educational interventions include those within categories of health professional’s curriculum, continuing professional development opportunities and occurring within health organisations. The scoping review builds upon the climate and health sustainability competency discussion in the background section, with a synopsis of the current state within higher income countries. In addition, the review provides evidence of a systematic approach to reviewing the literature as a conceptual framework.</w:t>
      </w:r>
    </w:p>
    <w:p w14:paraId="5D43C585" w14:textId="7CD73560" w:rsidR="0044303C" w:rsidRDefault="0044303C" w:rsidP="0044303C">
      <w:pPr>
        <w:spacing w:line="480" w:lineRule="auto"/>
      </w:pPr>
      <w:r>
        <w:t>Furthermore, the review determined that there is a dearth of evidence specific to health leaders in climate change related competencies and capacity assessment. Based on those findings a quantitative study was initiated to determine the extent of competencies within health leaders in climate change and health topics. In addition, the survey also asked respondents about their capacity to build these competencies. Once the thesis is completed, findings will be published as this is novel data as it focuses on health leaders.</w:t>
      </w:r>
    </w:p>
    <w:p w14:paraId="0BFD7808" w14:textId="67279D68" w:rsidR="0044303C" w:rsidRDefault="0044303C" w:rsidP="0044303C">
      <w:pPr>
        <w:spacing w:line="480" w:lineRule="auto"/>
      </w:pPr>
      <w:r>
        <w:t>The third section provides an overview of the research design and methods for the main study. This includes a detailed description of a quantitative approach to the central research question and appropriateness of the methods. The quantitative sampling was conducted rigorously through a purposeful approach and included snowball sampling techniques. The survey collected information about the leadership roles specific to climate and health and experiences with climate influenced emergencies. This included using a self-rating instrument to determine leadership competencies. Questions around levels of education on climate change and health and capacity were also asked along with self</w:t>
      </w:r>
      <w:r w:rsidR="00FE1F0E">
        <w:t>-</w:t>
      </w:r>
      <w:r>
        <w:t>rated capacity to undertake action. This section will specify and explain all design elements of the study and related ethical issues. Concluding the methods section is a discussion of challenges and difficulties that arose through the study.</w:t>
      </w:r>
    </w:p>
    <w:p w14:paraId="15F26FEC" w14:textId="77777777" w:rsidR="0044303C" w:rsidRDefault="0044303C" w:rsidP="0044303C">
      <w:pPr>
        <w:spacing w:line="480" w:lineRule="auto"/>
      </w:pPr>
      <w:r>
        <w:lastRenderedPageBreak/>
        <w:t>The fourth chapter will consider the analysis performed and provide an interpretation of the findings through an expansive discussion section. This will include practical applications of the findings that are targeted towards health system educators and organizational leaders. While the findings section will highlight practical applications, the fifth chapter will provide rationale. To help translate findings, a series of descriptive tables will be developed that provide a broad picture of the findings and any relationships that exist.</w:t>
      </w:r>
    </w:p>
    <w:p w14:paraId="7CE3CC60" w14:textId="206B91AC" w:rsidR="0044303C" w:rsidRDefault="0044303C" w:rsidP="0044303C">
      <w:pPr>
        <w:spacing w:line="480" w:lineRule="auto"/>
      </w:pPr>
      <w:r>
        <w:t>Lastly, the fifth chapter will provide consideration</w:t>
      </w:r>
      <w:sdt>
        <w:sdtPr>
          <w:tag w:val="goog_rdk_0"/>
          <w:id w:val="-1406019437"/>
        </w:sdtPr>
        <w:sdtContent>
          <w:r>
            <w:t xml:space="preserve"> as to</w:t>
          </w:r>
        </w:sdtContent>
      </w:sdt>
      <w:r>
        <w:t xml:space="preserve"> what the findings mean for leaders and health professionals in more detail. This will include implications for content, educational delivery and institutions and what it means for those in health leadership positions. This section will also include suggestions for further research and how this study can be built upon. Following a summary and implications I will provide outcomes. One aim of the research is to provide recommended topics for curriculum for leaders on climate change and health. This will highlight the need for greater education around crisis leadership within the context of climate change. While the intent is not to develop and test curriculum the recommendations will be supported through the presentation of data analysis and interpretation. </w:t>
      </w:r>
    </w:p>
    <w:p w14:paraId="4A248C7D" w14:textId="77777777" w:rsidR="0044303C" w:rsidRPr="00743F54" w:rsidRDefault="00000000" w:rsidP="0044303C">
      <w:pPr>
        <w:rPr>
          <w:rStyle w:val="Heading2Char"/>
        </w:rPr>
      </w:pPr>
      <w:sdt>
        <w:sdtPr>
          <w:rPr>
            <w:rFonts w:asciiTheme="majorHAnsi" w:eastAsiaTheme="majorEastAsia" w:hAnsiTheme="majorHAnsi" w:cstheme="majorBidi"/>
            <w:color w:val="0F4761" w:themeColor="accent1" w:themeShade="BF"/>
            <w:sz w:val="32"/>
            <w:szCs w:val="32"/>
          </w:rPr>
          <w:tag w:val="goog_rdk_65"/>
          <w:id w:val="-241869448"/>
        </w:sdtPr>
        <w:sdtEndPr>
          <w:rPr>
            <w:rFonts w:asciiTheme="minorHAnsi" w:eastAsiaTheme="minorHAnsi" w:hAnsiTheme="minorHAnsi" w:cstheme="minorBidi"/>
            <w:color w:val="auto"/>
            <w:sz w:val="22"/>
            <w:szCs w:val="22"/>
          </w:rPr>
        </w:sdtEndPr>
        <w:sdtContent/>
      </w:sdt>
      <w:r w:rsidR="0044303C" w:rsidRPr="00743F54">
        <w:rPr>
          <w:rStyle w:val="Heading2Char"/>
        </w:rPr>
        <w:t>Definition of Terms</w:t>
      </w:r>
    </w:p>
    <w:p w14:paraId="772E7CEF" w14:textId="77777777" w:rsidR="0044303C" w:rsidRDefault="0044303C" w:rsidP="0044303C">
      <w:pPr>
        <w:pStyle w:val="Heading3"/>
      </w:pPr>
      <w:bookmarkStart w:id="3" w:name="_Toc225937135"/>
      <w:r>
        <w:t>Defining the health professional</w:t>
      </w:r>
      <w:bookmarkEnd w:id="3"/>
    </w:p>
    <w:p w14:paraId="4D7BE1BF" w14:textId="77777777" w:rsidR="0044303C" w:rsidRDefault="0044303C" w:rsidP="0044303C">
      <w:pPr>
        <w:spacing w:line="480" w:lineRule="auto"/>
      </w:pPr>
      <w:r>
        <w:t>While more traditional classifications of health professionals are clinician centric, roles have expanded to meet patient needs. The WHO’s (2013) guidelines for health professionals’ education establishes the categories of medical doctors (with subcategories), nursing and midwifery professionals, dentists, and pharmacists. While this list is limited, reference is made to the expanded International Standard Classification of Occupations (</w:t>
      </w:r>
      <w:bookmarkStart w:id="4" w:name="_Hlk225706825"/>
      <w:r>
        <w:t>ILO 2008; WHO 2010, as cited in WHO, 2013</w:t>
      </w:r>
      <w:bookmarkEnd w:id="4"/>
      <w:r>
        <w:t xml:space="preserve">). The ISCO catalogues additional categories as: “traditional and complementary medicine practitioners, those in paramedicine, individuals trained as dieticians and nutritionist, </w:t>
      </w:r>
      <w:r>
        <w:lastRenderedPageBreak/>
        <w:t xml:space="preserve">physiotherapists, and several other therapy related professions (ILO, 2008; WHO, 2010, as cited in WHO, 2013). The Institute of Medicine (2009) broadens this list to include social workers and medical technologists.  </w:t>
      </w:r>
    </w:p>
    <w:p w14:paraId="24903F38" w14:textId="77777777" w:rsidR="0044303C" w:rsidRDefault="0044303C" w:rsidP="0044303C">
      <w:pPr>
        <w:spacing w:line="480" w:lineRule="auto"/>
      </w:pPr>
      <w:r>
        <w:t>The role of the health professional is essential to connect those needing information with those that create knowledge (Horton, 2010). More specifically as outlined by the WHO (2013), health professionals “advise on or apply preventative and curative measures and promote health… improving population health outcomes”. While each of the positions comprising the ‘health professional’ are distinct, health teams</w:t>
      </w:r>
      <w:sdt>
        <w:sdtPr>
          <w:tag w:val="goog_rdk_2"/>
          <w:id w:val="933859368"/>
        </w:sdtPr>
        <w:sdtContent>
          <w:r>
            <w:t xml:space="preserve"> carry out</w:t>
          </w:r>
        </w:sdtContent>
      </w:sdt>
      <w:r>
        <w:t xml:space="preserve"> much work together to meet the needs of the patient, regardless of the level of complexity. The overarching category of health professional</w:t>
      </w:r>
      <w:sdt>
        <w:sdtPr>
          <w:tag w:val="goog_rdk_3"/>
          <w:id w:val="-300708189"/>
        </w:sdtPr>
        <w:sdtContent>
          <w:r>
            <w:t>s</w:t>
          </w:r>
        </w:sdtContent>
      </w:sdt>
      <w:r>
        <w:t xml:space="preserve"> is inclusive of the types of health leaders, administrators, and managers, which is further discussed in the literature review chapter.</w:t>
      </w:r>
    </w:p>
    <w:p w14:paraId="4CD61139" w14:textId="77777777" w:rsidR="0044303C" w:rsidRPr="00743F54" w:rsidRDefault="0044303C" w:rsidP="0044303C">
      <w:pPr>
        <w:pStyle w:val="Heading3"/>
      </w:pPr>
      <w:bookmarkStart w:id="5" w:name="_Toc225937136"/>
      <w:r w:rsidRPr="00743F54">
        <w:t>Continuing education</w:t>
      </w:r>
      <w:r>
        <w:t xml:space="preserve"> and training</w:t>
      </w:r>
      <w:bookmarkEnd w:id="5"/>
    </w:p>
    <w:p w14:paraId="4B5F954B" w14:textId="77777777" w:rsidR="0044303C" w:rsidRDefault="0044303C" w:rsidP="0044303C">
      <w:pPr>
        <w:spacing w:line="480" w:lineRule="auto"/>
      </w:pPr>
      <w:r>
        <w:t>Following a formal education, health professionals continue their professional education to maintain their education, credentialing, and gain knowledge towards their practice (Institute of Medicine, 2010). For health professionals, the phase of learning following required education within the profession is commonly known as continuing education. More recently the broader term continuing professional development or CPD has been applied to professionals in health settings. This concept brings attention to development beyond clinical skills and imparts new streams of knowledge and use of different learning modalities (Institute of Medicine, 2010), such as face to face, online, and blended delivery (</w:t>
      </w:r>
      <w:proofErr w:type="spellStart"/>
      <w:r>
        <w:t>Pagnucci</w:t>
      </w:r>
      <w:proofErr w:type="spellEnd"/>
      <w:r>
        <w:t xml:space="preserve">, et al., 2023). </w:t>
      </w:r>
    </w:p>
    <w:p w14:paraId="2CEF3311" w14:textId="77777777" w:rsidR="0044303C" w:rsidRPr="00743F54" w:rsidRDefault="0044303C" w:rsidP="0044303C">
      <w:pPr>
        <w:pStyle w:val="Heading3"/>
      </w:pPr>
      <w:bookmarkStart w:id="6" w:name="_Toc225937137"/>
      <w:r w:rsidRPr="00743F54">
        <w:t>Competency</w:t>
      </w:r>
      <w:bookmarkEnd w:id="6"/>
    </w:p>
    <w:p w14:paraId="5A1C36C1" w14:textId="77777777" w:rsidR="00D82092" w:rsidRDefault="0044303C" w:rsidP="0044303C">
      <w:pPr>
        <w:spacing w:line="480" w:lineRule="auto"/>
      </w:pPr>
      <w:r>
        <w:t xml:space="preserve">Competency, as defined by McClelland (1973, as cited by </w:t>
      </w:r>
      <w:proofErr w:type="spellStart"/>
      <w:r>
        <w:t>Garmen</w:t>
      </w:r>
      <w:proofErr w:type="spellEnd"/>
      <w:r>
        <w:t xml:space="preserve"> and Johnson, 2006), is an observable outcome that is used to measure “knowledge, skill, abilities, traits and/or motives”. </w:t>
      </w:r>
      <w:proofErr w:type="spellStart"/>
      <w:r>
        <w:t>Carraccio</w:t>
      </w:r>
      <w:proofErr w:type="spellEnd"/>
      <w:r>
        <w:t xml:space="preserve"> et al. (2002), define competence as “personal ability”. While knowledge translation </w:t>
      </w:r>
      <w:r>
        <w:lastRenderedPageBreak/>
        <w:t xml:space="preserve">provides a conduit to learn, competence is the learning received and then applied or acted upon. Thus, a competency can be increased as a means of achieving competence. Englander, et al. (2013) work draws from these definitions and establishes overarching “domains of competence”. </w:t>
      </w:r>
    </w:p>
    <w:p w14:paraId="6F86DE54" w14:textId="72589E2D" w:rsidR="0044303C" w:rsidRDefault="0044303C" w:rsidP="0044303C">
      <w:pPr>
        <w:spacing w:line="480" w:lineRule="auto"/>
      </w:pPr>
      <w:r>
        <w:t xml:space="preserve">Domains of competence, developed through a comparison analysis of accreditation guidance literature, are defined as broad distinguishable areas of competence that in the aggregate constitute a general descriptive framework for a profession (Englander, et al., 2013). Similarly, the </w:t>
      </w:r>
      <w:proofErr w:type="spellStart"/>
      <w:r>
        <w:t>MedBiquitous</w:t>
      </w:r>
      <w:proofErr w:type="spellEnd"/>
      <w:r>
        <w:t xml:space="preserve"> Performance Framework Working Group (as cited in Karthikeyan and </w:t>
      </w:r>
      <w:proofErr w:type="spellStart"/>
      <w:r>
        <w:t>Pulimoottil</w:t>
      </w:r>
      <w:proofErr w:type="spellEnd"/>
      <w:r>
        <w:t>, 2019) defines domains “An organized and structured representation of a set of interrelated and purposeful competencies.”</w:t>
      </w:r>
      <w:r>
        <w:rPr>
          <w:sz w:val="28"/>
          <w:szCs w:val="28"/>
        </w:rPr>
        <w:t xml:space="preserve"> </w:t>
      </w:r>
      <w:r>
        <w:t>Although this framework was developed from physicians, it is applicable to other types of healthcare professionals. Framework approaches specific to climate change and health competence is the basis of the scoping review in the following chapter and will be further explored.</w:t>
      </w:r>
    </w:p>
    <w:p w14:paraId="1CDBD761" w14:textId="46CC4282" w:rsidR="00D82092" w:rsidRPr="00743F54" w:rsidRDefault="00D82092" w:rsidP="00D82092">
      <w:pPr>
        <w:pStyle w:val="Heading3"/>
      </w:pPr>
      <w:r>
        <w:t>Definitions Table</w:t>
      </w:r>
    </w:p>
    <w:tbl>
      <w:tblPr>
        <w:tblStyle w:val="TableGrid"/>
        <w:tblW w:w="0" w:type="auto"/>
        <w:tblLook w:val="04A0" w:firstRow="1" w:lastRow="0" w:firstColumn="1" w:lastColumn="0" w:noHBand="0" w:noVBand="1"/>
      </w:tblPr>
      <w:tblGrid>
        <w:gridCol w:w="2830"/>
        <w:gridCol w:w="6520"/>
      </w:tblGrid>
      <w:tr w:rsidR="00D82092" w14:paraId="4CA920CF" w14:textId="77777777" w:rsidTr="00824053">
        <w:tc>
          <w:tcPr>
            <w:tcW w:w="2830" w:type="dxa"/>
          </w:tcPr>
          <w:p w14:paraId="31584A0F" w14:textId="2B30973F" w:rsidR="00D82092" w:rsidRDefault="00D82092" w:rsidP="0044303C">
            <w:pPr>
              <w:spacing w:line="480" w:lineRule="auto"/>
            </w:pPr>
            <w:r>
              <w:t xml:space="preserve">Concept </w:t>
            </w:r>
          </w:p>
        </w:tc>
        <w:tc>
          <w:tcPr>
            <w:tcW w:w="6520" w:type="dxa"/>
          </w:tcPr>
          <w:p w14:paraId="231DE363" w14:textId="7688338D" w:rsidR="00D82092" w:rsidRDefault="00D82092" w:rsidP="0044303C">
            <w:pPr>
              <w:spacing w:line="480" w:lineRule="auto"/>
            </w:pPr>
            <w:r>
              <w:t>Definition</w:t>
            </w:r>
          </w:p>
        </w:tc>
      </w:tr>
      <w:tr w:rsidR="00D82092" w14:paraId="17BCDD68" w14:textId="77777777" w:rsidTr="00824053">
        <w:tc>
          <w:tcPr>
            <w:tcW w:w="2830" w:type="dxa"/>
          </w:tcPr>
          <w:p w14:paraId="0F5C88DB" w14:textId="78B7631C" w:rsidR="00D82092" w:rsidRDefault="00D82092" w:rsidP="0044303C">
            <w:pPr>
              <w:spacing w:line="480" w:lineRule="auto"/>
            </w:pPr>
            <w:r>
              <w:t>Education</w:t>
            </w:r>
          </w:p>
        </w:tc>
        <w:tc>
          <w:tcPr>
            <w:tcW w:w="6520" w:type="dxa"/>
          </w:tcPr>
          <w:p w14:paraId="6BFB035C" w14:textId="5A09D473" w:rsidR="00D82092" w:rsidRDefault="006B26F4" w:rsidP="0044303C">
            <w:pPr>
              <w:spacing w:line="480" w:lineRule="auto"/>
            </w:pPr>
            <w:r>
              <w:t>The process of imparting and acquiring of knowledge (IAAH, 2022) aimed at developing competent and skilled professionals (Perini, 2023).</w:t>
            </w:r>
          </w:p>
        </w:tc>
      </w:tr>
      <w:tr w:rsidR="00D82092" w14:paraId="72692601" w14:textId="77777777" w:rsidTr="00824053">
        <w:tc>
          <w:tcPr>
            <w:tcW w:w="2830" w:type="dxa"/>
          </w:tcPr>
          <w:p w14:paraId="4386915C" w14:textId="2DCB6199" w:rsidR="00D82092" w:rsidRDefault="00D82092" w:rsidP="0044303C">
            <w:pPr>
              <w:spacing w:line="480" w:lineRule="auto"/>
            </w:pPr>
            <w:r>
              <w:t>Training</w:t>
            </w:r>
          </w:p>
        </w:tc>
        <w:tc>
          <w:tcPr>
            <w:tcW w:w="6520" w:type="dxa"/>
          </w:tcPr>
          <w:p w14:paraId="1C834134" w14:textId="69F46E9C" w:rsidR="00D82092" w:rsidRDefault="00ED1F2F" w:rsidP="0044303C">
            <w:pPr>
              <w:spacing w:line="480" w:lineRule="auto"/>
            </w:pPr>
            <w:r>
              <w:t>A series of activities aimed at acquisition of specific skills</w:t>
            </w:r>
            <w:r w:rsidR="006B26F4">
              <w:t xml:space="preserve"> (</w:t>
            </w:r>
            <w:proofErr w:type="spellStart"/>
            <w:r w:rsidR="006B26F4">
              <w:t>Calman</w:t>
            </w:r>
            <w:proofErr w:type="spellEnd"/>
            <w:r w:rsidR="006B26F4">
              <w:t xml:space="preserve"> and </w:t>
            </w:r>
            <w:proofErr w:type="spellStart"/>
            <w:r w:rsidR="006B26F4">
              <w:t>Downie</w:t>
            </w:r>
            <w:proofErr w:type="spellEnd"/>
            <w:r w:rsidR="006B26F4">
              <w:t>, 1988).</w:t>
            </w:r>
          </w:p>
        </w:tc>
      </w:tr>
      <w:tr w:rsidR="00D82092" w14:paraId="7A6AB13A" w14:textId="77777777" w:rsidTr="00824053">
        <w:tc>
          <w:tcPr>
            <w:tcW w:w="2830" w:type="dxa"/>
          </w:tcPr>
          <w:p w14:paraId="46E3E475" w14:textId="6AD508AA" w:rsidR="00D82092" w:rsidRDefault="00D82092" w:rsidP="0044303C">
            <w:pPr>
              <w:spacing w:line="480" w:lineRule="auto"/>
            </w:pPr>
            <w:r>
              <w:t xml:space="preserve">Competency </w:t>
            </w:r>
          </w:p>
        </w:tc>
        <w:tc>
          <w:tcPr>
            <w:tcW w:w="6520" w:type="dxa"/>
          </w:tcPr>
          <w:p w14:paraId="2FC02C27" w14:textId="07C0F171" w:rsidR="00D82092" w:rsidRDefault="001E2885" w:rsidP="0044303C">
            <w:pPr>
              <w:spacing w:line="480" w:lineRule="auto"/>
            </w:pPr>
            <w:r>
              <w:t>The ability to perform tasks or roles to an expected standard or through a recognized approach. Competencies are contextual and negotiated at a micro or macro level by stakeholders (</w:t>
            </w:r>
            <w:proofErr w:type="spellStart"/>
            <w:r>
              <w:t>Eraut</w:t>
            </w:r>
            <w:proofErr w:type="spellEnd"/>
            <w:r>
              <w:t>, 2009).</w:t>
            </w:r>
          </w:p>
        </w:tc>
      </w:tr>
      <w:tr w:rsidR="00D82092" w14:paraId="235488B0" w14:textId="77777777" w:rsidTr="00D82092">
        <w:tc>
          <w:tcPr>
            <w:tcW w:w="2830" w:type="dxa"/>
          </w:tcPr>
          <w:p w14:paraId="1816ED07" w14:textId="2AFA53A5" w:rsidR="00D82092" w:rsidRDefault="00D82092" w:rsidP="0044303C">
            <w:pPr>
              <w:spacing w:line="480" w:lineRule="auto"/>
            </w:pPr>
            <w:r>
              <w:lastRenderedPageBreak/>
              <w:t>Capacity</w:t>
            </w:r>
          </w:p>
        </w:tc>
        <w:tc>
          <w:tcPr>
            <w:tcW w:w="6520" w:type="dxa"/>
          </w:tcPr>
          <w:p w14:paraId="428FD7BF" w14:textId="53A53603" w:rsidR="00D82092" w:rsidRDefault="00010BCF" w:rsidP="0044303C">
            <w:pPr>
              <w:spacing w:line="480" w:lineRule="auto"/>
            </w:pPr>
            <w:r>
              <w:t>Ability to gain competencies through training or education and address existing gaps in knowledge and skills (MHIN, 2019)</w:t>
            </w:r>
            <w:r w:rsidR="00231A5A">
              <w:t>.</w:t>
            </w:r>
          </w:p>
        </w:tc>
      </w:tr>
      <w:tr w:rsidR="000951FF" w14:paraId="095EA40B" w14:textId="77777777" w:rsidTr="00D82092">
        <w:tc>
          <w:tcPr>
            <w:tcW w:w="2830" w:type="dxa"/>
          </w:tcPr>
          <w:p w14:paraId="29E3AADA" w14:textId="7DC4824C" w:rsidR="000951FF" w:rsidRDefault="000951FF" w:rsidP="0044303C">
            <w:pPr>
              <w:spacing w:line="480" w:lineRule="auto"/>
            </w:pPr>
            <w:r>
              <w:t>Planetary health</w:t>
            </w:r>
          </w:p>
        </w:tc>
        <w:tc>
          <w:tcPr>
            <w:tcW w:w="6520" w:type="dxa"/>
          </w:tcPr>
          <w:p w14:paraId="1E1E3EDF" w14:textId="2DF9205F" w:rsidR="000951FF" w:rsidRDefault="000951FF" w:rsidP="0044303C">
            <w:pPr>
              <w:spacing w:line="480" w:lineRule="auto"/>
            </w:pPr>
            <w:r>
              <w:t>The i</w:t>
            </w:r>
            <w:r w:rsidRPr="000951FF">
              <w:t>nterdependent health of both humans and the environment, recognizing that the two are inseparable and that the health of one is intricately linked to the health of the other</w:t>
            </w:r>
            <w:r>
              <w:t xml:space="preserve"> (Mago, et al., 2024)</w:t>
            </w:r>
          </w:p>
        </w:tc>
      </w:tr>
    </w:tbl>
    <w:p w14:paraId="55BCFA38" w14:textId="77777777" w:rsidR="00D82092" w:rsidRDefault="00D82092" w:rsidP="0044303C">
      <w:pPr>
        <w:spacing w:line="480" w:lineRule="auto"/>
      </w:pPr>
    </w:p>
    <w:p w14:paraId="240C1D7A" w14:textId="77777777" w:rsidR="0044303C" w:rsidRPr="00CF19AB" w:rsidRDefault="0044303C" w:rsidP="0044303C">
      <w:pPr>
        <w:pStyle w:val="Heading2"/>
      </w:pPr>
      <w:bookmarkStart w:id="7" w:name="_Toc225937138"/>
      <w:r w:rsidRPr="00CF19AB">
        <w:t>Background of the Problem</w:t>
      </w:r>
      <w:bookmarkEnd w:id="7"/>
    </w:p>
    <w:p w14:paraId="7FD38697" w14:textId="77777777" w:rsidR="0044303C" w:rsidRDefault="0044303C" w:rsidP="0044303C">
      <w:pPr>
        <w:pStyle w:val="Heading3"/>
      </w:pPr>
      <w:bookmarkStart w:id="8" w:name="_Toc225937139"/>
      <w:r>
        <w:t>1. Health Professional Education</w:t>
      </w:r>
      <w:bookmarkEnd w:id="8"/>
    </w:p>
    <w:p w14:paraId="70DF54AD" w14:textId="77777777" w:rsidR="0044303C" w:rsidRDefault="0044303C" w:rsidP="0044303C">
      <w:pPr>
        <w:pStyle w:val="Heading3"/>
      </w:pPr>
      <w:bookmarkStart w:id="9" w:name="_Toc225937140"/>
      <w:r>
        <w:t>Historical relevance of health professional education</w:t>
      </w:r>
      <w:bookmarkEnd w:id="9"/>
    </w:p>
    <w:p w14:paraId="42C05A92" w14:textId="597BF8C5" w:rsidR="0044303C" w:rsidRDefault="0044303C" w:rsidP="0044303C">
      <w:pPr>
        <w:spacing w:line="480" w:lineRule="auto"/>
      </w:pPr>
      <w:r>
        <w:t>Before considering education for health professionals in the context of CCHC it</w:t>
      </w:r>
      <w:r w:rsidR="00FE1F0E">
        <w:t xml:space="preserve"> i</w:t>
      </w:r>
      <w:r>
        <w:t>s helpful to examine the origins of modern-day education for health professionals. The movement for education of health professionals gained traction early in the 20</w:t>
      </w:r>
      <w:r>
        <w:rPr>
          <w:vertAlign w:val="superscript"/>
        </w:rPr>
        <w:t>th</w:t>
      </w:r>
      <w:r>
        <w:t xml:space="preserve"> century following the Flexner Report published in 1910. The report established the biomedical model as the education standard for physicians (Duffy, 2011), which sought to treat human disease through preventions and therapeutic interventions (National Research Council, 1998). The model contributed to greater human longevity (</w:t>
      </w:r>
      <w:proofErr w:type="spellStart"/>
      <w:r>
        <w:t>Frenk</w:t>
      </w:r>
      <w:proofErr w:type="spellEnd"/>
      <w:r>
        <w:t xml:space="preserve">, et al., 2010) and remained applicable to illnesses resulting from disease (Wade and Halligan, 2004) through the modern era. </w:t>
      </w:r>
    </w:p>
    <w:p w14:paraId="685F7844" w14:textId="64544CB2" w:rsidR="0044303C" w:rsidRDefault="0044303C" w:rsidP="0044303C">
      <w:pPr>
        <w:spacing w:line="480" w:lineRule="auto"/>
      </w:pPr>
      <w:r>
        <w:t>The classic medical model, from which health professional education was derived, is not without its limitations. As Rocca and Anjum (2020) outline</w:t>
      </w:r>
      <w:sdt>
        <w:sdtPr>
          <w:tag w:val="goog_rdk_4"/>
          <w:id w:val="89481125"/>
        </w:sdtPr>
        <w:sdtContent>
          <w:r>
            <w:t>,</w:t>
          </w:r>
        </w:sdtContent>
      </w:sdt>
      <w:r>
        <w:t xml:space="preserve"> the model fails to consider sources of the problem at the environmental, social, and psychological levels, only treating parts of the human body. Those that faced health consequences from symptoms without diagnosis were hampered by the system, mental health illness being one example. </w:t>
      </w:r>
      <w:r w:rsidR="00DE7069">
        <w:t>Climate anxiety, a relatively new concept, links climate change to an emotional response (Clayton, 2020)</w:t>
      </w:r>
      <w:r>
        <w:t xml:space="preserve"> and highlights the model’s constraints.</w:t>
      </w:r>
      <w:r w:rsidR="00FE1F0E">
        <w:t xml:space="preserve">, </w:t>
      </w:r>
      <w:r>
        <w:t xml:space="preserve">Over time, these limitations encumbered treatment of patients with symptoms that </w:t>
      </w:r>
      <w:r>
        <w:lastRenderedPageBreak/>
        <w:t xml:space="preserve">presented differently. As a result, this has made way for </w:t>
      </w:r>
      <w:sdt>
        <w:sdtPr>
          <w:tag w:val="goog_rdk_5"/>
          <w:id w:val="58653401"/>
        </w:sdtPr>
        <w:sdtContent>
          <w:r>
            <w:t xml:space="preserve">a </w:t>
          </w:r>
        </w:sdtContent>
      </w:sdt>
      <w:r>
        <w:t xml:space="preserve">more holistic medical paradigm to take shape- Engel’s (1977; as cited in Adler, 2009) “biopsychosocial model”. </w:t>
      </w:r>
    </w:p>
    <w:p w14:paraId="3195B1C1" w14:textId="0C052462" w:rsidR="0044303C" w:rsidRDefault="0044303C" w:rsidP="0044303C">
      <w:pPr>
        <w:spacing w:line="480" w:lineRule="auto"/>
      </w:pPr>
      <w:r>
        <w:t xml:space="preserve">The biopsychosocial model posits that not only biological factors need to be considered in making diagnosis, rather psychological and social components are important influences on health (Engel, 1977 as cited in </w:t>
      </w:r>
      <w:proofErr w:type="spellStart"/>
      <w:r>
        <w:t>Jaini</w:t>
      </w:r>
      <w:proofErr w:type="spellEnd"/>
      <w:r>
        <w:t xml:space="preserve"> and Lee, 2015). Although criticisms exist, this model is relevant in current health policy, research (</w:t>
      </w:r>
      <w:proofErr w:type="spellStart"/>
      <w:r>
        <w:t>Farre</w:t>
      </w:r>
      <w:proofErr w:type="spellEnd"/>
      <w:r>
        <w:t xml:space="preserve"> and </w:t>
      </w:r>
      <w:proofErr w:type="spellStart"/>
      <w:r>
        <w:t>Rapley</w:t>
      </w:r>
      <w:proofErr w:type="spellEnd"/>
      <w:r>
        <w:t xml:space="preserve">, 2017), and public health (Syed, et al., 2020). Further development of the model saw inclusion of spirituality and sexuality (Henningsen, 2015) to account for additional dimensions of health and considering cultural contexts. </w:t>
      </w:r>
      <w:r w:rsidR="003C3D00">
        <w:t xml:space="preserve">The relevance of the Flexner report and medical models to the research question is the rigid, reactive, and antiquated approaches to healthcare education that persist in current curriculum. </w:t>
      </w:r>
    </w:p>
    <w:p w14:paraId="56D105EA" w14:textId="5A8150FA" w:rsidR="0044303C" w:rsidRDefault="00B41C41" w:rsidP="0044303C">
      <w:pPr>
        <w:spacing w:line="480" w:lineRule="auto"/>
      </w:pPr>
      <w:r>
        <w:t>To further highlight this challenge in the context of climate change education,</w:t>
      </w:r>
      <w:r w:rsidR="0044303C">
        <w:t xml:space="preserve"> the extent of how groups of health professionals are educated has yet to achieve equidistance- such as physicians. In other words, training has not kept pace with</w:t>
      </w:r>
      <w:sdt>
        <w:sdtPr>
          <w:tag w:val="goog_rdk_6"/>
          <w:id w:val="1606416632"/>
        </w:sdtPr>
        <w:sdtContent>
          <w:r w:rsidR="0044303C">
            <w:t xml:space="preserve"> the </w:t>
          </w:r>
        </w:sdtContent>
      </w:sdt>
      <w:r w:rsidR="0044303C">
        <w:t xml:space="preserve">needs of health learners. This is evidenced by </w:t>
      </w:r>
      <w:proofErr w:type="spellStart"/>
      <w:r w:rsidR="0044303C">
        <w:t>Jaini</w:t>
      </w:r>
      <w:proofErr w:type="spellEnd"/>
      <w:r w:rsidR="0044303C">
        <w:t xml:space="preserve"> and Lee’s (2015) systematic review that reported limited progress in adoption of the biopsychosocial model within medical schools’ curricula in countries such as the United States. Furthermore, Brass (2009) argues that existing timeframes for medical school (4 years)</w:t>
      </w:r>
      <w:r w:rsidR="001855E8">
        <w:t xml:space="preserve"> completion</w:t>
      </w:r>
      <w:r w:rsidR="0044303C">
        <w:t xml:space="preserve"> do not allow for additional content without significant changes within the profession itself. Vermette and Doolittle (2022) suggest that medical educators can apply the biopsychosocial model within professional based training to support trainee needs beyond academic requirements. </w:t>
      </w:r>
    </w:p>
    <w:p w14:paraId="398DE44A" w14:textId="3E807C10" w:rsidR="0022595A" w:rsidRDefault="0022595A" w:rsidP="0044303C">
      <w:pPr>
        <w:spacing w:line="480" w:lineRule="auto"/>
      </w:pPr>
      <w:r>
        <w:t xml:space="preserve">This represents a systemic failure of healthcare education institutions and organisations to change. Universities haven’t kept pace and are far too reactive to train health professionals to the current demands that will be placed upon them. Health organisations have not effectively communicated these needs and demands for change has been limited to healthcare professionals </w:t>
      </w:r>
      <w:r>
        <w:lastRenderedPageBreak/>
        <w:t xml:space="preserve">and those undergoing training. This is evident in the volume of health professional groups advocating through ‘call to action’ statements that is echoed by student groups highlighting the need to update curriculum. The focus is on </w:t>
      </w:r>
      <w:r w:rsidR="00824053">
        <w:t>day-to-day</w:t>
      </w:r>
      <w:r>
        <w:t xml:space="preserve"> operational challenges rather than how a paradigm shift within education can benefit the health professionals of today and tomorrow.  </w:t>
      </w:r>
    </w:p>
    <w:p w14:paraId="2BDCC2D1" w14:textId="2E0C6FDF" w:rsidR="0044303C" w:rsidRDefault="00DE7069" w:rsidP="0044303C">
      <w:pPr>
        <w:spacing w:line="480" w:lineRule="auto"/>
      </w:pPr>
      <w:r>
        <w:t>Conversely,</w:t>
      </w:r>
      <w:r w:rsidR="0044303C">
        <w:t xml:space="preserve"> opportunities exist for physicians and other health professionals within continuing education. Continuing education has been linked to both positively influencing health practitioner’s behaviour and patient outcomes (Samuel, et al., 2021). Continuing education has also demonstrated benefits beyond better patient outcomes, such as mitigating burnout within groups such as physicians (</w:t>
      </w:r>
      <w:proofErr w:type="spellStart"/>
      <w:r w:rsidR="0044303C">
        <w:t>Griebenow</w:t>
      </w:r>
      <w:proofErr w:type="spellEnd"/>
      <w:r w:rsidR="0044303C">
        <w:t>, et al., 2023). Furthermore, education has been linked as a determinant of mental health and decreases likelihood of mental health illness (</w:t>
      </w:r>
      <w:proofErr w:type="spellStart"/>
      <w:r w:rsidR="0044303C">
        <w:t>Kondirolli</w:t>
      </w:r>
      <w:proofErr w:type="spellEnd"/>
      <w:r w:rsidR="0044303C">
        <w:t xml:space="preserve"> and Sunder, 2022). Ultimately, achieving continuing education aims are dependent on a variety of factors, which include the congruence of teaching and learning styles, teacher competence, and content and delivery, to name a few. </w:t>
      </w:r>
    </w:p>
    <w:p w14:paraId="4F2A997A" w14:textId="77777777" w:rsidR="0044303C" w:rsidRDefault="0044303C" w:rsidP="0044303C">
      <w:pPr>
        <w:pStyle w:val="Heading3"/>
      </w:pPr>
      <w:bookmarkStart w:id="10" w:name="_Toc225937141"/>
      <w:r>
        <w:t>Theoretical Constructs of Adult Learning</w:t>
      </w:r>
      <w:bookmarkEnd w:id="10"/>
    </w:p>
    <w:p w14:paraId="304EB716" w14:textId="77777777" w:rsidR="0044303C" w:rsidRDefault="0044303C" w:rsidP="0044303C">
      <w:pPr>
        <w:spacing w:line="480" w:lineRule="auto"/>
      </w:pPr>
      <w:r>
        <w:t>Adult learning theories are very much applicable to educating health professionals, both in formal training and continuing education. Learning theories related to educational psychology provide the basis for planning activities for learners in the classroom and clinical setting (</w:t>
      </w:r>
      <w:proofErr w:type="spellStart"/>
      <w:r>
        <w:t>Aliakbari</w:t>
      </w:r>
      <w:proofErr w:type="spellEnd"/>
      <w:r>
        <w:t>, et al., 2015). The use of theories and reasoning extend beyond education activities and include patient interactions and the management of health care systems (</w:t>
      </w:r>
      <w:proofErr w:type="spellStart"/>
      <w:r>
        <w:t>Aliakbari</w:t>
      </w:r>
      <w:proofErr w:type="spellEnd"/>
      <w:r>
        <w:t xml:space="preserve">, et al., 2015). As summarized by </w:t>
      </w:r>
      <w:proofErr w:type="spellStart"/>
      <w:r>
        <w:t>Mukhalalati</w:t>
      </w:r>
      <w:proofErr w:type="spellEnd"/>
      <w:r>
        <w:t xml:space="preserve"> and Taylor (2019), pedagogies, or the activities of educating, have a role in the learning continuum for health professionals throughout their career. Adult learning theories have been demonstrated as highly applicable to health professional learning with an immense amount of literature generated on this topic. </w:t>
      </w:r>
    </w:p>
    <w:p w14:paraId="56D291B2" w14:textId="39D79EA1" w:rsidR="0044303C" w:rsidRDefault="0044303C" w:rsidP="0044303C">
      <w:pPr>
        <w:spacing w:line="480" w:lineRule="auto"/>
      </w:pPr>
      <w:r>
        <w:lastRenderedPageBreak/>
        <w:t xml:space="preserve">As Dong et al. (2021) summarize, theoretical approaches such as cognitivism, constructivism, experiential learning, reflection, adult learning principles, </w:t>
      </w:r>
      <w:proofErr w:type="spellStart"/>
      <w:r>
        <w:t>self directed</w:t>
      </w:r>
      <w:proofErr w:type="spellEnd"/>
      <w:r>
        <w:t xml:space="preserve"> learning, communities of practice and situated learning, and cognitive apprenticeship are commonly applied in health professional’s educational activities. While this is not an exhaustive list, it demonstrates several perspectives from which educators can draw from in the learning process and combine multiple approaches when educating. While a comparative analysis is beyond the scope (the research design chapter will cover applicable theory) of this submission, it’s important to highlight that much of what we know and understand is largely from a psycho-socio-cultural lens (Otani, 2020). To simplify, this perspective suggests that humans are influenced by the social and cultural context in which they are connected to. By extension, this shapes education and more specifically, the training that health professional </w:t>
      </w:r>
      <w:r w:rsidR="00824053">
        <w:t>receives</w:t>
      </w:r>
      <w:r>
        <w:t xml:space="preserve"> in each phase of their careers. </w:t>
      </w:r>
    </w:p>
    <w:p w14:paraId="672C372C" w14:textId="70998A5D" w:rsidR="0044303C" w:rsidRDefault="0044303C" w:rsidP="0044303C">
      <w:pPr>
        <w:spacing w:line="480" w:lineRule="auto"/>
      </w:pPr>
      <w:r>
        <w:t>Although more contemporary theories are being utilized in health professional education, institutions have been slow to shift curricular design (Whitehead, et al., 2013). Perhaps this is no surprise considering the influential nature of Flexner</w:t>
      </w:r>
      <w:r w:rsidR="00824053">
        <w:t>’s</w:t>
      </w:r>
      <w:r>
        <w:t xml:space="preserve"> </w:t>
      </w:r>
      <w:r w:rsidR="00824053">
        <w:t>report</w:t>
      </w:r>
      <w:r>
        <w:t xml:space="preserve"> on health professional’s education (Mann, 2010) and considering education institution’s resistance to change (</w:t>
      </w:r>
      <w:proofErr w:type="spellStart"/>
      <w:r>
        <w:t>Kleinheksel</w:t>
      </w:r>
      <w:proofErr w:type="spellEnd"/>
      <w:r>
        <w:t xml:space="preserve">, 2022). This has brought about calls </w:t>
      </w:r>
      <w:sdt>
        <w:sdtPr>
          <w:tag w:val="goog_rdk_10"/>
          <w:id w:val="-732733990"/>
        </w:sdtPr>
        <w:sdtContent>
          <w:r>
            <w:t>for</w:t>
          </w:r>
        </w:sdtContent>
      </w:sdt>
      <w:r>
        <w:t xml:space="preserve"> reform to medical education (Irby et al., 2010), which as Mann (2010) argues must look towards broader theoretical designs in system redesign. Models of situated learning and communities of practice have merit and consider more socio-cultural learning paradigms (Mann, 2010). Communities of practice, for example, have demonstrated some effectiveness in the sharing of knowledge through active participation of learners (</w:t>
      </w:r>
      <w:proofErr w:type="spellStart"/>
      <w:r>
        <w:t>Noar</w:t>
      </w:r>
      <w:proofErr w:type="spellEnd"/>
      <w:r>
        <w:t xml:space="preserve">, et al., 2023). </w:t>
      </w:r>
    </w:p>
    <w:p w14:paraId="264D8733" w14:textId="77777777" w:rsidR="0044303C" w:rsidRDefault="0044303C" w:rsidP="0044303C">
      <w:pPr>
        <w:pStyle w:val="Heading3"/>
      </w:pPr>
      <w:bookmarkStart w:id="11" w:name="_Toc225937142"/>
      <w:r>
        <w:t>Barriers and facilitators of Knowledge Translation</w:t>
      </w:r>
      <w:bookmarkEnd w:id="11"/>
    </w:p>
    <w:p w14:paraId="07487ECE" w14:textId="77777777" w:rsidR="0044303C" w:rsidRDefault="0044303C" w:rsidP="0044303C">
      <w:pPr>
        <w:spacing w:line="480" w:lineRule="auto"/>
      </w:pPr>
      <w:r>
        <w:t>There is considerable value in developing healthcare professionals through the delivery of education interventions (</w:t>
      </w:r>
      <w:proofErr w:type="spellStart"/>
      <w:r>
        <w:t>Heydari</w:t>
      </w:r>
      <w:proofErr w:type="spellEnd"/>
      <w:r>
        <w:t xml:space="preserve">, et al., 2019). The notion of continuous learning and the </w:t>
      </w:r>
      <w:r>
        <w:lastRenderedPageBreak/>
        <w:t xml:space="preserve">application of health-related knowledge is an underpinning of a progressive society. Not surprisingly, the value of CPD is well understood by groups, for example nurses, to improve the standards of care (Mlambo, et al., 2021). CPD also extends to leaders and support workers in health organisations. Healthcare is very much a learning environment in a constant state of change. Complimenting CPD interventions are evaluation methods. The purpose of CPD evaluation is to measure the effectiveness of an educational intervention, which allows for improvements and adjustments of educational interventions (Hosseini, et al., 2023). </w:t>
      </w:r>
    </w:p>
    <w:p w14:paraId="03355F0F" w14:textId="3489E814" w:rsidR="0044303C" w:rsidRDefault="0044303C" w:rsidP="0044303C">
      <w:pPr>
        <w:spacing w:line="480" w:lineRule="auto"/>
      </w:pPr>
      <w:r>
        <w:t>Whilst the frequency and intensity of delivery of CPD is important, the content and facilitator’s knowledge are critical. How knowledge is translated, otherwise known as knowledge translation, into practice can improve standards of care when effective (Barratt, et al., 2017). Thus, CPD is not only about developing professionals</w:t>
      </w:r>
      <w:sdt>
        <w:sdtPr>
          <w:tag w:val="goog_rdk_12"/>
          <w:id w:val="-1556895266"/>
        </w:sdtPr>
        <w:sdtContent>
          <w:r>
            <w:t>,</w:t>
          </w:r>
        </w:sdtContent>
      </w:sdt>
      <w:r>
        <w:t xml:space="preserve"> it</w:t>
      </w:r>
      <w:sdt>
        <w:sdtPr>
          <w:tag w:val="goog_rdk_14"/>
          <w:id w:val="140680445"/>
        </w:sdtPr>
        <w:sdtContent>
          <w:r>
            <w:t xml:space="preserve"> i</w:t>
          </w:r>
        </w:sdtContent>
      </w:sdt>
      <w:r>
        <w:t>s also aimed towards improving patient care through connecting generated research to the health professional’s practice. As Dong et al. (2021) contend, the sharing of research and experience compliments the application of learning theory in the clinical setting.</w:t>
      </w:r>
    </w:p>
    <w:p w14:paraId="318C7B19" w14:textId="77777777" w:rsidR="0044303C" w:rsidRDefault="0044303C" w:rsidP="0044303C">
      <w:pPr>
        <w:spacing w:line="480" w:lineRule="auto"/>
      </w:pPr>
      <w:r>
        <w:t>Applying learning theories is only one dimension of teaching. At a more basic level, learning objectives are developed and set before the educational activity. Chatterjee and Corral (2017) define objectives related to learning as the output expected which incorporates the transmission of “knowledge, skills and/or attitudes” that is measurable. Learning strategies can be applied based on</w:t>
      </w:r>
      <w:sdt>
        <w:sdtPr>
          <w:tag w:val="goog_rdk_15"/>
          <w:id w:val="937002876"/>
        </w:sdtPr>
        <w:sdtContent>
          <w:r>
            <w:t xml:space="preserve"> a</w:t>
          </w:r>
        </w:sdtContent>
      </w:sdt>
      <w:r>
        <w:t xml:space="preserve"> variety of learning theories, which can better suit different learning styles and strengthen the motivation to learn (</w:t>
      </w:r>
      <w:proofErr w:type="spellStart"/>
      <w:r>
        <w:t>Aliakbari</w:t>
      </w:r>
      <w:proofErr w:type="spellEnd"/>
      <w:r>
        <w:t>, et al., 2015). Although commonly thought of as having only clinical applications, KT has non-clinical uses as noted above. This can include training essential to organisational obedience on policies or legislative requirements such as fire safety, handling dangerous goods, or maintaining privacy and patient confidentiality.</w:t>
      </w:r>
    </w:p>
    <w:p w14:paraId="755B2DD8" w14:textId="1C1A7C21" w:rsidR="0044303C" w:rsidRDefault="0044303C" w:rsidP="0044303C">
      <w:pPr>
        <w:spacing w:line="480" w:lineRule="auto"/>
      </w:pPr>
      <w:r>
        <w:lastRenderedPageBreak/>
        <w:t>Health professional motivations for participating in education has a strong influence on knowledge translation (</w:t>
      </w:r>
      <w:proofErr w:type="spellStart"/>
      <w:r>
        <w:t>Legare</w:t>
      </w:r>
      <w:proofErr w:type="spellEnd"/>
      <w:r>
        <w:t>, et al., 2008), both negatively and positively. Motivators such as aligned belief systems, compensation for attending, intervention session style (Lawrence et al., 2019), previous experience with educator</w:t>
      </w:r>
      <w:sdt>
        <w:sdtPr>
          <w:tag w:val="goog_rdk_16"/>
          <w:id w:val="162283786"/>
        </w:sdtPr>
        <w:sdtContent>
          <w:r>
            <w:t>s</w:t>
          </w:r>
        </w:sdtContent>
      </w:sdt>
      <w:r>
        <w:t>, and perceived quality of research (</w:t>
      </w:r>
      <w:proofErr w:type="spellStart"/>
      <w:r>
        <w:t>Kalassian</w:t>
      </w:r>
      <w:proofErr w:type="spellEnd"/>
      <w:r>
        <w:t>, et al., 2002) can increase participation and overall effectiveness</w:t>
      </w:r>
      <w:sdt>
        <w:sdtPr>
          <w:tag w:val="goog_rdk_17"/>
          <w:id w:val="-328924476"/>
        </w:sdtPr>
        <w:sdtContent>
          <w:r>
            <w:t xml:space="preserve"> of </w:t>
          </w:r>
        </w:sdtContent>
      </w:sdt>
      <w:r>
        <w:t xml:space="preserve">the knowledge translation. In addition, as reported by </w:t>
      </w:r>
      <w:proofErr w:type="spellStart"/>
      <w:r>
        <w:t>Derman</w:t>
      </w:r>
      <w:proofErr w:type="spellEnd"/>
      <w:r>
        <w:t xml:space="preserve"> and Jaeger (2018), consideration of the audience prior to education interventions can facilitate better knowledge translation. This includes relevant research (Oliver, et al., 2014) and suggesting practical applications to the participants. However, it must be relevant to the work of the health professional, including education targeted to health leaders.</w:t>
      </w:r>
    </w:p>
    <w:p w14:paraId="45FABE6A" w14:textId="58043D2B" w:rsidR="0044303C" w:rsidRDefault="0044303C" w:rsidP="0044303C">
      <w:pPr>
        <w:spacing w:line="480" w:lineRule="auto"/>
      </w:pPr>
      <w:r>
        <w:t xml:space="preserve">However, there are limitations to knowledge translation within the complex system of healthcare. The task for providing CPD is routinely given to professional practice educators or those with content expertise. Those asked to educate health professionals may be trained themselves in a professional discipline, however, lack formal training in education (Burton, et al., 2013 as cited by </w:t>
      </w:r>
      <w:proofErr w:type="spellStart"/>
      <w:r>
        <w:t>Mukhalalati</w:t>
      </w:r>
      <w:proofErr w:type="spellEnd"/>
      <w:r>
        <w:t xml:space="preserve"> and Taylor, 2019). Before learning theories can be utilized, educators first need to be aware and understand their respective benefits and criticisms. This holds true for new and emerging topics in healthcare, notably educating healthcare professionals </w:t>
      </w:r>
      <w:r w:rsidR="00D92357">
        <w:t xml:space="preserve">in </w:t>
      </w:r>
      <w:r>
        <w:t xml:space="preserve">CCHC, which is further discussed below. Emerging threats and patient health needs may also not be well understood, as evident in the Covid-19 pandemic. Furthermore, evidence and guidance may shift in the face of new health threats which limits effective knowledge translation. </w:t>
      </w:r>
    </w:p>
    <w:p w14:paraId="3F67C798" w14:textId="7AAF51AA" w:rsidR="0044303C" w:rsidRDefault="0044303C" w:rsidP="0044303C">
      <w:pPr>
        <w:spacing w:line="480" w:lineRule="auto"/>
      </w:pPr>
      <w:r>
        <w:t>Within health organisations</w:t>
      </w:r>
      <w:r w:rsidR="00D92357">
        <w:t>,</w:t>
      </w:r>
      <w:r>
        <w:t xml:space="preserve"> challenges do persist in translating new evidence to practice. Developing human resources in the health care setting is costly. There also may be requirements for contact </w:t>
      </w:r>
      <w:r w:rsidR="00F91188">
        <w:t>hours,</w:t>
      </w:r>
      <w:r>
        <w:t xml:space="preserve"> and course length may be prohibitive for professionals (Archer, et al., 2020) based on work schedules and balance with personal life. There may also be implicit and explicit biases within health professionals regarding specific topics of research. This can include research </w:t>
      </w:r>
      <w:r>
        <w:lastRenderedPageBreak/>
        <w:t>on treatment or health equity of marginalized or racialized groups. The bias at the individual level may lead to disregarding the research or choosing not to apply the knowledge within the care environment. Ultimately, as Vela et al. (2022) reiterate, biases are embedded within the health care system and negatively impact the patient experience in health care delivery and must be overcome.</w:t>
      </w:r>
    </w:p>
    <w:p w14:paraId="0B60D8F4" w14:textId="77777777" w:rsidR="0044303C" w:rsidRPr="00CF19AB" w:rsidRDefault="0044303C" w:rsidP="0044303C">
      <w:pPr>
        <w:pStyle w:val="Heading3"/>
        <w:rPr>
          <w:sz w:val="22"/>
          <w:szCs w:val="22"/>
        </w:rPr>
      </w:pPr>
      <w:bookmarkStart w:id="12" w:name="_Toc225937143"/>
      <w:r>
        <w:t>Competency Based Approaches Related to Health Professional</w:t>
      </w:r>
      <w:bookmarkStart w:id="13" w:name="_heading=h.dhoo8zbmcsxl" w:colFirst="0" w:colLast="0"/>
      <w:bookmarkEnd w:id="12"/>
      <w:bookmarkEnd w:id="13"/>
    </w:p>
    <w:p w14:paraId="1D6FCE1A" w14:textId="578C8CED" w:rsidR="0044303C" w:rsidRDefault="0044303C" w:rsidP="0044303C">
      <w:pPr>
        <w:spacing w:line="480" w:lineRule="auto"/>
      </w:pPr>
      <w:bookmarkStart w:id="14" w:name="_heading=h.woyqeuipxh8e" w:colFirst="0" w:colLast="0"/>
      <w:bookmarkEnd w:id="14"/>
      <w:r>
        <w:t xml:space="preserve">As </w:t>
      </w:r>
      <w:r w:rsidR="00D92357">
        <w:t>discussed</w:t>
      </w:r>
      <w:r>
        <w:t xml:space="preserve"> above, several theories are applicable to competency-based models. Outcome-based education, from which competency-based approaches are derived, resulted from a shift from instructional process to outcomes decisions that guide curriculum design (Frank, et al., 2010). Competency based training has gained support over the past few decades for being more learner centric and its shift away from “time-based training” (Frank, et al., 2010). Competency-based medical education was identified as a priority initiative “across the spectrum of medical education” in countries such as Canada (Royal College of Physicians of Canada, 2009), </w:t>
      </w:r>
      <w:r w:rsidR="00D92357">
        <w:t xml:space="preserve">and </w:t>
      </w:r>
      <w:r>
        <w:t>Australia (Australian Medical Association, 2022) and has gained prominence in underdeveloped countries (</w:t>
      </w:r>
      <w:proofErr w:type="spellStart"/>
      <w:r>
        <w:t>Kiguli-Malwadde</w:t>
      </w:r>
      <w:proofErr w:type="spellEnd"/>
      <w:r>
        <w:t>, 2014). When considering competency approaches to health and climate</w:t>
      </w:r>
      <w:r w:rsidR="00D92357">
        <w:t>,</w:t>
      </w:r>
      <w:r>
        <w:t xml:space="preserve"> this shift is notable from a philosophical perspective.</w:t>
      </w:r>
    </w:p>
    <w:p w14:paraId="65427D88" w14:textId="77777777" w:rsidR="0044303C" w:rsidRDefault="0044303C" w:rsidP="0044303C">
      <w:pPr>
        <w:pStyle w:val="Heading3"/>
      </w:pPr>
      <w:bookmarkStart w:id="15" w:name="_Toc225937144"/>
      <w:r>
        <w:t>Education Impacts of the Covid 19 Pandemic</w:t>
      </w:r>
      <w:bookmarkEnd w:id="15"/>
      <w:r>
        <w:t xml:space="preserve"> </w:t>
      </w:r>
    </w:p>
    <w:p w14:paraId="42D6AC30" w14:textId="2B7227A7" w:rsidR="0044303C" w:rsidRDefault="0044303C" w:rsidP="0044303C">
      <w:pPr>
        <w:spacing w:line="480" w:lineRule="auto"/>
      </w:pPr>
      <w:r>
        <w:t xml:space="preserve">During the first few </w:t>
      </w:r>
      <w:r w:rsidR="00824053">
        <w:t>months</w:t>
      </w:r>
      <w:r>
        <w:t xml:space="preserve"> of 2020</w:t>
      </w:r>
      <w:r w:rsidR="00D92357">
        <w:t>,</w:t>
      </w:r>
      <w:r>
        <w:t xml:space="preserve"> health systems were significantly challenged as the Covid-19 emerged as a global threat to human health. The threat of COVID-19 on public health persisted as global public systems struggled to contain the spread of the virus. Not only did Covid-19 change the way in which health services were prioritized and provided, it sent shockwaves through the educational institutions, effectively disrupting traditional pedagogic approaches</w:t>
      </w:r>
      <w:r w:rsidR="00D92357">
        <w:t>, which is contextually relevant when considering the research question</w:t>
      </w:r>
      <w:r>
        <w:t xml:space="preserve">. The pandemic disrupted health professional’s education with widespread closures of universities due to public health restrictions. </w:t>
      </w:r>
      <w:r>
        <w:lastRenderedPageBreak/>
        <w:t xml:space="preserve">Not surprisingly, the pandemic was deleterious to </w:t>
      </w:r>
      <w:sdt>
        <w:sdtPr>
          <w:tag w:val="goog_rdk_22"/>
          <w:id w:val="-668776564"/>
        </w:sdtPr>
        <w:sdtContent>
          <w:r>
            <w:t xml:space="preserve">the </w:t>
          </w:r>
        </w:sdtContent>
      </w:sdt>
      <w:r>
        <w:t>learner’s mental health (</w:t>
      </w:r>
      <w:proofErr w:type="spellStart"/>
      <w:r>
        <w:rPr>
          <w:highlight w:val="white"/>
        </w:rPr>
        <w:t>Dedeilia</w:t>
      </w:r>
      <w:proofErr w:type="spellEnd"/>
      <w:r>
        <w:rPr>
          <w:highlight w:val="white"/>
        </w:rPr>
        <w:t>, et al., 2023)</w:t>
      </w:r>
      <w:r>
        <w:t>. Continuing professional development and university programming shifted to on-line learning modalities to limit in person contact. While online learning has been beneficial, it can dimmish the ability to develop connection</w:t>
      </w:r>
      <w:sdt>
        <w:sdtPr>
          <w:tag w:val="goog_rdk_23"/>
          <w:id w:val="-53467545"/>
        </w:sdtPr>
        <w:sdtContent>
          <w:r>
            <w:t>s</w:t>
          </w:r>
        </w:sdtContent>
      </w:sdt>
      <w:r>
        <w:t xml:space="preserve"> among learners as well as building trust with those providing the education. </w:t>
      </w:r>
    </w:p>
    <w:p w14:paraId="409888DA" w14:textId="77777777" w:rsidR="0044303C" w:rsidRDefault="0044303C" w:rsidP="0044303C">
      <w:pPr>
        <w:spacing w:line="480" w:lineRule="auto"/>
      </w:pPr>
      <w:r>
        <w:t>Conversely, Covid 19 also accelerated this shift of education initiatives to those that were competency-based, interprofessional and online (</w:t>
      </w:r>
      <w:proofErr w:type="spellStart"/>
      <w:r>
        <w:t>Frenk</w:t>
      </w:r>
      <w:proofErr w:type="spellEnd"/>
      <w:r>
        <w:t xml:space="preserve">, et al., 2022). Blended learning models were hastily developed and utilized in medical education programs (Rafi, et al., 2022) and gave way to previously developed massive open online courses (Pickering, et al., 2017). This represented a change in the way education was provided, as well as the changing nature of what leaners wanted from their education, and how institutions provide learning. Health professional education programs became more learner centric and began to prioritize mental health. </w:t>
      </w:r>
    </w:p>
    <w:p w14:paraId="36C6DDC0" w14:textId="77777777" w:rsidR="0044303C" w:rsidRDefault="0044303C" w:rsidP="0044303C">
      <w:pPr>
        <w:pStyle w:val="Heading3"/>
      </w:pPr>
      <w:bookmarkStart w:id="16" w:name="_Toc225937145"/>
      <w:r>
        <w:t>Training the Health Leader</w:t>
      </w:r>
      <w:bookmarkEnd w:id="16"/>
    </w:p>
    <w:p w14:paraId="0635DE54" w14:textId="465085F0" w:rsidR="0044303C" w:rsidRDefault="0044303C" w:rsidP="0044303C">
      <w:pPr>
        <w:spacing w:line="480" w:lineRule="auto"/>
      </w:pPr>
      <w:r>
        <w:t>Competency based education is not only relevant to health professionals. Health leadership requires a suite of skills to navigate organisations effectively (Curry, et al., 2020), including abilities, and attitudes for an ever-changing dynamic system (Tanner, 2001). The global leadership industry is vast and within the US alone exceeds 14 billion (USD) per annum (</w:t>
      </w:r>
      <w:proofErr w:type="spellStart"/>
      <w:r>
        <w:t>Boerma</w:t>
      </w:r>
      <w:proofErr w:type="spellEnd"/>
      <w:r>
        <w:t xml:space="preserve">, et al., 2017). Health leadership models have moved away from the notion that leaders “are born” to a more dynamic set of personality traits and competencies (Alban-Metcalfe and </w:t>
      </w:r>
      <w:proofErr w:type="spellStart"/>
      <w:r>
        <w:t>Alimo</w:t>
      </w:r>
      <w:proofErr w:type="spellEnd"/>
      <w:r>
        <w:t>-Metcalfe, 2013). Ultimately, leadership skills are not all inherent and need to be imparted through education (</w:t>
      </w:r>
      <w:proofErr w:type="spellStart"/>
      <w:r>
        <w:t>Sonnino</w:t>
      </w:r>
      <w:proofErr w:type="spellEnd"/>
      <w:r>
        <w:t>, 2016) and practiced. As pointed out by Bayer et al. (2017), health leaders understand the importance of training and adapting to changes in areas such as health policy.</w:t>
      </w:r>
    </w:p>
    <w:p w14:paraId="5B9EEC3E" w14:textId="77777777" w:rsidR="0044303C" w:rsidRDefault="0044303C" w:rsidP="0044303C">
      <w:pPr>
        <w:spacing w:line="480" w:lineRule="auto"/>
      </w:pPr>
      <w:r>
        <w:lastRenderedPageBreak/>
        <w:t xml:space="preserve">Similarly to the modernization of health professional education, graduate level education for health administrators has begun to adapt to being competency informed to better prepare leaders for their roles in the health setting (Parker et al., 2022) Best, et al. contend that “frameworks present a good starting point for articulating leadership role scopes and their associated competencies, many fall short in explaining how leaders navigate complex, dynamic, multi-dimensional, and highly variable healthcare systems (2020, as cited by Spanos, et al., 2024)”. This begs the question of what makes a health leader effective at managing emergent health challenges within a system that is highly complex (Parker, et al., 2022).  </w:t>
      </w:r>
    </w:p>
    <w:p w14:paraId="7AD9FB69" w14:textId="77777777" w:rsidR="0044303C" w:rsidRDefault="0044303C" w:rsidP="0044303C">
      <w:pPr>
        <w:spacing w:line="480" w:lineRule="auto"/>
      </w:pPr>
      <w:r>
        <w:t>The role of health leaders and their training has recently gained greater attention due to the COVID-19 pandemic. Many academics focused leadership during pandemic response and outlined competencies for effective leadership (</w:t>
      </w:r>
      <w:proofErr w:type="spellStart"/>
      <w:r>
        <w:t>Sriharan</w:t>
      </w:r>
      <w:proofErr w:type="spellEnd"/>
      <w:r>
        <w:t xml:space="preserve">, </w:t>
      </w:r>
      <w:proofErr w:type="gramStart"/>
      <w:r>
        <w:t>et  al.</w:t>
      </w:r>
      <w:proofErr w:type="gramEnd"/>
      <w:r>
        <w:t>, 2022). Covid-19 contextualized crisis leadership and preparedness as a relevant topic for all leaders, not only those responsible for managing risk and emergencies. Leader competencies during a crisis have been categorized as those that are task, people and adaptive orientated (</w:t>
      </w:r>
      <w:proofErr w:type="spellStart"/>
      <w:r>
        <w:t>Sriharan</w:t>
      </w:r>
      <w:proofErr w:type="spellEnd"/>
      <w:r>
        <w:t xml:space="preserve"> et al., 2022). </w:t>
      </w:r>
    </w:p>
    <w:p w14:paraId="178ED2C6" w14:textId="77777777" w:rsidR="0044303C" w:rsidRDefault="0044303C" w:rsidP="0044303C">
      <w:pPr>
        <w:spacing w:line="480" w:lineRule="auto"/>
      </w:pPr>
      <w:r>
        <w:t>In essence, to navigate large scale emergencies, such as pandemics, leaders need to have competence to manage cris</w:t>
      </w:r>
      <w:sdt>
        <w:sdtPr>
          <w:tag w:val="goog_rdk_24"/>
          <w:id w:val="-884807555"/>
        </w:sdtPr>
        <w:sdtContent>
          <w:r>
            <w:t>e</w:t>
          </w:r>
        </w:sdtContent>
      </w:sdt>
      <w:r>
        <w:t xml:space="preserve">s, interpersonal relationships and adapt to rapid and complex changes. As one example, </w:t>
      </w:r>
      <w:proofErr w:type="spellStart"/>
      <w:r>
        <w:t>Hartney</w:t>
      </w:r>
      <w:proofErr w:type="spellEnd"/>
      <w:r>
        <w:t xml:space="preserve"> et al., (2021), found that Canadian health leaders were more effective when routinely communicating information within their organisations during Covid-19. While communication is a foundational skill of an effective leader, being an effective communicator during </w:t>
      </w:r>
      <w:sdt>
        <w:sdtPr>
          <w:tag w:val="goog_rdk_26"/>
          <w:id w:val="-2047353425"/>
        </w:sdtPr>
        <w:sdtContent>
          <w:r>
            <w:t xml:space="preserve">a </w:t>
          </w:r>
        </w:sdtContent>
      </w:sdt>
      <w:r>
        <w:t xml:space="preserve">crisis must be practiced towards a level of competence. This also consists of being prepared and practicing these skills within a scenario or simulation and understanding emergency management systems (Mwangi, et al., 2024). In addition, </w:t>
      </w:r>
      <w:proofErr w:type="spellStart"/>
      <w:r>
        <w:t>Keselman</w:t>
      </w:r>
      <w:proofErr w:type="spellEnd"/>
      <w:r>
        <w:t xml:space="preserve">, (et al., 2020), describes health leadership’s ethical behaviors having a positive effect on organisational effectiveness and patient outcomes during a crisis. Ethical behaviors such as honesty in a leader’s </w:t>
      </w:r>
      <w:r>
        <w:lastRenderedPageBreak/>
        <w:t>communications is essential during emergencies (</w:t>
      </w:r>
      <w:proofErr w:type="spellStart"/>
      <w:r>
        <w:rPr>
          <w:color w:val="212121"/>
          <w:highlight w:val="white"/>
        </w:rPr>
        <w:t>Paixão</w:t>
      </w:r>
      <w:proofErr w:type="spellEnd"/>
      <w:r>
        <w:t>, et al., 2020) and will become more relevant given the increases in frequency and complexity of climate change extreme events.</w:t>
      </w:r>
    </w:p>
    <w:p w14:paraId="5D38B17F" w14:textId="77777777" w:rsidR="0044303C" w:rsidRDefault="0044303C" w:rsidP="0044303C">
      <w:pPr>
        <w:pStyle w:val="Heading3"/>
      </w:pPr>
      <w:bookmarkStart w:id="17" w:name="_Toc225937146"/>
      <w:r>
        <w:t>2. The Climate Crisis and Health</w:t>
      </w:r>
      <w:bookmarkEnd w:id="17"/>
    </w:p>
    <w:p w14:paraId="62FE3E7C" w14:textId="77777777" w:rsidR="0044303C" w:rsidRPr="00D774D2" w:rsidRDefault="0044303C" w:rsidP="0044303C">
      <w:pPr>
        <w:pStyle w:val="Heading3"/>
      </w:pPr>
      <w:bookmarkStart w:id="18" w:name="_Toc225937147"/>
      <w:r w:rsidRPr="00D774D2">
        <w:t>Climate Change as a Public Health Issue</w:t>
      </w:r>
      <w:bookmarkEnd w:id="18"/>
    </w:p>
    <w:p w14:paraId="4EB003B9" w14:textId="041F18ED" w:rsidR="0044303C" w:rsidRDefault="0044303C" w:rsidP="0044303C">
      <w:pPr>
        <w:spacing w:line="480" w:lineRule="auto"/>
      </w:pPr>
      <w:bookmarkStart w:id="19" w:name="_heading=h.lv6yi51jn94s" w:colFirst="0" w:colLast="0"/>
      <w:bookmarkEnd w:id="19"/>
      <w:r>
        <w:t xml:space="preserve">Climate change is defined as a long-term change in the state of the climate that can be identified by changes in the mean and/or the variability of its properties both globally and regionally (NIEHS, 2022). Climate change is driven by natural and human activities related to the release of greenhouse gases in the atmosphere. The effects of climate change on humans are multi-faceted and gained much attention over the past decades. Scholars have attributed </w:t>
      </w:r>
      <w:r w:rsidR="00D92357">
        <w:t xml:space="preserve">worsening health to </w:t>
      </w:r>
      <w:r>
        <w:t>climate change due to changes in the environment directly and indirectly (USGCRP, 2016).</w:t>
      </w:r>
    </w:p>
    <w:p w14:paraId="518BA088" w14:textId="0EB975DC" w:rsidR="0044303C" w:rsidRDefault="0044303C" w:rsidP="0044303C">
      <w:pPr>
        <w:spacing w:line="480" w:lineRule="auto"/>
      </w:pPr>
      <w:bookmarkStart w:id="20" w:name="_heading=h.96oensygmf2q" w:colFirst="0" w:colLast="0"/>
      <w:bookmarkEnd w:id="20"/>
      <w:r>
        <w:t>Climate change impacts extend beyond those which are more immediate. Public health will be increasing</w:t>
      </w:r>
      <w:sdt>
        <w:sdtPr>
          <w:tag w:val="goog_rdk_27"/>
          <w:id w:val="-1087764634"/>
        </w:sdtPr>
        <w:sdtContent>
          <w:r>
            <w:t>ly</w:t>
          </w:r>
        </w:sdtContent>
      </w:sdt>
      <w:r>
        <w:t xml:space="preserve"> impacted by </w:t>
      </w:r>
      <w:r w:rsidR="00D92357">
        <w:t xml:space="preserve">climate related </w:t>
      </w:r>
      <w:r>
        <w:t xml:space="preserve">issues namely food insecurity, water scarcity, disease transmission, and social disruptions (Crimmins, </w:t>
      </w:r>
      <w:proofErr w:type="spellStart"/>
      <w:r>
        <w:t>Balbaus</w:t>
      </w:r>
      <w:proofErr w:type="spellEnd"/>
      <w:r>
        <w:t xml:space="preserve"> and Gamble, 2016). As noted by </w:t>
      </w:r>
      <w:proofErr w:type="spellStart"/>
      <w:r>
        <w:t>Kerslake</w:t>
      </w:r>
      <w:proofErr w:type="spellEnd"/>
      <w:r>
        <w:t xml:space="preserve"> et al. (2018), one of the central tenets of public health is the sharing of health knowledge for those without for action to be taken or effectively translating knowledge. While the science and health impacts of climate change </w:t>
      </w:r>
      <w:sdt>
        <w:sdtPr>
          <w:tag w:val="goog_rdk_28"/>
          <w:id w:val="397267037"/>
        </w:sdtPr>
        <w:sdtContent>
          <w:r>
            <w:t>are</w:t>
          </w:r>
        </w:sdtContent>
      </w:sdt>
      <w:r>
        <w:t xml:space="preserve"> becoming more mainstream, public knowledge and awareness has been slow to increase. Given this disparity of public knowledge, public health practitioners have an immense responsibility in the face of the largest threat to human health</w:t>
      </w:r>
      <w:r w:rsidR="00D92357">
        <w:t xml:space="preserve"> this century, that is climate change (</w:t>
      </w:r>
      <w:proofErr w:type="spellStart"/>
      <w:r w:rsidR="00DC3E48">
        <w:t>Parums</w:t>
      </w:r>
      <w:proofErr w:type="spellEnd"/>
      <w:r w:rsidR="00DC3E48">
        <w:t>, 2024).</w:t>
      </w:r>
    </w:p>
    <w:p w14:paraId="749A5074" w14:textId="11F33E65" w:rsidR="0044303C" w:rsidRDefault="0044303C" w:rsidP="0044303C">
      <w:pPr>
        <w:spacing w:line="480" w:lineRule="auto"/>
      </w:pPr>
      <w:r>
        <w:t>In the comprehensive IPCC report (2022) it was reported, with very high confidence, that increases to climate</w:t>
      </w:r>
      <w:r w:rsidR="00F351E4">
        <w:t>-</w:t>
      </w:r>
      <w:r>
        <w:t>related illnesses</w:t>
      </w:r>
      <w:r w:rsidR="00F351E4">
        <w:t xml:space="preserve">, such as heat stress and </w:t>
      </w:r>
      <w:r w:rsidR="00824053">
        <w:t>cardiovascular and</w:t>
      </w:r>
      <w:r w:rsidR="00F351E4">
        <w:t xml:space="preserve"> respiratory disease,</w:t>
      </w:r>
      <w:r>
        <w:t xml:space="preserve"> and declines to mental health and well</w:t>
      </w:r>
      <w:r w:rsidR="00F351E4">
        <w:t>-</w:t>
      </w:r>
      <w:r>
        <w:t>being ha</w:t>
      </w:r>
      <w:r w:rsidR="00F351E4">
        <w:t>ve</w:t>
      </w:r>
      <w:r>
        <w:t xml:space="preserve"> occurred</w:t>
      </w:r>
      <w:r w:rsidR="00F351E4">
        <w:t xml:space="preserve"> (IPCC, 2022)</w:t>
      </w:r>
      <w:r>
        <w:t xml:space="preserve">. Drivers of this globally include more extreme heat, poorer air quality, increased flooding, vector-borne, water-related, and </w:t>
      </w:r>
      <w:r>
        <w:lastRenderedPageBreak/>
        <w:t xml:space="preserve">food-related </w:t>
      </w:r>
      <w:r w:rsidR="00F351E4">
        <w:t xml:space="preserve">disease </w:t>
      </w:r>
      <w:r>
        <w:t>and declines in mental health and wellbeing due to changes in exposure to climate or weather-related disasters (NIEHS, 2022). Nearly half of the global population reside in areas that are highly vulnerable to the changes in climate (IPCC, 2023). Considering that the global public health mandate is to prevent disease and promote health by providing current and accurate information to the public (</w:t>
      </w:r>
      <w:proofErr w:type="spellStart"/>
      <w:r>
        <w:t>Kreslake</w:t>
      </w:r>
      <w:proofErr w:type="spellEnd"/>
      <w:r>
        <w:t xml:space="preserve">, et al., 2018), climate change is very much a threat to public health. </w:t>
      </w:r>
    </w:p>
    <w:p w14:paraId="5F0D642E" w14:textId="5773733C" w:rsidR="0044303C" w:rsidRDefault="0044303C" w:rsidP="0044303C">
      <w:pPr>
        <w:spacing w:line="480" w:lineRule="auto"/>
      </w:pPr>
      <w:r>
        <w:t xml:space="preserve">Health impacts are often exacerbated during extreme weather events that are linked to climate change. Members of the public, which include healthcare professionals, are susceptible to the mental health impacts associated with climate change. This occurs not only in the more overt events, such as heat or wildfire events, but can occur within the general population in slower onset events, such as drought (Hayes et al., 2018). Progress has been made by global public health agencies (Fox, et al., 2019) however, this varies and is dependent on health system resourcing and capacity. </w:t>
      </w:r>
    </w:p>
    <w:p w14:paraId="1FC9243C" w14:textId="77777777" w:rsidR="0044303C" w:rsidRDefault="0044303C" w:rsidP="0044303C">
      <w:pPr>
        <w:spacing w:line="480" w:lineRule="auto"/>
      </w:pPr>
    </w:p>
    <w:p w14:paraId="027FDE61" w14:textId="77777777" w:rsidR="0044303C" w:rsidRPr="00CF19AB" w:rsidRDefault="0044303C" w:rsidP="0044303C">
      <w:pPr>
        <w:pStyle w:val="Heading3"/>
      </w:pPr>
      <w:bookmarkStart w:id="21" w:name="_Toc225937148"/>
      <w:r>
        <w:t>Impacts of Climate Change on Health Professionals and Leaders</w:t>
      </w:r>
      <w:bookmarkEnd w:id="21"/>
    </w:p>
    <w:p w14:paraId="7E82D4C6" w14:textId="77777777" w:rsidR="0044303C" w:rsidRDefault="0044303C" w:rsidP="0044303C">
      <w:pPr>
        <w:spacing w:line="480" w:lineRule="auto"/>
      </w:pPr>
      <w:r>
        <w:t xml:space="preserve">Health care professionals are uniquely positioned as it relates to climate change. They are far more than casual observers and can contribute to the climate change and health discourse from the international to local level. </w:t>
      </w:r>
      <w:proofErr w:type="spellStart"/>
      <w:r>
        <w:t>Kreslake</w:t>
      </w:r>
      <w:proofErr w:type="spellEnd"/>
      <w:r>
        <w:t xml:space="preserve"> et al. (2018), take it a step further and argue that health professionals can bring attention to adaptation and mitigation policies, both within and on the periphery of the health care system. One of the ways to empower healthcare workers is to promote concepts such as personal preparedness, which has the added benefit of improving mental health (James, et al. 2019). Health professionals are aware of climate change and its impacts on health, </w:t>
      </w:r>
      <w:r>
        <w:lastRenderedPageBreak/>
        <w:t xml:space="preserve">as evidenced by the volume of calls to action across the health professional spectrum. Much like the public, health professionals are impacted by climate change in their day to day lives. </w:t>
      </w:r>
    </w:p>
    <w:p w14:paraId="7C29B035" w14:textId="12C75DA2" w:rsidR="0044303C" w:rsidRDefault="0044303C" w:rsidP="0044303C">
      <w:pPr>
        <w:spacing w:line="480" w:lineRule="auto"/>
      </w:pPr>
      <w:r>
        <w:t>The way in which services are rendered will continue to change and impact health professionals. Climate change is already impacting populations in countries such as the UK, particularly those which are vulnerable and leading to increased admissions during extreme temperatures (</w:t>
      </w:r>
      <w:proofErr w:type="spellStart"/>
      <w:r>
        <w:t>Rizmie</w:t>
      </w:r>
      <w:proofErr w:type="spellEnd"/>
      <w:r>
        <w:t>, et al., 2022). Hospital capacity will continue to be an issue during extreme weather and temperatures. Extreme heat alon</w:t>
      </w:r>
      <w:sdt>
        <w:sdtPr>
          <w:tag w:val="goog_rdk_30"/>
          <w:id w:val="-1798195257"/>
        </w:sdtPr>
        <w:sdtContent>
          <w:r>
            <w:t>e</w:t>
          </w:r>
        </w:sdtContent>
      </w:sdt>
      <w:r>
        <w:t xml:space="preserve"> led to 3000 </w:t>
      </w:r>
      <w:r w:rsidR="00F351E4">
        <w:t xml:space="preserve">excess </w:t>
      </w:r>
      <w:r>
        <w:t>deaths during the unprecedented heatwaves in the UK (Office for National Statistics, 2022). Health professionals will also need to adapt to how business is conducting, with a recent example being increase in virtual health and telemedicine. Community health will also become more important and outreach to vulnerable populations, considering under housed populations.</w:t>
      </w:r>
    </w:p>
    <w:p w14:paraId="6659D0F8" w14:textId="66C59414" w:rsidR="0044303C" w:rsidRDefault="0044303C" w:rsidP="0044303C">
      <w:pPr>
        <w:spacing w:line="480" w:lineRule="auto"/>
      </w:pPr>
      <w:r>
        <w:t xml:space="preserve">Health organisations will face immediate and longer-term budgetary pressures and the unknown as losses and damages of climate change </w:t>
      </w:r>
      <w:r w:rsidR="00F351E4">
        <w:t>are difficult to quantify</w:t>
      </w:r>
      <w:r>
        <w:t xml:space="preserve"> (The Lancet Countdown on Health and Climate Change, 2021). Rising costs of labour and skilled worker shortages demand creative solutions. In line with financial considerations, leaders will need </w:t>
      </w:r>
      <w:sdt>
        <w:sdtPr>
          <w:tag w:val="goog_rdk_32"/>
          <w:id w:val="-2053127167"/>
        </w:sdtPr>
        <w:sdtContent>
          <w:r>
            <w:t xml:space="preserve">to </w:t>
          </w:r>
        </w:sdtContent>
      </w:sdt>
      <w:r>
        <w:t xml:space="preserve">consider </w:t>
      </w:r>
      <w:sdt>
        <w:sdtPr>
          <w:tag w:val="goog_rdk_33"/>
          <w:id w:val="-544963591"/>
        </w:sdtPr>
        <w:sdtContent>
          <w:r>
            <w:t xml:space="preserve">the </w:t>
          </w:r>
        </w:sdtContent>
      </w:sdt>
      <w:r>
        <w:t xml:space="preserve">human health consequences, both direct and indirect, while projecting future expenditures due climate change including extreme events. </w:t>
      </w:r>
    </w:p>
    <w:p w14:paraId="1EB2B3B4" w14:textId="586B520F" w:rsidR="0044303C" w:rsidRDefault="0044303C" w:rsidP="0044303C">
      <w:pPr>
        <w:spacing w:line="480" w:lineRule="auto"/>
      </w:pPr>
      <w:r>
        <w:t>This requires political astuteness and understanding of health and climate policy from national and local government and related impacts to funding models for health in countries such as the UK and Canada. Health leaders also mu</w:t>
      </w:r>
      <w:sdt>
        <w:sdtPr>
          <w:tag w:val="goog_rdk_34"/>
          <w:id w:val="556949927"/>
        </w:sdtPr>
        <w:sdtContent>
          <w:r>
            <w:t>st</w:t>
          </w:r>
        </w:sdtContent>
      </w:sdt>
      <w:r>
        <w:t xml:space="preserve"> consider their organisation’s carbon footprint and the overall contribution of the health care system to climate change, which is estimated to hover around 5% of global greenhouse gas emissions (Tennison, et al., 2021). This responsibility of the health system to mitigate and prevent environmental impacts cannot be overstated. Changing the way health </w:t>
      </w:r>
      <w:r>
        <w:lastRenderedPageBreak/>
        <w:t xml:space="preserve">business is conducted, where and how equipment and supplies are produced, transportation, facility design and resiliency are all factors and will demand the system, and those within it, adapt. </w:t>
      </w:r>
    </w:p>
    <w:p w14:paraId="48A4D2A9" w14:textId="43339419" w:rsidR="0044303C" w:rsidRDefault="0044303C" w:rsidP="0044303C">
      <w:pPr>
        <w:spacing w:line="480" w:lineRule="auto"/>
      </w:pPr>
      <w:r>
        <w:t xml:space="preserve">How leaders prepare their organisations for climate change is </w:t>
      </w:r>
      <w:r w:rsidR="00F351E4">
        <w:t>required, considering the</w:t>
      </w:r>
      <w:r>
        <w:t xml:space="preserve"> climate change threat. Climate adaptation and resourcing new teams to manage risk, respond to, and recover from emergencies will lead to more resilient systems and these investments of resources will assist with ensuring sustainable systems. Health leaders are also uniquely positioned to advocate for additional climate change funding streams and to position climate change as a health conversation. Health organisations are also challenged by health and social inequities (Paavola, 2017) that are intensified by climate change. These community level challenges exemplify the importance of health organisations in community resilience as they have a role in providing care regardless of the community emergency.</w:t>
      </w:r>
    </w:p>
    <w:p w14:paraId="7632882A" w14:textId="06CE11D8" w:rsidR="0044303C" w:rsidRDefault="0044303C" w:rsidP="0044303C">
      <w:pPr>
        <w:spacing w:line="480" w:lineRule="auto"/>
        <w:jc w:val="both"/>
      </w:pPr>
      <w:bookmarkStart w:id="22" w:name="_heading=h.yfwau1fp6kag" w:colFirst="0" w:colLast="0"/>
      <w:bookmarkEnd w:id="22"/>
      <w:r>
        <w:t xml:space="preserve">Conventional emergency management techniques have fallen short of novel global emergencies, such as the Covid-19 pandemic. As it relates to health, adaptation are actions or processes that reduce impacts associated with climate change that allow </w:t>
      </w:r>
      <w:sdt>
        <w:sdtPr>
          <w:tag w:val="goog_rdk_38"/>
          <w:id w:val="1760487330"/>
        </w:sdtPr>
        <w:sdtContent>
          <w:r>
            <w:t xml:space="preserve">the </w:t>
          </w:r>
        </w:sdtContent>
      </w:sdt>
      <w:r>
        <w:t>system to meet high standards of care (UKHSA and NHS, 2021). Preparedness is the capacity to respond to the health needs of the affected population and the ability to stay operational under critical conditions when demand for care and the availability of time and resources are scarce (</w:t>
      </w:r>
      <w:proofErr w:type="spellStart"/>
      <w:r>
        <w:t>Verheul</w:t>
      </w:r>
      <w:proofErr w:type="spellEnd"/>
      <w:r>
        <w:t xml:space="preserve"> &amp; </w:t>
      </w:r>
      <w:proofErr w:type="spellStart"/>
      <w:r>
        <w:t>Dückers</w:t>
      </w:r>
      <w:proofErr w:type="spellEnd"/>
      <w:r>
        <w:t>, 2020). Meanwhile resilience is the ability to “learn how to do better through adversity” (</w:t>
      </w:r>
      <w:proofErr w:type="spellStart"/>
      <w:r>
        <w:t>Wildavsky</w:t>
      </w:r>
      <w:proofErr w:type="spellEnd"/>
      <w:r>
        <w:t>, 1988, p. 2) involving the reorganisation of resources and activities in a way that enable</w:t>
      </w:r>
      <w:sdt>
        <w:sdtPr>
          <w:tag w:val="goog_rdk_39"/>
          <w:id w:val="-994954627"/>
        </w:sdtPr>
        <w:sdtContent>
          <w:r>
            <w:t>s</w:t>
          </w:r>
        </w:sdtContent>
      </w:sdt>
      <w:r>
        <w:t xml:space="preserve"> health systems to function despite disruptions (Quick and Feldman, 2014). Based on climate change projections, having health organisations that are prepared and resilien</w:t>
      </w:r>
      <w:sdt>
        <w:sdtPr>
          <w:tag w:val="goog_rdk_40"/>
          <w:id w:val="871844435"/>
        </w:sdtPr>
        <w:sdtContent>
          <w:r>
            <w:t>t</w:t>
          </w:r>
        </w:sdtContent>
      </w:sdt>
      <w:r>
        <w:t xml:space="preserve"> is crucial.</w:t>
      </w:r>
    </w:p>
    <w:p w14:paraId="0B9EAD3F" w14:textId="2A8F3D99" w:rsidR="0044303C" w:rsidRDefault="0044303C" w:rsidP="0044303C">
      <w:pPr>
        <w:pStyle w:val="Heading3"/>
      </w:pPr>
      <w:bookmarkStart w:id="23" w:name="_Toc225937149"/>
      <w:r>
        <w:lastRenderedPageBreak/>
        <w:t xml:space="preserve">Prevalence of </w:t>
      </w:r>
      <w:r w:rsidR="00F351E4">
        <w:t>climate</w:t>
      </w:r>
      <w:r>
        <w:t xml:space="preserve"> emergencies</w:t>
      </w:r>
      <w:bookmarkEnd w:id="23"/>
    </w:p>
    <w:p w14:paraId="6168F245" w14:textId="1E6D33FE" w:rsidR="0044303C" w:rsidRDefault="00F351E4" w:rsidP="0044303C">
      <w:pPr>
        <w:spacing w:line="480" w:lineRule="auto"/>
      </w:pPr>
      <w:r>
        <w:t>Emergencies</w:t>
      </w:r>
      <w:r w:rsidR="0044303C">
        <w:t xml:space="preserve"> including drought (</w:t>
      </w:r>
      <w:proofErr w:type="spellStart"/>
      <w:r w:rsidR="0044303C">
        <w:t>Yusa</w:t>
      </w:r>
      <w:proofErr w:type="spellEnd"/>
      <w:r w:rsidR="0044303C">
        <w:t>, et al, 2015), heat (Kegel, et al, 2021), and wildfires (</w:t>
      </w:r>
      <w:proofErr w:type="spellStart"/>
      <w:r w:rsidR="0044303C">
        <w:t>Parisien</w:t>
      </w:r>
      <w:proofErr w:type="spellEnd"/>
      <w:r w:rsidR="0044303C">
        <w:t>, et al., 2023) are increasing globally. These extreme weather events, which are influenced by climate change (</w:t>
      </w:r>
      <w:proofErr w:type="spellStart"/>
      <w:r w:rsidR="0044303C">
        <w:t>Ebi</w:t>
      </w:r>
      <w:proofErr w:type="spellEnd"/>
      <w:r w:rsidR="0044303C">
        <w:t>, et al., 2021), have a myriad of consequences on human health (</w:t>
      </w:r>
      <w:proofErr w:type="spellStart"/>
      <w:r w:rsidR="0044303C">
        <w:t>Schnitter</w:t>
      </w:r>
      <w:proofErr w:type="spellEnd"/>
      <w:r w:rsidR="0044303C">
        <w:t xml:space="preserve"> and Berry, 2019) and health related services (Paterson, et al., 2014). For instance, flooding is linked to worsening of Canadian’s mental health conditions such as anxiety (Agyapong, et al., 2021), depression and post-traumatic stress disorder (Glenn and </w:t>
      </w:r>
      <w:proofErr w:type="spellStart"/>
      <w:r w:rsidR="0044303C">
        <w:t>Myre</w:t>
      </w:r>
      <w:proofErr w:type="spellEnd"/>
      <w:r w:rsidR="0044303C">
        <w:t>, 2022). In addition, wildfire evacuee numbers are on a sharp incline (Canadian Forest Service, 2021). Human displacement and health impacts are further compounded by increased exposure to extreme weather events in population habitation trends (</w:t>
      </w:r>
      <w:proofErr w:type="gramStart"/>
      <w:r w:rsidR="00D8283E">
        <w:t>i.e.</w:t>
      </w:r>
      <w:r w:rsidR="0044303C">
        <w:t>.</w:t>
      </w:r>
      <w:proofErr w:type="gramEnd"/>
      <w:r w:rsidR="0044303C">
        <w:t xml:space="preserve"> building homes in high-risk wildfire areas) and more vulnerable infrastructure due to the expansion of roadways and power grids (</w:t>
      </w:r>
      <w:proofErr w:type="spellStart"/>
      <w:r w:rsidR="0044303C">
        <w:t>Modaresi</w:t>
      </w:r>
      <w:proofErr w:type="spellEnd"/>
      <w:r w:rsidR="0044303C">
        <w:t xml:space="preserve"> Rad et al., 2023). Ultimately, these increased events are disruptive to health organisations and demand better emergency management strategies and more aware leaders.</w:t>
      </w:r>
    </w:p>
    <w:p w14:paraId="12233D9A" w14:textId="5E7047E6" w:rsidR="0044303C" w:rsidRDefault="0044303C" w:rsidP="0044303C">
      <w:pPr>
        <w:spacing w:line="480" w:lineRule="auto"/>
      </w:pPr>
      <w:r>
        <w:t>Climate</w:t>
      </w:r>
      <w:r w:rsidR="000C5008">
        <w:t>-</w:t>
      </w:r>
      <w:r>
        <w:t>change influenced extreme weather events will continue to increase in frequency, severity, and further impact global health. This will intensify demands on healthcare services, as previously noted, across countries and stress financial systems to which health is dependent on. The ability to respond effectively to these events is more critical and health leaders will have to adapt to more dynamic and complex events. Designing and delivering health care that meets today’s health and the health care needs of individuals and populations without compromising the ability of future generations to meet their own health and health care needs (Aronsson et al., 2020) is essential. This will require the provision of health care that recognizes and respects the dependence of our health on the earth's ecosystems, without resulting in unfair or disproportional impacts within society. This demonstrates an acute need for both health professionals and leaders to be competent in climate change and health topics.</w:t>
      </w:r>
    </w:p>
    <w:p w14:paraId="6CFEEC13" w14:textId="77777777" w:rsidR="0044303C" w:rsidRDefault="0044303C" w:rsidP="0044303C">
      <w:pPr>
        <w:pStyle w:val="Heading3"/>
      </w:pPr>
      <w:bookmarkStart w:id="24" w:name="_Toc225937150"/>
      <w:r>
        <w:lastRenderedPageBreak/>
        <w:t>Climate change as a unique threat</w:t>
      </w:r>
      <w:bookmarkEnd w:id="24"/>
    </w:p>
    <w:p w14:paraId="0AB37869" w14:textId="0FB3050E" w:rsidR="0044303C" w:rsidRDefault="0044303C" w:rsidP="0044303C">
      <w:pPr>
        <w:spacing w:line="480" w:lineRule="auto"/>
      </w:pPr>
      <w:bookmarkStart w:id="25" w:name="_heading=h.7uafzdajnpty" w:colFirst="0" w:colLast="0"/>
      <w:bookmarkEnd w:id="25"/>
      <w:r>
        <w:t xml:space="preserve">Climate change has increased the likelihood of disasters (Arnell, 2022) and a rise in humanitarian crises (Ghazali, et al., 2018). One challenge is current hazard and risk assessments, which is a routine risk management activity to help prepare for potential events, </w:t>
      </w:r>
      <w:sdt>
        <w:sdtPr>
          <w:tag w:val="goog_rdk_43"/>
          <w:id w:val="677122219"/>
        </w:sdtPr>
        <w:sdtContent>
          <w:r>
            <w:t xml:space="preserve">which </w:t>
          </w:r>
        </w:sdtContent>
      </w:sdt>
      <w:r>
        <w:t>do not explore potential health risks of climate change (</w:t>
      </w:r>
      <w:proofErr w:type="spellStart"/>
      <w:r>
        <w:t>Ebi</w:t>
      </w:r>
      <w:proofErr w:type="spellEnd"/>
      <w:r>
        <w:t>, et al., 2018). These assessment tools are also deficient in determining how health facilities are exposed to climate change hazards. Many healthcare facilities were designed without consideration of how the climate may change. This leads to vulnerabilities in countries such as Canada and the UK. In addition, extreme heat (</w:t>
      </w:r>
      <w:proofErr w:type="spellStart"/>
      <w:r>
        <w:t>ie</w:t>
      </w:r>
      <w:proofErr w:type="spellEnd"/>
      <w:r>
        <w:t>. lack air conditioning or ventilation systems) or health facilities that are in areas that have increase</w:t>
      </w:r>
      <w:sdt>
        <w:sdtPr>
          <w:tag w:val="goog_rdk_44"/>
          <w:id w:val="1771536468"/>
        </w:sdtPr>
        <w:sdtContent>
          <w:r>
            <w:t>d</w:t>
          </w:r>
        </w:sdtContent>
      </w:sdt>
      <w:sdt>
        <w:sdtPr>
          <w:tag w:val="goog_rdk_45"/>
          <w:id w:val="19714441"/>
          <w:showingPlcHdr/>
        </w:sdtPr>
        <w:sdtContent>
          <w:r>
            <w:t xml:space="preserve">     </w:t>
          </w:r>
        </w:sdtContent>
      </w:sdt>
      <w:r>
        <w:t xml:space="preserve"> likelihood </w:t>
      </w:r>
      <w:r w:rsidR="00885165">
        <w:t>of flooding or</w:t>
      </w:r>
      <w:r>
        <w:t xml:space="preserve"> wildfires </w:t>
      </w:r>
      <w:r w:rsidR="00885165">
        <w:t xml:space="preserve">impacts, </w:t>
      </w:r>
      <w:r>
        <w:t xml:space="preserve">are at higher risk of disruption in providing services. Simply put, </w:t>
      </w:r>
      <w:r w:rsidR="000C5008">
        <w:t xml:space="preserve">risk </w:t>
      </w:r>
      <w:r>
        <w:t xml:space="preserve">assessment tools are requiring a rapid redesign and do not necessarily consider the changing climate. </w:t>
      </w:r>
    </w:p>
    <w:p w14:paraId="221F1004" w14:textId="4CF69832" w:rsidR="0044303C" w:rsidRDefault="0044303C" w:rsidP="0044303C">
      <w:pPr>
        <w:spacing w:line="480" w:lineRule="auto"/>
      </w:pPr>
      <w:bookmarkStart w:id="26" w:name="_heading=h.hw64fbg134lw" w:colFirst="0" w:colLast="0"/>
      <w:bookmarkEnd w:id="26"/>
      <w:r>
        <w:t xml:space="preserve">Climate change has also caused more severe hazards and exposed layers of vulnerabilities at </w:t>
      </w:r>
      <w:sdt>
        <w:sdtPr>
          <w:tag w:val="goog_rdk_46"/>
          <w:id w:val="1265785966"/>
        </w:sdtPr>
        <w:sdtContent>
          <w:r>
            <w:t xml:space="preserve">the </w:t>
          </w:r>
        </w:sdtContent>
      </w:sdt>
      <w:r>
        <w:t xml:space="preserve">health system and local level. From a system perspective climate change has led to </w:t>
      </w:r>
      <w:r w:rsidR="000C5008">
        <w:t>population displacement (IOM, 2026)</w:t>
      </w:r>
      <w:r>
        <w:t>, while impacting socio-economic stability</w:t>
      </w:r>
      <w:r w:rsidR="000C5008">
        <w:t xml:space="preserve"> (World Bank, 2021)</w:t>
      </w:r>
      <w:r>
        <w:t>. Food systems and water supplies have been disrupted, leading to food insecurity and water scarcity and contamination</w:t>
      </w:r>
      <w:r w:rsidR="000C5008">
        <w:t xml:space="preserve"> (UN, 2023)</w:t>
      </w:r>
      <w:r>
        <w:t xml:space="preserve">. This highlights health inequities and structural inequalities in policy, practice, and funding (Smith, et al., 2022). At a local level, health services may not be prepared for staffing disruptions or aging infrastructure. This may limit overall community resilience and the ability for the community to support health services, and vice versa. To emphasize this, Eakin, et al (2018) points out that healthcare systems are exposed to threats that are relatively unknown in their consequences. </w:t>
      </w:r>
    </w:p>
    <w:p w14:paraId="1CB621F4" w14:textId="4375AD46" w:rsidR="0044303C" w:rsidRDefault="0044303C" w:rsidP="0044303C">
      <w:pPr>
        <w:spacing w:line="480" w:lineRule="auto"/>
      </w:pPr>
      <w:bookmarkStart w:id="27" w:name="_heading=h.otrz2ggus2x0" w:colFirst="0" w:colLast="0"/>
      <w:bookmarkEnd w:id="27"/>
      <w:r>
        <w:t>Community</w:t>
      </w:r>
      <w:sdt>
        <w:sdtPr>
          <w:tag w:val="goog_rdk_47"/>
          <w:id w:val="-87902132"/>
        </w:sdtPr>
        <w:sdtContent>
          <w:r>
            <w:t>-</w:t>
          </w:r>
        </w:sdtContent>
      </w:sdt>
      <w:r>
        <w:t>led initiatives at the local level have seen expansion of ‘traditional’ peer communities of emergency management (</w:t>
      </w:r>
      <w:proofErr w:type="spellStart"/>
      <w:r>
        <w:t>Funtowicz</w:t>
      </w:r>
      <w:proofErr w:type="spellEnd"/>
      <w:r>
        <w:t xml:space="preserve">, 2020) which include health. An example of this is in the UK </w:t>
      </w:r>
      <w:r>
        <w:lastRenderedPageBreak/>
        <w:t xml:space="preserve">where progress has been made within the local resiliency </w:t>
      </w:r>
      <w:r w:rsidR="00F91188">
        <w:t>forums</w:t>
      </w:r>
      <w:r>
        <w:t>. Robust response capacity and adapt</w:t>
      </w:r>
      <w:sdt>
        <w:sdtPr>
          <w:tag w:val="goog_rdk_49"/>
          <w:id w:val="-349412446"/>
        </w:sdtPr>
        <w:sdtContent>
          <w:r>
            <w:t>at</w:t>
          </w:r>
        </w:sdtContent>
      </w:sdt>
      <w:r>
        <w:t>ion depends on risk identification (Costello, et al., 2009), response system readiness (</w:t>
      </w:r>
      <w:proofErr w:type="spellStart"/>
      <w:r>
        <w:t>Wuebbles</w:t>
      </w:r>
      <w:proofErr w:type="spellEnd"/>
      <w:r>
        <w:t xml:space="preserve">, et al., 2017) and health professional competence. Not only is there a need to expand these traditional communities, but a requirement to be more inclusive of health partners. This is evidenced through enhanced surveillance and monitoring before and during heat events with public health professionals and the coordination of community cooling stations (Richmond and Hill, 2023). </w:t>
      </w:r>
    </w:p>
    <w:p w14:paraId="12413F79" w14:textId="74153868" w:rsidR="0044303C" w:rsidRDefault="0044303C" w:rsidP="0044303C">
      <w:pPr>
        <w:spacing w:line="480" w:lineRule="auto"/>
      </w:pPr>
      <w:r>
        <w:t>Cascading hazards or chain events will become more common in the changing climate (</w:t>
      </w:r>
      <w:proofErr w:type="spellStart"/>
      <w:r>
        <w:t>Aghakouchak</w:t>
      </w:r>
      <w:proofErr w:type="spellEnd"/>
      <w:r>
        <w:t xml:space="preserve">, et al., 2018). Not only linear emergencies, but simultaneous hazards. This can include wildfire evacuations during poor air quality and extreme heat </w:t>
      </w:r>
      <w:r w:rsidR="00D169EE">
        <w:t xml:space="preserve">to </w:t>
      </w:r>
      <w:r>
        <w:t>communities with lack of housing</w:t>
      </w:r>
      <w:r w:rsidR="00D169EE">
        <w:t>, as one example.</w:t>
      </w:r>
      <w:r>
        <w:t xml:space="preserve"> The notion of “poly crisis” has risen in prominence and traditional emergency management cycles are no longer applicable. Rather than shifting from one phase of a hazard to another, preparedness, response and recovery overlap and simultaneous activities. Events will be longer in duration and require higher levels of resources and demand greater capacity. This is evident in complexities of health recovery from events such as COVID-19.</w:t>
      </w:r>
    </w:p>
    <w:p w14:paraId="6C2CB06A" w14:textId="77777777" w:rsidR="0044303C" w:rsidRDefault="0044303C" w:rsidP="0044303C">
      <w:pPr>
        <w:pStyle w:val="Heading2"/>
      </w:pPr>
      <w:bookmarkStart w:id="28" w:name="_Toc225937151"/>
      <w:r>
        <w:t>Statement of the Problem</w:t>
      </w:r>
      <w:bookmarkEnd w:id="28"/>
    </w:p>
    <w:p w14:paraId="0978B9D6" w14:textId="77777777" w:rsidR="0044303C" w:rsidRDefault="0044303C" w:rsidP="0044303C">
      <w:pPr>
        <w:spacing w:line="480" w:lineRule="auto"/>
      </w:pPr>
      <w:bookmarkStart w:id="29" w:name="_heading=h.bmrqszcc0blv" w:colFirst="0" w:colLast="0"/>
      <w:bookmarkEnd w:id="29"/>
      <w:r>
        <w:t>There has been a movement towards more holistic approaches to medicine, however limited application to education of healthcare professionals. When considering the health impacts of climate change and the role of the environment on well-being, the rapidity of this shift is critical. Educators of healthcare professionals commonly apply adult learning theory to undergraduate, graduate and continuing education; however, inconsistencies exist (</w:t>
      </w:r>
      <w:proofErr w:type="spellStart"/>
      <w:r>
        <w:t>Mukhalati</w:t>
      </w:r>
      <w:proofErr w:type="spellEnd"/>
      <w:r>
        <w:t xml:space="preserve"> and Taylor, 2019). This holds true within climate change and health education, which can be attributed to lack of educator competence of these topics. Despite barriers to continuing professional education, significant enablers exist for health professionals. Continuing education is a critical investment to </w:t>
      </w:r>
      <w:r>
        <w:lastRenderedPageBreak/>
        <w:t xml:space="preserve">sustain health care systems globally. Moreover, there is recognition and resources accessible within higher income countries.  </w:t>
      </w:r>
    </w:p>
    <w:p w14:paraId="777E0CCC" w14:textId="77777777" w:rsidR="0044303C" w:rsidRDefault="0044303C" w:rsidP="0044303C">
      <w:pPr>
        <w:spacing w:line="480" w:lineRule="auto"/>
      </w:pPr>
      <w:bookmarkStart w:id="30" w:name="_heading=h.2yijw12eaxxh" w:colFirst="0" w:colLast="0"/>
      <w:bookmarkEnd w:id="30"/>
      <w:r>
        <w:t xml:space="preserve">As </w:t>
      </w:r>
      <w:proofErr w:type="spellStart"/>
      <w:r>
        <w:t>Alsio</w:t>
      </w:r>
      <w:proofErr w:type="spellEnd"/>
      <w:r>
        <w:t xml:space="preserve"> et al. (2022) highlights, a paucity exists in the research on how health leaders promote CPD in organisations. As to be expected, knowledge to the extent of climate and health sustainability related CPD opportunities within health organisation</w:t>
      </w:r>
      <w:sdt>
        <w:sdtPr>
          <w:tag w:val="goog_rdk_51"/>
          <w:id w:val="2056106380"/>
        </w:sdtPr>
        <w:sdtContent>
          <w:r>
            <w:t>s</w:t>
          </w:r>
        </w:sdtContent>
      </w:sdt>
      <w:r>
        <w:t xml:space="preserve"> is also quite limited. Leaders set the strategic direction for health organisations, and understanding their education, capacity and competence on climate and health is critical to better understand leadership gaps. To further explore the extent of climate and sustainable health competencies in both health professional and leader training in formal education and continuing education opportunities, a scoping review was undertaken. The scoping review will be covered in the next section.  </w:t>
      </w:r>
    </w:p>
    <w:p w14:paraId="39BDE7F2" w14:textId="77777777" w:rsidR="0044303C" w:rsidRDefault="0044303C" w:rsidP="0044303C">
      <w:pPr>
        <w:spacing w:line="480" w:lineRule="auto"/>
      </w:pPr>
      <w:r>
        <w:t>Exacerbating this is the lack of governance and legislative oversight of emergency management programs within the health sector. These programs are often further down in the organisational hierarchy, or are added to incongruent portfolios (</w:t>
      </w:r>
      <w:proofErr w:type="spellStart"/>
      <w:r>
        <w:t>Hertelendy</w:t>
      </w:r>
      <w:proofErr w:type="spellEnd"/>
      <w:r>
        <w:t xml:space="preserve">, et al., 2021). When the health organisation is mobilized to respond to an emergency, outside of day-to-day business, attention is shifted to response. It is the role of the emergency management program to prepare the organisation for these events, including leaders. </w:t>
      </w:r>
    </w:p>
    <w:p w14:paraId="4577EFE0" w14:textId="1C41C35C" w:rsidR="0044303C" w:rsidRDefault="0044303C" w:rsidP="0044303C">
      <w:pPr>
        <w:spacing w:line="480" w:lineRule="auto"/>
      </w:pPr>
      <w:r>
        <w:t>Central to this research, health leadership climate change competence and the extent of leadership participation in educational interventions has not been covered in academic literature. This is further discussed in the scoping review in the second chapter. Medical education curriculum is already overloaded in countries such as Canada (</w:t>
      </w:r>
      <w:proofErr w:type="spellStart"/>
      <w:r>
        <w:t>Slavin</w:t>
      </w:r>
      <w:proofErr w:type="spellEnd"/>
      <w:r>
        <w:t xml:space="preserve"> and </w:t>
      </w:r>
      <w:proofErr w:type="spellStart"/>
      <w:r>
        <w:t>D’Eon</w:t>
      </w:r>
      <w:proofErr w:type="spellEnd"/>
      <w:r>
        <w:t xml:space="preserve">, 2021; </w:t>
      </w:r>
      <w:proofErr w:type="spellStart"/>
      <w:r>
        <w:t>D’Eon</w:t>
      </w:r>
      <w:proofErr w:type="spellEnd"/>
      <w:r>
        <w:t>, 2023) and inconsistencies exist in core curriculum on topics such as global health systems in the UK (Matthews et al, 2020). There is also growing concern of allied health professional</w:t>
      </w:r>
      <w:sdt>
        <w:sdtPr>
          <w:tag w:val="goog_rdk_52"/>
          <w:id w:val="-500007468"/>
        </w:sdtPr>
        <w:sdtContent>
          <w:r>
            <w:t>s</w:t>
          </w:r>
        </w:sdtContent>
      </w:sdt>
      <w:r>
        <w:t>’</w:t>
      </w:r>
      <w:r w:rsidR="00A40B94">
        <w:t xml:space="preserve"> </w:t>
      </w:r>
      <w:r>
        <w:t xml:space="preserve">mental health given heavy training rigours (Lewis, et al., 2019). </w:t>
      </w:r>
    </w:p>
    <w:p w14:paraId="253A50B9" w14:textId="720CC0B9" w:rsidR="0044303C" w:rsidRDefault="0044303C" w:rsidP="0044303C">
      <w:pPr>
        <w:spacing w:line="480" w:lineRule="auto"/>
      </w:pPr>
      <w:r>
        <w:lastRenderedPageBreak/>
        <w:t>In the context of climate change there is a growing need for health system preparedness, resiliency, and capacity to adapt to health system disruptions. However, despite this need there is a lack of climate change education for health professionals (</w:t>
      </w:r>
      <w:proofErr w:type="spellStart"/>
      <w:r>
        <w:t>Jagals</w:t>
      </w:r>
      <w:proofErr w:type="spellEnd"/>
      <w:r>
        <w:t xml:space="preserve"> and </w:t>
      </w:r>
      <w:proofErr w:type="spellStart"/>
      <w:r>
        <w:t>Ebi</w:t>
      </w:r>
      <w:proofErr w:type="spellEnd"/>
      <w:r>
        <w:t>, 2021) and a dearth of leadership and climate education opportunities in countries such as the US. It</w:t>
      </w:r>
      <w:r w:rsidR="00D169EE">
        <w:t xml:space="preserve"> i</w:t>
      </w:r>
      <w:r>
        <w:t>s not only health professional groups that require education and training in climate change and sustainability, but executive education programs are also required (Shaman and Knowlton, 2018).</w:t>
      </w:r>
    </w:p>
    <w:p w14:paraId="2FA1DA3E" w14:textId="012DB1BD" w:rsidR="001132F5" w:rsidRDefault="001132F5" w:rsidP="0044303C">
      <w:pPr>
        <w:spacing w:line="480" w:lineRule="auto"/>
      </w:pPr>
      <w:r>
        <w:t xml:space="preserve">Underpinning this study is a systems leadership framework. </w:t>
      </w:r>
      <w:r w:rsidR="00767475">
        <w:t xml:space="preserve">This helps to better understand what it will take to truly navigate health organisations from the dynamic problems brought about through the changing climate. </w:t>
      </w:r>
      <w:r>
        <w:t>This framework differs from previous leadership concepts in that it utilizes leading beyond rigid professional and organisational parameters (</w:t>
      </w:r>
      <w:proofErr w:type="spellStart"/>
      <w:r>
        <w:t>Bigland</w:t>
      </w:r>
      <w:proofErr w:type="spellEnd"/>
      <w:r>
        <w:t>, et al., 2020).</w:t>
      </w:r>
      <w:r w:rsidR="00767475">
        <w:t xml:space="preserve"> Furthermore, Cairney and Toomey (2025), argue that system leaders in healthcare are those aware of requirements to perform and achieve, attributes to nurture, mindsets to encourage and skills to learn. </w:t>
      </w:r>
    </w:p>
    <w:p w14:paraId="493795B5" w14:textId="496DFB54" w:rsidR="0044303C" w:rsidRDefault="0044303C" w:rsidP="0044303C">
      <w:pPr>
        <w:spacing w:line="480" w:lineRule="auto"/>
      </w:pPr>
      <w:r>
        <w:t>As climate change further burdens global health care systems in the years to come, the threat will shift to a crisis. Every healthcare professional has a responsibility to acquire skills and knowledge, or become more competent, in climate and health sustainability. Coincident</w:t>
      </w:r>
      <w:sdt>
        <w:sdtPr>
          <w:tag w:val="goog_rdk_54"/>
          <w:id w:val="595818032"/>
        </w:sdtPr>
        <w:sdtContent>
          <w:r>
            <w:t>al</w:t>
          </w:r>
        </w:sdtContent>
      </w:sdt>
      <w:r>
        <w:t>ly, health professionals are largely interested in health and climate topics. Perhaps more consequential is lack of support within the health professionals’ organisational culture. Leaders share this responsibility and must gain competence through educational opportunities to better understand the threat of climate change. Leaders must understand health system resiliency while maintaining an awareness of how to actively engage in the resiliency of the community</w:t>
      </w:r>
      <w:r w:rsidR="00767475">
        <w:t>, a system leadership champions</w:t>
      </w:r>
      <w:r>
        <w:t xml:space="preserve">. </w:t>
      </w:r>
    </w:p>
    <w:p w14:paraId="74772C0C" w14:textId="77777777" w:rsidR="0044303C" w:rsidRDefault="0044303C" w:rsidP="0044303C">
      <w:pPr>
        <w:pStyle w:val="Heading2"/>
      </w:pPr>
      <w:bookmarkStart w:id="31" w:name="_Toc225937152"/>
      <w:r>
        <w:lastRenderedPageBreak/>
        <w:t>Purpose of the Study</w:t>
      </w:r>
      <w:bookmarkEnd w:id="31"/>
    </w:p>
    <w:p w14:paraId="2174393B" w14:textId="4C179CDC" w:rsidR="00D169EE" w:rsidRDefault="0044303C" w:rsidP="0044303C">
      <w:pPr>
        <w:spacing w:line="480" w:lineRule="auto"/>
      </w:pPr>
      <w:r>
        <w:t xml:space="preserve">The first aim of this research project is to conduct a review of </w:t>
      </w:r>
      <w:r w:rsidR="00D169EE">
        <w:t xml:space="preserve">the </w:t>
      </w:r>
      <w:r>
        <w:t xml:space="preserve">literature to learn the extent and saturation of education and training initiatives targeted to health professionals within the topics of climate change and health. </w:t>
      </w:r>
    </w:p>
    <w:p w14:paraId="1C69859C" w14:textId="5BA3CFD1" w:rsidR="00D169EE" w:rsidRDefault="00D169EE" w:rsidP="0044303C">
      <w:pPr>
        <w:spacing w:line="480" w:lineRule="auto"/>
      </w:pPr>
      <w:r>
        <w:t>Scoping Review Objectives:</w:t>
      </w:r>
      <w:r w:rsidR="0044303C">
        <w:t xml:space="preserve"> </w:t>
      </w:r>
    </w:p>
    <w:p w14:paraId="77C02B37" w14:textId="36686BCE" w:rsidR="00D169EE" w:rsidRDefault="0044303C" w:rsidP="00824053">
      <w:pPr>
        <w:spacing w:line="480" w:lineRule="auto"/>
        <w:ind w:firstLine="720"/>
        <w:rPr>
          <w:color w:val="161616"/>
        </w:rPr>
      </w:pPr>
      <w:r>
        <w:t>1) to understand the extent and type of evidence in relation to climate change training and education interventions targeted at health </w:t>
      </w:r>
      <w:r>
        <w:rPr>
          <w:color w:val="161616"/>
        </w:rPr>
        <w:t>professionals and leaders in primary studies</w:t>
      </w:r>
      <w:r w:rsidR="00D169EE">
        <w:rPr>
          <w:color w:val="161616"/>
        </w:rPr>
        <w:t>.</w:t>
      </w:r>
      <w:r>
        <w:rPr>
          <w:color w:val="161616"/>
        </w:rPr>
        <w:t xml:space="preserve"> </w:t>
      </w:r>
    </w:p>
    <w:p w14:paraId="1AE1CCC3" w14:textId="6D65DC45" w:rsidR="0044303C" w:rsidRDefault="0044303C" w:rsidP="00824053">
      <w:pPr>
        <w:spacing w:line="480" w:lineRule="auto"/>
        <w:ind w:firstLine="720"/>
        <w:rPr>
          <w:color w:val="161616"/>
        </w:rPr>
      </w:pPr>
      <w:r>
        <w:rPr>
          <w:color w:val="161616"/>
        </w:rPr>
        <w:t>2) to determine if climate and health competencies have been integrated into these interventions. </w:t>
      </w:r>
    </w:p>
    <w:p w14:paraId="637906D1" w14:textId="77777777" w:rsidR="0044303C" w:rsidRDefault="0044303C" w:rsidP="0044303C">
      <w:pPr>
        <w:spacing w:line="480" w:lineRule="auto"/>
        <w:rPr>
          <w:color w:val="161616"/>
        </w:rPr>
      </w:pPr>
      <w:r>
        <w:rPr>
          <w:color w:val="161616"/>
        </w:rPr>
        <w:t>The second aim is to provide a research design and methods that reflect and investigate the primary and secondary research questions. This includes the objective of providing a detailed description of the use of qualitative methods in the approach to the central research question and appropriateness of the methods. The second objective is to explain all design elements of the study and related ethical issues. The third objective is to describe potential challenges and difficulties that arose through the study.</w:t>
      </w:r>
    </w:p>
    <w:p w14:paraId="35075FAF" w14:textId="2AF2C1E6" w:rsidR="0044303C" w:rsidRDefault="0044303C" w:rsidP="0044303C">
      <w:pPr>
        <w:spacing w:line="480" w:lineRule="auto"/>
        <w:rPr>
          <w:rFonts w:ascii="Open Sans" w:eastAsia="Open Sans" w:hAnsi="Open Sans" w:cs="Open Sans"/>
          <w:color w:val="161616"/>
        </w:rPr>
      </w:pPr>
      <w:r>
        <w:rPr>
          <w:color w:val="161616"/>
        </w:rPr>
        <w:t xml:space="preserve">The overarching aim of this research is to provide guidance and insights to leaders of health systems on how to effectively lead organisations through climate change and extreme weather events. By determining what competencies lead to effective leaders we can address the question of what gaps need to be filled in a leader’s training and how emergency management programs </w:t>
      </w:r>
      <w:sdt>
        <w:sdtPr>
          <w:tag w:val="goog_rdk_57"/>
          <w:id w:val="1013644685"/>
        </w:sdtPr>
        <w:sdtContent>
          <w:r>
            <w:rPr>
              <w:color w:val="161616"/>
            </w:rPr>
            <w:t xml:space="preserve">can </w:t>
          </w:r>
        </w:sdtContent>
      </w:sdt>
      <w:r>
        <w:rPr>
          <w:color w:val="161616"/>
        </w:rPr>
        <w:t xml:space="preserve">enhance their experience. As </w:t>
      </w:r>
      <w:proofErr w:type="spellStart"/>
      <w:r>
        <w:rPr>
          <w:color w:val="161616"/>
        </w:rPr>
        <w:t>Emigh</w:t>
      </w:r>
      <w:proofErr w:type="spellEnd"/>
      <w:r>
        <w:rPr>
          <w:color w:val="161616"/>
        </w:rPr>
        <w:t xml:space="preserve"> et al. (2022), point out by </w:t>
      </w:r>
      <w:r w:rsidR="00005891">
        <w:rPr>
          <w:color w:val="161616"/>
        </w:rPr>
        <w:t xml:space="preserve">leadership </w:t>
      </w:r>
      <w:r>
        <w:rPr>
          <w:color w:val="161616"/>
        </w:rPr>
        <w:t>training and education needs to consider current and future disasters.</w:t>
      </w:r>
      <w:r>
        <w:rPr>
          <w:rFonts w:ascii="Open Sans" w:eastAsia="Open Sans" w:hAnsi="Open Sans" w:cs="Open Sans"/>
          <w:color w:val="161616"/>
        </w:rPr>
        <w:t> </w:t>
      </w:r>
    </w:p>
    <w:p w14:paraId="76EE9BA8" w14:textId="31A8E7D5" w:rsidR="0044303C" w:rsidRDefault="0044303C" w:rsidP="0044303C">
      <w:pPr>
        <w:spacing w:line="480" w:lineRule="auto"/>
      </w:pPr>
      <w:bookmarkStart w:id="32" w:name="_heading=h.x7d01fykhovp" w:colFirst="0" w:colLast="0"/>
      <w:bookmarkEnd w:id="32"/>
      <w:r>
        <w:lastRenderedPageBreak/>
        <w:t>Recently, the concept of competency-based education has been utilized in health professions, such as nursing, in different capacities (</w:t>
      </w:r>
      <w:proofErr w:type="spellStart"/>
      <w:r>
        <w:t>Zumstein-Shaha</w:t>
      </w:r>
      <w:proofErr w:type="spellEnd"/>
      <w:r>
        <w:t xml:space="preserve"> and Grace, 2023) and pharmacy (</w:t>
      </w:r>
      <w:proofErr w:type="spellStart"/>
      <w:r>
        <w:t>Katoue</w:t>
      </w:r>
      <w:proofErr w:type="spellEnd"/>
      <w:r>
        <w:t xml:space="preserve"> &amp; </w:t>
      </w:r>
      <w:proofErr w:type="spellStart"/>
      <w:r>
        <w:t>Schwinghammer</w:t>
      </w:r>
      <w:proofErr w:type="spellEnd"/>
      <w:r>
        <w:t xml:space="preserve">, 2018). The American Association of Colleges of Nursing AACN has added </w:t>
      </w:r>
      <w:sdt>
        <w:sdtPr>
          <w:tag w:val="goog_rdk_59"/>
          <w:id w:val="-487695735"/>
        </w:sdtPr>
        <w:sdtContent>
          <w:r>
            <w:t xml:space="preserve">the </w:t>
          </w:r>
        </w:sdtContent>
      </w:sdt>
      <w:r>
        <w:t xml:space="preserve">impact of climate change on environmental and population health in its core competency framework for professional nursing education. </w:t>
      </w:r>
      <w:r w:rsidRPr="007346C1">
        <w:t>Similarly, the UK's General Medical Council has added this into medical curriculum competency requirements for medical graduates</w:t>
      </w:r>
      <w:r>
        <w:t xml:space="preserve"> (2026)</w:t>
      </w:r>
      <w:r w:rsidRPr="007346C1">
        <w:t>. </w:t>
      </w:r>
      <w:r>
        <w:t>However, there is a need for further development of health leader competencies (</w:t>
      </w:r>
      <w:proofErr w:type="spellStart"/>
      <w:r>
        <w:t>Hertelendy</w:t>
      </w:r>
      <w:proofErr w:type="spellEnd"/>
      <w:r>
        <w:t xml:space="preserve"> et al., 2021). In addition, as pointed out by Silverman (2019) CCHC education within Public Health professional education programs are sorely lacking curricular efforts, which is also the case within Public Health schools in Canada (</w:t>
      </w:r>
      <w:proofErr w:type="spellStart"/>
      <w:r>
        <w:t>Castleden</w:t>
      </w:r>
      <w:proofErr w:type="spellEnd"/>
      <w:r>
        <w:t xml:space="preserve">, et al., 2020). </w:t>
      </w:r>
    </w:p>
    <w:p w14:paraId="3AD66921" w14:textId="054292F1" w:rsidR="0044303C" w:rsidRDefault="0044303C" w:rsidP="0044303C">
      <w:pPr>
        <w:spacing w:line="480" w:lineRule="auto"/>
      </w:pPr>
      <w:r>
        <w:t xml:space="preserve">Healthcare workers positively view organisational initiatives that are linked to climate change (Quinlan, 2014), which minimizes risk. These employees often feel a responsibility to address </w:t>
      </w:r>
      <w:sdt>
        <w:sdtPr>
          <w:tag w:val="goog_rdk_61"/>
          <w:id w:val="846317443"/>
        </w:sdtPr>
        <w:sdtContent>
          <w:r>
            <w:t xml:space="preserve">the </w:t>
          </w:r>
        </w:sdtContent>
      </w:sdt>
      <w:r>
        <w:t>health impacts of climate change (</w:t>
      </w:r>
      <w:proofErr w:type="spellStart"/>
      <w:r>
        <w:t>Polivka</w:t>
      </w:r>
      <w:proofErr w:type="spellEnd"/>
      <w:r>
        <w:t>, et al., 2012). Increasing health worker competence is vital for the continuity of health services during more extreme and disastrous changes in climate (</w:t>
      </w:r>
      <w:proofErr w:type="spellStart"/>
      <w:r>
        <w:t>Jagals</w:t>
      </w:r>
      <w:proofErr w:type="spellEnd"/>
      <w:r>
        <w:t xml:space="preserve"> and </w:t>
      </w:r>
      <w:proofErr w:type="spellStart"/>
      <w:r>
        <w:t>Ebi</w:t>
      </w:r>
      <w:proofErr w:type="spellEnd"/>
      <w:r>
        <w:t xml:space="preserve">, 2021). Training health professionals for competency in practice is an established concept. However, this leads to the question of how pervasive competency-based education in climate and sustainable health topics for health professionals and leaders is.  </w:t>
      </w:r>
    </w:p>
    <w:p w14:paraId="4E8BDC72" w14:textId="77777777" w:rsidR="0044303C" w:rsidRDefault="0044303C" w:rsidP="0044303C">
      <w:pPr>
        <w:pStyle w:val="Heading2"/>
      </w:pPr>
      <w:bookmarkStart w:id="33" w:name="_Toc225937153"/>
      <w:r>
        <w:t>Research Questions</w:t>
      </w:r>
      <w:bookmarkEnd w:id="33"/>
    </w:p>
    <w:p w14:paraId="6694E9DD" w14:textId="4BBD222A" w:rsidR="0044303C" w:rsidRDefault="0044303C" w:rsidP="0044303C">
      <w:pPr>
        <w:spacing w:line="480" w:lineRule="auto"/>
      </w:pPr>
      <w:r>
        <w:t xml:space="preserve">The research question guiding the PhD study is: do health leaders have the </w:t>
      </w:r>
      <w:proofErr w:type="gramStart"/>
      <w:r>
        <w:t>education,</w:t>
      </w:r>
      <w:proofErr w:type="gramEnd"/>
      <w:r>
        <w:t xml:space="preserve"> </w:t>
      </w:r>
      <w:r w:rsidR="00137CA1">
        <w:t>do they have capacity and are they competent</w:t>
      </w:r>
      <w:r w:rsidR="006A0BD2">
        <w:t xml:space="preserve"> through </w:t>
      </w:r>
      <w:proofErr w:type="spellStart"/>
      <w:r w:rsidR="006A0BD2">
        <w:t>self assessments</w:t>
      </w:r>
      <w:proofErr w:type="spellEnd"/>
      <w:r w:rsidR="00137CA1">
        <w:t>.</w:t>
      </w:r>
      <w:r>
        <w:t xml:space="preserve">? The question is to what extent is climate change education and training available for health professionals and is the training applicable to health leaders. Conversely, </w:t>
      </w:r>
      <w:r w:rsidR="006A0BD2">
        <w:t xml:space="preserve">is </w:t>
      </w:r>
      <w:r>
        <w:t>general health professional training applicable to leaders, or are bespoke initiatives required</w:t>
      </w:r>
      <w:r w:rsidR="006A0BD2">
        <w:t>?</w:t>
      </w:r>
    </w:p>
    <w:p w14:paraId="79DCA510" w14:textId="77777777" w:rsidR="0044303C" w:rsidRDefault="0044303C" w:rsidP="0044303C">
      <w:pPr>
        <w:pStyle w:val="Heading2"/>
      </w:pPr>
      <w:bookmarkStart w:id="34" w:name="_Toc225937154"/>
      <w:r>
        <w:lastRenderedPageBreak/>
        <w:t>Significance of the Study</w:t>
      </w:r>
      <w:bookmarkEnd w:id="34"/>
    </w:p>
    <w:p w14:paraId="68146368" w14:textId="77777777" w:rsidR="0044303C" w:rsidRDefault="0044303C" w:rsidP="0044303C">
      <w:pPr>
        <w:spacing w:line="480" w:lineRule="auto"/>
      </w:pPr>
      <w:r>
        <w:t>The World Health Organisation Civil Society Working Group to Advance Action on Climate Change and Health urged that the health consequences of climate change be comprehensively integrated into curricula across all levels of health care education (Global Climate &amp; Health Alliance, 2022). This was provided by way of an open letter to universities and stakeholders in the field of education. If clinicians and other healthcare and public health professionals can teach their patients about best practices in disaster preparedness, individuals and communities can begin to mitigate the adverse health effects of future disasters (</w:t>
      </w:r>
      <w:proofErr w:type="spellStart"/>
      <w:r>
        <w:t>Keim</w:t>
      </w:r>
      <w:proofErr w:type="spellEnd"/>
      <w:r>
        <w:t>, 2008; as cited in Katzman, 2022).</w:t>
      </w:r>
    </w:p>
    <w:p w14:paraId="5341A2EF" w14:textId="77777777" w:rsidR="0044303C" w:rsidRDefault="0044303C" w:rsidP="0044303C">
      <w:pPr>
        <w:pStyle w:val="Heading2"/>
      </w:pPr>
      <w:bookmarkStart w:id="35" w:name="_Toc225937155"/>
      <w:r>
        <w:t>Chapter Summary</w:t>
      </w:r>
      <w:bookmarkEnd w:id="35"/>
      <w:r>
        <w:t xml:space="preserve"> </w:t>
      </w:r>
    </w:p>
    <w:p w14:paraId="18149FCA" w14:textId="77777777" w:rsidR="0044303C" w:rsidRDefault="0044303C" w:rsidP="0044303C">
      <w:pPr>
        <w:spacing w:line="480" w:lineRule="auto"/>
      </w:pPr>
      <w:r>
        <w:t xml:space="preserve">In this chapter definitions were provided and a background discussing health professional education was presented. In addition, the statement of the problem provided context into this research endeavour, and the purpose and significance drew attention to the worthiness of this inquiry. The research questions identified in this introduction will be further explored through this thesis paper. The next section will present a review of literature that will </w:t>
      </w:r>
      <w:proofErr w:type="spellStart"/>
      <w:r>
        <w:t>compliment</w:t>
      </w:r>
      <w:proofErr w:type="spellEnd"/>
      <w:r>
        <w:t xml:space="preserve"> the definitions and themes provided above. </w:t>
      </w:r>
    </w:p>
    <w:p w14:paraId="77BA759C" w14:textId="77777777" w:rsidR="0044303C" w:rsidRDefault="0044303C" w:rsidP="00990AE1"/>
    <w:p w14:paraId="6C0150A2" w14:textId="77777777" w:rsidR="00D774D2" w:rsidRDefault="00D774D2" w:rsidP="00990AE1"/>
    <w:p w14:paraId="735E5B4C" w14:textId="77777777" w:rsidR="00D774D2" w:rsidRDefault="00D774D2" w:rsidP="00990AE1"/>
    <w:p w14:paraId="3501471B" w14:textId="77777777" w:rsidR="00D774D2" w:rsidRDefault="00D774D2" w:rsidP="00990AE1"/>
    <w:p w14:paraId="7A0349DD" w14:textId="77777777" w:rsidR="00D774D2" w:rsidRDefault="00D774D2" w:rsidP="00990AE1"/>
    <w:p w14:paraId="012A427A" w14:textId="77777777" w:rsidR="00D774D2" w:rsidRDefault="00D774D2" w:rsidP="00990AE1"/>
    <w:p w14:paraId="6AEF5543" w14:textId="77777777" w:rsidR="00D774D2" w:rsidRDefault="00D774D2" w:rsidP="00990AE1"/>
    <w:p w14:paraId="0D7EBDF0" w14:textId="77777777" w:rsidR="00D8283E" w:rsidRDefault="00D8283E" w:rsidP="00990AE1"/>
    <w:p w14:paraId="37F5C7CD" w14:textId="77777777" w:rsidR="00D8283E" w:rsidRDefault="00D8283E" w:rsidP="00990AE1"/>
    <w:p w14:paraId="1EFD7D54" w14:textId="77777777" w:rsidR="00D774D2" w:rsidRDefault="00D774D2" w:rsidP="00D774D2">
      <w:pPr>
        <w:pStyle w:val="Heading1"/>
      </w:pPr>
      <w:bookmarkStart w:id="36" w:name="_Toc225937156"/>
      <w:r>
        <w:lastRenderedPageBreak/>
        <w:t>Chapter II: Review of the Literature</w:t>
      </w:r>
      <w:bookmarkEnd w:id="36"/>
    </w:p>
    <w:p w14:paraId="7DBDBF6D" w14:textId="77777777" w:rsidR="00D774D2" w:rsidRDefault="00D774D2" w:rsidP="00D774D2">
      <w:pPr>
        <w:pStyle w:val="Heading2"/>
      </w:pPr>
      <w:bookmarkStart w:id="37" w:name="_Toc225937157"/>
      <w:r>
        <w:t>Introduction</w:t>
      </w:r>
      <w:bookmarkEnd w:id="37"/>
    </w:p>
    <w:p w14:paraId="7365B679" w14:textId="77777777" w:rsidR="00D774D2" w:rsidRDefault="00D774D2" w:rsidP="00D774D2">
      <w:pPr>
        <w:pStyle w:val="Heading3"/>
      </w:pPr>
      <w:bookmarkStart w:id="38" w:name="_Toc225937158"/>
      <w:r>
        <w:t>Climate change and health education</w:t>
      </w:r>
      <w:bookmarkEnd w:id="38"/>
    </w:p>
    <w:p w14:paraId="20164628" w14:textId="77777777" w:rsidR="00D774D2" w:rsidRDefault="00D774D2" w:rsidP="00D774D2">
      <w:pPr>
        <w:spacing w:after="0" w:line="240" w:lineRule="auto"/>
        <w:rPr>
          <w:i/>
          <w:iCs/>
        </w:rPr>
      </w:pPr>
    </w:p>
    <w:p w14:paraId="118E2C4C" w14:textId="4A3F028E" w:rsidR="00D774D2" w:rsidRDefault="00D774D2" w:rsidP="00D774D2">
      <w:pPr>
        <w:spacing w:after="0" w:line="480" w:lineRule="auto"/>
      </w:pPr>
      <w:r>
        <w:t>Climate change consequences are evident at the health system and local level and is highly impactful globally. Health professionals and leaders require competence in these topics, not simply understanding climate change, but by acquiring new skills and knowing what actions to take.</w:t>
      </w:r>
      <w:r w:rsidR="009123EF">
        <w:t xml:space="preserve"> </w:t>
      </w:r>
      <w:r w:rsidR="00C5745A">
        <w:t>By extension, is the education received adequate, not only in content but how it is being taught. To reiterate the problem statement, are those teaching adequately trained to be effective in educating health professionals.</w:t>
      </w:r>
    </w:p>
    <w:p w14:paraId="1CA6FE84" w14:textId="7D8B8B7C" w:rsidR="00D774D2" w:rsidRDefault="00D774D2" w:rsidP="00D774D2">
      <w:pPr>
        <w:spacing w:after="0" w:line="480" w:lineRule="auto"/>
      </w:pPr>
      <w:r>
        <w:t>As health organisations are burdened by</w:t>
      </w:r>
    </w:p>
    <w:p w14:paraId="4D7ECCE4" w14:textId="77777777" w:rsidR="00D774D2" w:rsidRDefault="00D774D2" w:rsidP="00D774D2">
      <w:pPr>
        <w:spacing w:after="0" w:line="480" w:lineRule="auto"/>
      </w:pPr>
      <w:r>
        <w:t>shrinking budgets (Center for Global Development, 2025) and higher patient care costs, training must be effective and take into consideration emerging health threats. As Horton (2010) adeptly points out, education for health professionals must be adapted to current realities sufficiently resourced. However, this is deeply problematic, as health systems tend to lack resources and expertise to develop and provide training for health professionals within their organisations (Hampshire, et al., 2022).</w:t>
      </w:r>
    </w:p>
    <w:p w14:paraId="148736D9" w14:textId="77777777" w:rsidR="00D774D2" w:rsidRDefault="00D774D2" w:rsidP="00D774D2">
      <w:pPr>
        <w:spacing w:after="0" w:line="480" w:lineRule="auto"/>
      </w:pPr>
      <w:r>
        <w:t>Over the past decade much global discussion and international agreement has taken place on</w:t>
      </w:r>
    </w:p>
    <w:p w14:paraId="224FEB84" w14:textId="6D7308A2" w:rsidR="00D774D2" w:rsidRDefault="00D774D2" w:rsidP="00D774D2">
      <w:pPr>
        <w:spacing w:after="0" w:line="480" w:lineRule="auto"/>
      </w:pPr>
      <w:r>
        <w:t>the importance of climate action (United Nations Development Programme, 2015). Calls to action on climate change and education have been made by doctors, and other health professional groups, echoing within the academic community for the past decade. These calls are underscored by the need of health systems to rapidly adapt health professional training, such as medical school curricula (</w:t>
      </w:r>
      <w:proofErr w:type="spellStart"/>
      <w:r>
        <w:t>Goshua</w:t>
      </w:r>
      <w:proofErr w:type="spellEnd"/>
      <w:r>
        <w:t>, et al., 2020) to address hazards arising from climate change.</w:t>
      </w:r>
    </w:p>
    <w:p w14:paraId="6F0AE1C5" w14:textId="77777777" w:rsidR="00D774D2" w:rsidRDefault="00D774D2" w:rsidP="00D774D2">
      <w:pPr>
        <w:spacing w:after="0" w:line="480" w:lineRule="auto"/>
      </w:pPr>
      <w:r>
        <w:t>Health professional education programs from academic institutions and continuing education</w:t>
      </w:r>
    </w:p>
    <w:p w14:paraId="0F8432F6" w14:textId="77777777" w:rsidR="00D774D2" w:rsidRDefault="00D774D2" w:rsidP="00D774D2">
      <w:pPr>
        <w:spacing w:after="0" w:line="480" w:lineRule="auto"/>
      </w:pPr>
      <w:r>
        <w:lastRenderedPageBreak/>
        <w:t>contribute to this gap, however there is a larger need. Health systems are required, largely</w:t>
      </w:r>
    </w:p>
    <w:p w14:paraId="5DA3CC86" w14:textId="77777777" w:rsidR="00D774D2" w:rsidRDefault="00D774D2" w:rsidP="00D774D2">
      <w:pPr>
        <w:spacing w:after="0" w:line="480" w:lineRule="auto"/>
      </w:pPr>
      <w:r>
        <w:t>through accreditation programs or government mandates, to build climate and sustainability</w:t>
      </w:r>
    </w:p>
    <w:p w14:paraId="6FEA239E" w14:textId="77777777" w:rsidR="00D774D2" w:rsidRDefault="00D774D2" w:rsidP="00D774D2">
      <w:pPr>
        <w:spacing w:after="0" w:line="480" w:lineRule="auto"/>
      </w:pPr>
      <w:r>
        <w:t>programs and inform their health professionals of initiatives. For example, the UK’s policy</w:t>
      </w:r>
    </w:p>
    <w:p w14:paraId="046556AB" w14:textId="77777777" w:rsidR="00D774D2" w:rsidRDefault="00D774D2" w:rsidP="00D774D2">
      <w:pPr>
        <w:spacing w:after="0" w:line="480" w:lineRule="auto"/>
      </w:pPr>
      <w:r>
        <w:t>imperative for their National Health System (NHS) is to achieve a net zero operation by 2040 (NHS England, 2022).</w:t>
      </w:r>
    </w:p>
    <w:p w14:paraId="3EBA91BF" w14:textId="77777777" w:rsidR="00D774D2" w:rsidRDefault="00D774D2" w:rsidP="00D774D2">
      <w:pPr>
        <w:spacing w:after="0" w:line="480" w:lineRule="auto"/>
      </w:pPr>
      <w:r>
        <w:t>However, hesitancy and a lack of awareness of such initiatives have plagued health systems.</w:t>
      </w:r>
    </w:p>
    <w:p w14:paraId="16762C00" w14:textId="1FB420AF" w:rsidR="00D774D2" w:rsidRDefault="00D774D2" w:rsidP="00D774D2">
      <w:pPr>
        <w:spacing w:after="0" w:line="480" w:lineRule="auto"/>
      </w:pPr>
      <w:r>
        <w:t xml:space="preserve">This is illustrated by only 10% of American </w:t>
      </w:r>
      <w:r w:rsidR="00846888">
        <w:t>a</w:t>
      </w:r>
      <w:r>
        <w:t>nesthesiologist being aware of a sustainability</w:t>
      </w:r>
    </w:p>
    <w:p w14:paraId="4E82A6C9" w14:textId="5C568ED9" w:rsidR="00D774D2" w:rsidRDefault="00D774D2" w:rsidP="00D774D2">
      <w:pPr>
        <w:spacing w:after="0" w:line="480" w:lineRule="auto"/>
      </w:pPr>
      <w:r>
        <w:t>program existing within their health system (</w:t>
      </w:r>
      <w:proofErr w:type="spellStart"/>
      <w:r>
        <w:t>Ard</w:t>
      </w:r>
      <w:proofErr w:type="spellEnd"/>
      <w:r>
        <w:t>, et al., 2016). Although efforts have been slow (Watts, et al., 2018) there has been resources developed to further educate and train of health professionals on Climate Change and Health Competencies. The International Federation of Medical Students’ Association (2016) has strongly advocated for greater attention in curriculum to climate change and health topics. Communities of practice such as the Nurses Climate Challenge (Demorest, et al., 2024) have also gained traction. While integration has progressed, it has not been embedded within curriculum for aspiring health professionals in programs such as nursing (Lopez-Medina, et al., 2019).</w:t>
      </w:r>
    </w:p>
    <w:p w14:paraId="3D81F7F9" w14:textId="3E682DEE" w:rsidR="00BE4211" w:rsidRDefault="0067429B" w:rsidP="00D774D2">
      <w:pPr>
        <w:spacing w:after="0" w:line="480" w:lineRule="auto"/>
      </w:pPr>
      <w:r>
        <w:t>Guiding this review of literature is a pragmatic theoretical framework</w:t>
      </w:r>
      <w:r w:rsidR="00A31429">
        <w:t xml:space="preserve"> with emphasis on the applicability of systems leadership approaches</w:t>
      </w:r>
      <w:r>
        <w:t>. This framework is applicable to healthcare education and provides relevance to how healthcare is provided by professionals (</w:t>
      </w:r>
      <w:proofErr w:type="spellStart"/>
      <w:r>
        <w:t>Holtrop</w:t>
      </w:r>
      <w:proofErr w:type="spellEnd"/>
      <w:r>
        <w:t xml:space="preserve"> and Glasgow, 2020). </w:t>
      </w:r>
      <w:r w:rsidR="00BE4211">
        <w:t>Pragmatic approaches to climate and health education have emerged in recent years and has sparked chang</w:t>
      </w:r>
      <w:r w:rsidR="00292C93">
        <w:t xml:space="preserve">es </w:t>
      </w:r>
      <w:r w:rsidR="00BE4211">
        <w:t xml:space="preserve">to health professional curriculum, as </w:t>
      </w:r>
      <w:r w:rsidR="00292C93">
        <w:t xml:space="preserve">evidence by changes to </w:t>
      </w:r>
      <w:r w:rsidR="00BE4211">
        <w:t xml:space="preserve">nursing </w:t>
      </w:r>
      <w:r w:rsidR="00292C93">
        <w:t xml:space="preserve">curriculum in Canada </w:t>
      </w:r>
      <w:r w:rsidR="00BE4211">
        <w:t xml:space="preserve">(Vandenberg, et al., 2025). </w:t>
      </w:r>
      <w:r w:rsidR="00292C93">
        <w:t>This approach allows for identifying real world themes and highlighting gaps in the current body of practice (</w:t>
      </w:r>
      <w:proofErr w:type="spellStart"/>
      <w:r w:rsidR="00292C93">
        <w:t>Allemang</w:t>
      </w:r>
      <w:proofErr w:type="spellEnd"/>
      <w:r w:rsidR="00292C93">
        <w:t xml:space="preserve">, Sitter, and </w:t>
      </w:r>
      <w:proofErr w:type="spellStart"/>
      <w:r w:rsidR="00292C93">
        <w:t>Dimitropoulos</w:t>
      </w:r>
      <w:proofErr w:type="spellEnd"/>
      <w:r w:rsidR="00292C93">
        <w:t>, 2022)</w:t>
      </w:r>
      <w:r w:rsidR="00A31429">
        <w:t xml:space="preserve"> while tying in the paradigm of systems leadership</w:t>
      </w:r>
      <w:r w:rsidR="00292C93">
        <w:t>.</w:t>
      </w:r>
    </w:p>
    <w:p w14:paraId="05453BFF" w14:textId="77777777" w:rsidR="00D774D2" w:rsidRDefault="00D774D2" w:rsidP="00D774D2">
      <w:pPr>
        <w:spacing w:after="0" w:line="240" w:lineRule="auto"/>
      </w:pPr>
    </w:p>
    <w:p w14:paraId="4C1B6A58" w14:textId="77777777" w:rsidR="00D774D2" w:rsidRDefault="00D774D2" w:rsidP="00D774D2">
      <w:pPr>
        <w:pStyle w:val="Heading3"/>
      </w:pPr>
      <w:bookmarkStart w:id="39" w:name="_Toc225937159"/>
      <w:r>
        <w:lastRenderedPageBreak/>
        <w:t>Health Professionals education and training needs</w:t>
      </w:r>
      <w:bookmarkEnd w:id="39"/>
    </w:p>
    <w:p w14:paraId="52CBA176" w14:textId="77777777" w:rsidR="00D774D2" w:rsidRDefault="00D774D2" w:rsidP="00D774D2">
      <w:pPr>
        <w:spacing w:after="0" w:line="240" w:lineRule="auto"/>
        <w:rPr>
          <w:i/>
          <w:iCs/>
        </w:rPr>
      </w:pPr>
    </w:p>
    <w:p w14:paraId="68FE107E" w14:textId="6620D220" w:rsidR="00D774D2" w:rsidRDefault="00D774D2" w:rsidP="00D774D2">
      <w:pPr>
        <w:spacing w:line="480" w:lineRule="auto"/>
      </w:pPr>
      <w:r>
        <w:t xml:space="preserve">As noted in the previous chapter, traditional classifications of health professionals are clinician centric, roles have </w:t>
      </w:r>
      <w:sdt>
        <w:sdtPr>
          <w:tag w:val="goog_rdk_5"/>
          <w:id w:val="791166091"/>
        </w:sdtPr>
        <w:sdtContent>
          <w:r>
            <w:t>expanded to meet patient needs. To define the ‘health professional</w:t>
          </w:r>
          <w:sdt>
            <w:sdtPr>
              <w:tag w:val="goog_rdk_3"/>
              <w:id w:val="141614563"/>
            </w:sdtPr>
            <w:sdtContent>
              <w:r>
                <w:t xml:space="preserve"> </w:t>
              </w:r>
            </w:sdtContent>
          </w:sdt>
          <w:sdt>
            <w:sdtPr>
              <w:tag w:val="goog_rdk_4"/>
              <w:id w:val="372004003"/>
            </w:sdtPr>
            <w:sdtContent/>
          </w:sdt>
        </w:sdtContent>
      </w:sdt>
      <w:sdt>
        <w:sdtPr>
          <w:tag w:val="goog_rdk_6"/>
          <w:id w:val="969720052"/>
        </w:sdtPr>
        <w:sdtContent>
          <w:r>
            <w:t xml:space="preserve"> the expanded International Standard Classification of Occupations (WHO, 2008) was used</w:t>
          </w:r>
          <w:r w:rsidRPr="0033047A">
            <w:t xml:space="preserve"> </w:t>
          </w:r>
          <w:r>
            <w:t xml:space="preserve">(ILO 2008; WHO 2010, as cited in WHO, 2013. </w:t>
          </w:r>
        </w:sdtContent>
      </w:sdt>
      <w:r>
        <w:t xml:space="preserve"> This scoping review uses the term ‘health professional’, which is meant to be inclusive of ‘health worker’, ‘health practitioner’, ‘health personnel’, and supporting positions, although these terms may have slightly different definitions. In addition, health professionals are those that work in a ‘healthcare’ environment, in a variety of settings, including traditional facilities and community services. For the purposes of continuity of terminology, ‘health’ is used synonymously to the term ‘healthcare’.</w:t>
      </w:r>
    </w:p>
    <w:p w14:paraId="75CBAFCD" w14:textId="61459504" w:rsidR="00D774D2" w:rsidRDefault="00D774D2" w:rsidP="00D774D2">
      <w:pPr>
        <w:spacing w:line="480" w:lineRule="auto"/>
      </w:pPr>
      <w:r>
        <w:t>Climate change is generally acknowledged by health professionals and there is recognition of the importance of addressing challenges in a professional capacity. However, barriers such as time constraints exist (</w:t>
      </w:r>
      <w:proofErr w:type="spellStart"/>
      <w:r>
        <w:t>Kotcher</w:t>
      </w:r>
      <w:proofErr w:type="spellEnd"/>
      <w:r>
        <w:t xml:space="preserve">, et al., 2021) that impact health professional’s capacity. Similarly, Chi et al. (2024), found time constraints and lack of knowledge led to only 19% of Australian </w:t>
      </w:r>
      <w:sdt>
        <w:sdtPr>
          <w:tag w:val="goog_rdk_7"/>
          <w:id w:val="-1974830226"/>
        </w:sdtPr>
        <w:sdtContent>
          <w:r>
            <w:t>p</w:t>
          </w:r>
        </w:sdtContent>
      </w:sdt>
      <w:r>
        <w:t>hysiotherapist</w:t>
      </w:r>
      <w:sdt>
        <w:sdtPr>
          <w:tag w:val="goog_rdk_9"/>
          <w:id w:val="-263746690"/>
        </w:sdtPr>
        <w:sdtContent>
          <w:r>
            <w:t>s</w:t>
          </w:r>
        </w:sdtContent>
      </w:sdt>
      <w:r>
        <w:t xml:space="preserve"> feeling very knowledgeable on climate change and health topics.</w:t>
      </w:r>
      <w:r w:rsidR="00D8283E" w:rsidRPr="00D8283E">
        <w:t xml:space="preserve"> </w:t>
      </w:r>
      <w:r w:rsidR="00D8283E">
        <w:t xml:space="preserve">Varied success has been achieved in terms of integrating CHCC into existing curriculum at medical schools (Maxwell and </w:t>
      </w:r>
      <w:proofErr w:type="spellStart"/>
      <w:r w:rsidR="00D8283E">
        <w:t>Blashki</w:t>
      </w:r>
      <w:proofErr w:type="spellEnd"/>
      <w:r w:rsidR="00D8283E">
        <w:t>, 2016</w:t>
      </w:r>
      <w:r w:rsidR="00846888">
        <w:t>; Visser, et al., 2024</w:t>
      </w:r>
      <w:r w:rsidR="00D8283E">
        <w:t>), Doctor of Nursing programs (Quinn Griffin, et al., 2022) and pharmacy schools (Chen, et al., 2023).</w:t>
      </w:r>
    </w:p>
    <w:p w14:paraId="2224393F" w14:textId="77777777" w:rsidR="00D774D2" w:rsidRDefault="00D774D2" w:rsidP="00D774D2">
      <w:pPr>
        <w:spacing w:line="480" w:lineRule="auto"/>
      </w:pPr>
      <w:r>
        <w:t xml:space="preserve">Lack of knowledge has been found to be a significant barrier to </w:t>
      </w:r>
      <w:sdt>
        <w:sdtPr>
          <w:tag w:val="goog_rdk_10"/>
          <w:id w:val="-2145206993"/>
        </w:sdtPr>
        <w:sdtContent>
          <w:sdt>
            <w:sdtPr>
              <w:tag w:val="goog_rdk_11"/>
              <w:id w:val="-152729797"/>
            </w:sdtPr>
            <w:sdtContent>
              <w:r>
                <w:t>communicating</w:t>
              </w:r>
            </w:sdtContent>
          </w:sdt>
        </w:sdtContent>
      </w:sdt>
      <w:r>
        <w:t xml:space="preserve"> climate change health impacts within health professional groups (</w:t>
      </w:r>
      <w:proofErr w:type="spellStart"/>
      <w:r>
        <w:t>Kotcher</w:t>
      </w:r>
      <w:proofErr w:type="spellEnd"/>
      <w:r>
        <w:t>, et al., 2021). Despite there being a historical dearth of CCHC training and education</w:t>
      </w:r>
      <w:sdt>
        <w:sdtPr>
          <w:tag w:val="goog_rdk_14"/>
          <w:id w:val="340898226"/>
        </w:sdtPr>
        <w:sdtContent>
          <w:r>
            <w:t>,</w:t>
          </w:r>
        </w:sdtContent>
      </w:sdt>
      <w:r>
        <w:t xml:space="preserve"> health professionals are motivated to learn (</w:t>
      </w:r>
      <w:proofErr w:type="spellStart"/>
      <w:r>
        <w:t>Cugini</w:t>
      </w:r>
      <w:proofErr w:type="spellEnd"/>
      <w:r>
        <w:t xml:space="preserve">, et al., 2023). Demand for further education has been well documented in recent years by health professional groups such a rehabilitation professional (Alexander, et al., 2019) and nurses </w:t>
      </w:r>
      <w:r>
        <w:lastRenderedPageBreak/>
        <w:t>(</w:t>
      </w:r>
      <w:proofErr w:type="spellStart"/>
      <w:r>
        <w:t>Iira</w:t>
      </w:r>
      <w:proofErr w:type="spellEnd"/>
      <w:r>
        <w:t>, et al., 2020). Empowerment of health professionals in environmentally sustainable practices has economic, social, health and environmental</w:t>
      </w:r>
      <w:r>
        <w:rPr>
          <w:rFonts w:ascii="Arial" w:eastAsia="Arial" w:hAnsi="Arial" w:cs="Arial"/>
        </w:rPr>
        <w:t xml:space="preserve"> </w:t>
      </w:r>
      <w:r>
        <w:t>benefits (</w:t>
      </w:r>
      <w:proofErr w:type="spellStart"/>
      <w:r>
        <w:t>Schwerdtle</w:t>
      </w:r>
      <w:proofErr w:type="spellEnd"/>
      <w:r>
        <w:t>, et al., 2019).</w:t>
      </w:r>
    </w:p>
    <w:p w14:paraId="4F9ECF79" w14:textId="77777777" w:rsidR="00D774D2" w:rsidRDefault="00D774D2" w:rsidP="00D774D2">
      <w:pPr>
        <w:spacing w:line="480" w:lineRule="auto"/>
      </w:pPr>
      <w:r>
        <w:t>High income countries such as Canada currently lack a national climate and health competency-based training framework. One of the barriers is the provincial oversight of the health system and regional variations to health service delivery within each province (Richmond, et al., 2021). However, programs are beginning to emerge through non-government agencies and postsecondary institutions. In contrast, the United States has several post-secondary continuing education opportunities that exist which focus on the health consequences of climate change, as described by Evans, et al. (2023). In addition, Australia has identified a need for health professionals to increase capacity and understanding to communicate and advocate knowledge (</w:t>
      </w:r>
      <w:proofErr w:type="spellStart"/>
      <w:r>
        <w:t>Bragge</w:t>
      </w:r>
      <w:proofErr w:type="spellEnd"/>
      <w:r>
        <w:t>, et al., 2021). As suggested by Wu et al. (2025), there is a critical need to ‘upskill’ the health workforce to better assess and plan for climate change health risks.</w:t>
      </w:r>
    </w:p>
    <w:p w14:paraId="1A8A35FE" w14:textId="77777777" w:rsidR="00D774D2" w:rsidRDefault="00D774D2" w:rsidP="00D774D2">
      <w:pPr>
        <w:spacing w:line="480" w:lineRule="auto"/>
      </w:pPr>
      <w:r>
        <w:t>The</w:t>
      </w:r>
      <w:sdt>
        <w:sdtPr>
          <w:tag w:val="goog_rdk_17"/>
          <w:id w:val="-117848836"/>
        </w:sdtPr>
        <w:sdtContent/>
      </w:sdt>
      <w:r>
        <w:t xml:space="preserve"> NHS in the UK has created an Environmentally Sustainable Healthcare Program (NHS England, 2025) along with several climate and health offerings that are publicly accessible. For example, “All our health: Climate Change” is an orientation to help clinicians prevent illness and protect health in the context of the changing climate (All Our Health, 2025). While this orientation is useful, it lacks details on many of the climate change and health topics and is not designed to be competency based. The literature was searched for similar scoping reviews without any specific to education and training initiatives that build competencies in health professionals being retrieved. </w:t>
      </w:r>
    </w:p>
    <w:p w14:paraId="43460D5E" w14:textId="06B83826" w:rsidR="00D774D2" w:rsidRDefault="00D774D2" w:rsidP="00D774D2">
      <w:pPr>
        <w:spacing w:line="480" w:lineRule="auto"/>
      </w:pPr>
      <w:r>
        <w:t xml:space="preserve">It's also important to note that third sector organisations have filled in training and education gaps. One example of this is the Center for Sustainable healthcare, which was set up by passionate health professionals and advocates of sustainability. In addition, Medical Schools Council in the UK has also designed a comprehensive framework to assist integration of sustainable healthcare </w:t>
      </w:r>
      <w:r>
        <w:lastRenderedPageBreak/>
        <w:t xml:space="preserve">into medical education. Other third sector organizations, specific to professional health bodies, have </w:t>
      </w:r>
      <w:r w:rsidR="00824053">
        <w:t>acted</w:t>
      </w:r>
      <w:r>
        <w:t xml:space="preserve"> and are setting up interest groups that advocate for sustainable approaches to healthcare, which include the Faculty of Public Health and College of General Practitioners. </w:t>
      </w:r>
    </w:p>
    <w:p w14:paraId="2E31990D" w14:textId="3829AE72" w:rsidR="00D774D2" w:rsidRDefault="00D774D2" w:rsidP="00D774D2">
      <w:pPr>
        <w:spacing w:line="480" w:lineRule="auto"/>
      </w:pPr>
      <w:r>
        <w:t>In addition, many studies have been published assessing the international climate and health curriculum at educational institutions which train health professionals (</w:t>
      </w:r>
      <w:proofErr w:type="spellStart"/>
      <w:r>
        <w:t>ie</w:t>
      </w:r>
      <w:proofErr w:type="spellEnd"/>
      <w:r>
        <w:t>. Nursing and medical schools). Shea et al. (2020), found in a survey of 84 health profession institutions that 63% offered education on climate health and that it was mostly well received by students. In a Swiss exploratory study, the authors (</w:t>
      </w:r>
      <w:proofErr w:type="spellStart"/>
      <w:r>
        <w:t>Dupraz</w:t>
      </w:r>
      <w:proofErr w:type="spellEnd"/>
      <w:r>
        <w:t xml:space="preserve"> and </w:t>
      </w:r>
      <w:proofErr w:type="spellStart"/>
      <w:r>
        <w:t>Burnhard</w:t>
      </w:r>
      <w:proofErr w:type="spellEnd"/>
      <w:r>
        <w:t>, 2021) found only two studies had reported an intervention and most articles were perspective based, commentaries or other special articles. An international mapping survey of 32 medical schools and 15 public health programs (</w:t>
      </w:r>
      <w:proofErr w:type="spellStart"/>
      <w:r>
        <w:t>Grojsman</w:t>
      </w:r>
      <w:proofErr w:type="spellEnd"/>
      <w:r>
        <w:t>, et al., 2020)</w:t>
      </w:r>
      <w:r w:rsidR="007D232B">
        <w:t>, across 108 countries,</w:t>
      </w:r>
      <w:r>
        <w:t xml:space="preserve"> indicated that 50% of medical schools and 13% of public health programs had yet to include climate change topics into curriculum. Furthermore, that of those requiring education over 60% of education initiatives were less than 15 contact hours. These finding points to the lack of primary studies reporting on climate and health education interventions, which demonstrates a need for further attention to this area.</w:t>
      </w:r>
    </w:p>
    <w:p w14:paraId="3FC95AAB" w14:textId="77777777" w:rsidR="00D774D2" w:rsidRDefault="00D774D2" w:rsidP="00D774D2">
      <w:pPr>
        <w:spacing w:line="480" w:lineRule="auto"/>
      </w:pPr>
      <w:r>
        <w:t xml:space="preserve">In a UK context, Bevan et al. (2023), reported on a national audit of CHHC education at 14 UK medical schools. The authors found disparities within the topics covered and a lack of standard learning outcomes. In a descriptive review of climate and health organisations researchers (Issa, et al., 2021) found that formal education programmes were accessible to health professionals. In a UK survey gauging professional and regulatory health organisations (Cooke, et al., 2022), findings indicated variations in the education and training domain. Only one of 11 organisations they studied had embedded planetary health into </w:t>
      </w:r>
      <w:sdt>
        <w:sdtPr>
          <w:tag w:val="goog_rdk_18"/>
          <w:id w:val="985711898"/>
        </w:sdtPr>
        <w:sdtContent>
          <w:r>
            <w:t xml:space="preserve">their </w:t>
          </w:r>
        </w:sdtContent>
      </w:sdt>
      <w:r>
        <w:t>curriculum and 8 had provided conference and webinar content on climate change to their professionals. Again, the specifics on the content curriculum content were not addressed, nor whether a competency framework was used.</w:t>
      </w:r>
    </w:p>
    <w:p w14:paraId="2AA82EE2" w14:textId="77777777" w:rsidR="00D774D2" w:rsidRDefault="00D774D2" w:rsidP="00D774D2">
      <w:pPr>
        <w:spacing w:line="480" w:lineRule="auto"/>
      </w:pPr>
      <w:r>
        <w:lastRenderedPageBreak/>
        <w:t>Overall, there is a porous nature of academic studies on CCHC topics that track outcomes and link to evidence the competency was achieved. This is exacerbated by a further lack of a collection of this evidence and how it interfaces with climate goals within health professions and overarching health system goals. For example, in a scoping review protocol paper led by</w:t>
      </w:r>
      <w:r>
        <w:rPr>
          <w:rFonts w:ascii="Arial" w:eastAsia="Arial" w:hAnsi="Arial" w:cs="Arial"/>
        </w:rPr>
        <w:t xml:space="preserve"> </w:t>
      </w:r>
      <w:r>
        <w:t>Diallo et al. (2022), the authors look at curriculum and other training methods on CCHC, however, focus on the health professional group of nursing and did not include climate change and health competency within their data extraction form. These studies, as described, did not look at specific interventions aligned to CCHC within health professionals. Lopez-Medina et al. (2019), completed a systematic review of published papers that reported on climate change and sustainability topics. These topics were specific to nurses and considered skills, competencies and pedagogical approaches needed to support the nursing professions response to climate change.</w:t>
      </w:r>
    </w:p>
    <w:p w14:paraId="111B6900" w14:textId="77777777" w:rsidR="00D774D2" w:rsidRDefault="00D774D2" w:rsidP="00D774D2">
      <w:pPr>
        <w:pStyle w:val="Heading3"/>
      </w:pPr>
      <w:bookmarkStart w:id="40" w:name="_Toc225937160"/>
      <w:r>
        <w:t xml:space="preserve">The emerging evidence </w:t>
      </w:r>
      <w:proofErr w:type="gramStart"/>
      <w:r>
        <w:t>gap</w:t>
      </w:r>
      <w:bookmarkEnd w:id="40"/>
      <w:proofErr w:type="gramEnd"/>
    </w:p>
    <w:p w14:paraId="6397D0C2" w14:textId="435FE974" w:rsidR="00D774D2" w:rsidRDefault="00D774D2" w:rsidP="00D774D2">
      <w:pPr>
        <w:spacing w:line="480" w:lineRule="auto"/>
      </w:pPr>
      <w:r>
        <w:t xml:space="preserve">A preliminary search of OVID MEDLINE, Embase and CINAHL was conducted and no current or underway systematic reviews or scoping reviews on </w:t>
      </w:r>
      <w:r w:rsidR="008C6F81">
        <w:t xml:space="preserve">the integration of climate and health competencies for health professionals </w:t>
      </w:r>
      <w:r>
        <w:t xml:space="preserve">were identified as of April 2024. Given the lack of focus on </w:t>
      </w:r>
      <w:r w:rsidR="008C6F81">
        <w:t xml:space="preserve">the integration of CCHC and health professionals </w:t>
      </w:r>
      <w:r>
        <w:t xml:space="preserve">following a systematic search of literature, this scoping review was undertaken. To gain competence in health and climate topics, health professionals’ education must incorporate </w:t>
      </w:r>
      <w:r w:rsidR="008C6F81">
        <w:t xml:space="preserve">competencies as outlined in Sorensen et al. (2025) and </w:t>
      </w:r>
      <w:proofErr w:type="spellStart"/>
      <w:r w:rsidR="008C6F81">
        <w:t>Jagals</w:t>
      </w:r>
      <w:proofErr w:type="spellEnd"/>
      <w:r w:rsidR="008C6F81">
        <w:t xml:space="preserve"> and </w:t>
      </w:r>
      <w:proofErr w:type="spellStart"/>
      <w:r w:rsidR="008C6F81">
        <w:t>Ebi</w:t>
      </w:r>
      <w:proofErr w:type="spellEnd"/>
      <w:r w:rsidR="008C6F81">
        <w:t xml:space="preserve"> (2021)</w:t>
      </w:r>
      <w:r>
        <w:t>. If health and climate education do not increase competency in these topics, health professionals and Leaders will be unable to successfully navigate their health systems through the climate change crisis.</w:t>
      </w:r>
    </w:p>
    <w:p w14:paraId="52307F50" w14:textId="77777777" w:rsidR="00D774D2" w:rsidRDefault="00D774D2" w:rsidP="00D774D2">
      <w:pPr>
        <w:pStyle w:val="Heading2"/>
      </w:pPr>
      <w:bookmarkStart w:id="41" w:name="_Toc225937161"/>
      <w:r>
        <w:lastRenderedPageBreak/>
        <w:t>Methods</w:t>
      </w:r>
      <w:bookmarkEnd w:id="41"/>
    </w:p>
    <w:p w14:paraId="2990FBED" w14:textId="77777777" w:rsidR="00D774D2" w:rsidRDefault="00D774D2" w:rsidP="00D774D2">
      <w:pPr>
        <w:pStyle w:val="Heading3"/>
      </w:pPr>
      <w:bookmarkStart w:id="42" w:name="_Toc225937162"/>
      <w:r>
        <w:t>Inclusion Criteria</w:t>
      </w:r>
      <w:bookmarkEnd w:id="42"/>
    </w:p>
    <w:p w14:paraId="14C9943D" w14:textId="20AFB66D" w:rsidR="00780EF1" w:rsidRDefault="00D774D2" w:rsidP="00D774D2">
      <w:pPr>
        <w:spacing w:line="480" w:lineRule="auto"/>
      </w:pPr>
      <w:r>
        <w:t>The question guiding this scoping review is: Have CCHC been integrated into health professionals</w:t>
      </w:r>
      <w:r w:rsidR="00780EF1">
        <w:t>’</w:t>
      </w:r>
      <w:r>
        <w:t xml:space="preserve"> training in high income countries and to what extent are leaders participating in education interventions</w:t>
      </w:r>
      <w:r w:rsidR="001F74DF">
        <w:t>?</w:t>
      </w:r>
      <w:r>
        <w:t xml:space="preserve"> Studies or reports including all types of health professional were included in this scoping review. </w:t>
      </w:r>
      <w:r w:rsidR="00780EF1">
        <w:t>Criteria included:</w:t>
      </w:r>
      <w:r>
        <w:t xml:space="preserve"> </w:t>
      </w:r>
    </w:p>
    <w:p w14:paraId="41503F05" w14:textId="75595221" w:rsidR="00780EF1" w:rsidRDefault="00780EF1" w:rsidP="00780EF1">
      <w:pPr>
        <w:pStyle w:val="ListParagraph"/>
        <w:numPr>
          <w:ilvl w:val="0"/>
          <w:numId w:val="7"/>
        </w:numPr>
        <w:spacing w:line="480" w:lineRule="auto"/>
      </w:pPr>
      <w:r>
        <w:t>M</w:t>
      </w:r>
      <w:r w:rsidR="00D774D2">
        <w:t>idwives, surgeons, radiographers, paramedics, health support and auxiliary staff, health consultants, all physicians and nursing groups</w:t>
      </w:r>
      <w:r>
        <w:t>.</w:t>
      </w:r>
      <w:r w:rsidR="00D774D2">
        <w:t xml:space="preserve"> </w:t>
      </w:r>
    </w:p>
    <w:p w14:paraId="6842EF4A" w14:textId="5E4871DA" w:rsidR="00780EF1" w:rsidRDefault="00D774D2" w:rsidP="00780EF1">
      <w:pPr>
        <w:pStyle w:val="ListParagraph"/>
        <w:numPr>
          <w:ilvl w:val="0"/>
          <w:numId w:val="7"/>
        </w:numPr>
        <w:spacing w:line="480" w:lineRule="auto"/>
      </w:pPr>
      <w:r>
        <w:t xml:space="preserve">Administration staff included those managing and/or leading health </w:t>
      </w:r>
      <w:r w:rsidR="00824053">
        <w:t>organisations.</w:t>
      </w:r>
      <w:r>
        <w:t xml:space="preserve"> </w:t>
      </w:r>
    </w:p>
    <w:p w14:paraId="440A0346" w14:textId="009AC283" w:rsidR="00780EF1" w:rsidRDefault="00780EF1" w:rsidP="00780EF1">
      <w:pPr>
        <w:pStyle w:val="ListParagraph"/>
        <w:numPr>
          <w:ilvl w:val="0"/>
          <w:numId w:val="7"/>
        </w:numPr>
        <w:spacing w:line="480" w:lineRule="auto"/>
      </w:pPr>
      <w:r>
        <w:t>Those working in any health environment (hospital or community service) and any context (urban, suburban, rural, and remote).</w:t>
      </w:r>
    </w:p>
    <w:p w14:paraId="3A1D8119" w14:textId="599A0ED4" w:rsidR="00D774D2" w:rsidRDefault="00D774D2" w:rsidP="00824053">
      <w:pPr>
        <w:spacing w:line="480" w:lineRule="auto"/>
        <w:ind w:left="360"/>
      </w:pPr>
      <w:r>
        <w:t>The overall categorization of roles was formed using the International Standard Classification of Occupations (WHO, 2019) and categories within the Institute of Medicine’s definition (2011). This group was inclusive of Health professions supporting nonhuman health were not included.</w:t>
      </w:r>
    </w:p>
    <w:p w14:paraId="18EE794C" w14:textId="60AFCBDE" w:rsidR="00D774D2" w:rsidRDefault="00D774D2" w:rsidP="00D774D2">
      <w:pPr>
        <w:pStyle w:val="Heading3"/>
      </w:pPr>
      <w:bookmarkStart w:id="43" w:name="_Toc225937163"/>
      <w:r>
        <w:t>Concept</w:t>
      </w:r>
      <w:bookmarkEnd w:id="43"/>
      <w:r w:rsidR="009951B4">
        <w:t xml:space="preserve"> of Interventions</w:t>
      </w:r>
    </w:p>
    <w:p w14:paraId="0FB00A97" w14:textId="330FEB2B" w:rsidR="00D774D2" w:rsidRDefault="00D774D2" w:rsidP="00D774D2">
      <w:pPr>
        <w:spacing w:line="480" w:lineRule="auto"/>
      </w:pPr>
      <w:r>
        <w:t xml:space="preserve">The changing climate and health education interventions aimed at health professionals were included in this review, which includes those health leader </w:t>
      </w:r>
      <w:r w:rsidR="00824053">
        <w:t>positions.</w:t>
      </w:r>
      <w:r w:rsidR="009951B4">
        <w:t xml:space="preserve"> </w:t>
      </w:r>
      <w:r>
        <w:t xml:space="preserve"> More specifically, any intervention leading to an organized attempt to transfer knowledge. Interventions included sustainable health practices in the context of climate change, as several studies fused sustainability and climate change topics. The interventions deployed were then assessed whether they included competencies within selected CCHC frameworks. These frameworks include the Global Consortium on Climate and Health Education core concepts (Sorensen, et al., 2025) and </w:t>
      </w:r>
      <w:proofErr w:type="spellStart"/>
      <w:r>
        <w:t>Jagals</w:t>
      </w:r>
      <w:proofErr w:type="spellEnd"/>
      <w:r>
        <w:t xml:space="preserve"> and </w:t>
      </w:r>
      <w:proofErr w:type="spellStart"/>
      <w:r>
        <w:t>Ebi’s</w:t>
      </w:r>
      <w:proofErr w:type="spellEnd"/>
      <w:r>
        <w:t xml:space="preserve"> (2021) core competencies for health workers to deal with climate and </w:t>
      </w:r>
      <w:r>
        <w:lastRenderedPageBreak/>
        <w:t xml:space="preserve">environmental change. The frameworks provide competency domains, (GCCHE- 5; </w:t>
      </w:r>
      <w:proofErr w:type="spellStart"/>
      <w:r>
        <w:t>Jagals</w:t>
      </w:r>
      <w:proofErr w:type="spellEnd"/>
      <w:r>
        <w:t xml:space="preserve"> and </w:t>
      </w:r>
      <w:proofErr w:type="spellStart"/>
      <w:r>
        <w:t>Ebi</w:t>
      </w:r>
      <w:proofErr w:type="spellEnd"/>
      <w:r>
        <w:t>- 6) that are further broken down into competencies. While other frameworks have been developed, by groups such as the Canadian Association of Nurses for the Environment (2024), the Canadian Federation of Medical Students (2023), The Association of Schools</w:t>
      </w:r>
      <w:r>
        <w:rPr>
          <w:rFonts w:ascii="Arial" w:eastAsia="Arial" w:hAnsi="Arial" w:cs="Arial"/>
          <w:color w:val="000000"/>
        </w:rPr>
        <w:t xml:space="preserve"> </w:t>
      </w:r>
      <w:r>
        <w:t>of Public Health in the European region (2025), they were either not specific to CCHC competencies or applicable to general health professionals. Climate and health domains were scanned within the curriculum outlines, supplementary materials or assessing curriculum available on university or organisation websites. This approach allowed to identify if the competency was included in the material, however, did not consider if the competency was achieved.</w:t>
      </w:r>
    </w:p>
    <w:p w14:paraId="6F92FC3F" w14:textId="77777777" w:rsidR="00D774D2" w:rsidRDefault="00D774D2" w:rsidP="00D774D2">
      <w:pPr>
        <w:pStyle w:val="Heading3"/>
      </w:pPr>
      <w:bookmarkStart w:id="44" w:name="_Toc225937164"/>
      <w:r>
        <w:t>Context</w:t>
      </w:r>
      <w:bookmarkEnd w:id="44"/>
    </w:p>
    <w:p w14:paraId="74E40255" w14:textId="77777777" w:rsidR="00D774D2" w:rsidRDefault="00D774D2" w:rsidP="00D774D2">
      <w:pPr>
        <w:spacing w:line="480" w:lineRule="auto"/>
      </w:pPr>
      <w:r>
        <w:t>Included in this study were high income countries that have similar levels of resourcing to advance climate and health topics within health professional groups. Interventions that occurred in health professional education setting (undergraduate, graduate, continuing education, training), workplace, association, or conference also included. Information on initiatives and interventions at the health organisational level were difficult to retrieve as organisations either did not have records of the intervention or were unwilling to disclose.</w:t>
      </w:r>
    </w:p>
    <w:p w14:paraId="6A3A640C" w14:textId="77777777" w:rsidR="00D774D2" w:rsidRDefault="00D774D2" w:rsidP="00D774D2">
      <w:pPr>
        <w:pStyle w:val="Heading3"/>
      </w:pPr>
      <w:bookmarkStart w:id="45" w:name="_Toc225937165"/>
      <w:r>
        <w:t>Types of sources</w:t>
      </w:r>
      <w:bookmarkEnd w:id="45"/>
    </w:p>
    <w:p w14:paraId="5D1D1339" w14:textId="2A30CD7C" w:rsidR="00D774D2" w:rsidRDefault="00D774D2" w:rsidP="00D774D2">
      <w:pPr>
        <w:spacing w:line="480" w:lineRule="auto"/>
      </w:pPr>
      <w:r>
        <w:t xml:space="preserve">This scoping review considered primary research articles related to CCHC interventions. This included those occurring within Health Professional academic </w:t>
      </w:r>
      <w:r w:rsidR="009951B4">
        <w:t>courses</w:t>
      </w:r>
      <w:r>
        <w:t>, government programs targeted at health professionals, association meetings or conferences and health organisations. Qualitative studies were also considered that focused on qualitative data including, but not limited to, qualitative description, cohort studies, and educational intervention studies. Any type of review presented in the literature was not included in this scoping review.</w:t>
      </w:r>
    </w:p>
    <w:p w14:paraId="3F775D01" w14:textId="77777777" w:rsidR="00D774D2" w:rsidRDefault="00D774D2" w:rsidP="00D774D2">
      <w:pPr>
        <w:pStyle w:val="Heading3"/>
      </w:pPr>
      <w:bookmarkStart w:id="46" w:name="_Toc225937166"/>
      <w:r>
        <w:lastRenderedPageBreak/>
        <w:t>Search strategy</w:t>
      </w:r>
      <w:bookmarkEnd w:id="46"/>
    </w:p>
    <w:p w14:paraId="6137CD66" w14:textId="77777777" w:rsidR="00D774D2" w:rsidRDefault="00D774D2" w:rsidP="00D774D2">
      <w:pPr>
        <w:spacing w:line="480" w:lineRule="auto"/>
      </w:pPr>
      <w:r>
        <w:t>The scoping review was conducted in accordance with the JBI methodology for scoping reviews (Peters, et al., 2020). Prior to the undertaking of the search for the scoping review a search was conducted</w:t>
      </w:r>
      <w:r>
        <w:rPr>
          <w:rFonts w:ascii="Arial" w:eastAsia="Arial" w:hAnsi="Arial" w:cs="Arial"/>
        </w:rPr>
        <w:t xml:space="preserve"> </w:t>
      </w:r>
      <w:r>
        <w:t xml:space="preserve">for applicable frameworks that were specific to competencies relevant to all health professionals and CHS. In total five frameworks were reviewed for relevance, with two meeting the above criteria. Frameworks provided in Sorensen et al. (2025), and </w:t>
      </w:r>
      <w:proofErr w:type="spellStart"/>
      <w:r>
        <w:t>Jagals</w:t>
      </w:r>
      <w:proofErr w:type="spellEnd"/>
      <w:r>
        <w:t xml:space="preserve"> and </w:t>
      </w:r>
      <w:proofErr w:type="spellStart"/>
      <w:r>
        <w:t>Ebi</w:t>
      </w:r>
      <w:proofErr w:type="spellEnd"/>
      <w:r>
        <w:t xml:space="preserve"> (2021) were then truncated into high level CCHC domains, from which articles were assessed against.</w:t>
      </w:r>
    </w:p>
    <w:p w14:paraId="34CF9A52" w14:textId="77777777" w:rsidR="00D774D2" w:rsidRDefault="00D774D2" w:rsidP="00D774D2">
      <w:pPr>
        <w:spacing w:line="480" w:lineRule="auto"/>
      </w:pPr>
      <w:r>
        <w:t>As cautioned by Peters et al. (2020), many scoping reviews are conducted without demonstrating the use of methodological guidance, which was taken into consideration. Subsequently, the Preferred Reporting Items for Systematic Reviews and Meta-Analysis’ Extension for Scoping Reviews was utilized (</w:t>
      </w:r>
      <w:proofErr w:type="spellStart"/>
      <w:r>
        <w:t>Tricco</w:t>
      </w:r>
      <w:proofErr w:type="spellEnd"/>
      <w:r>
        <w:t xml:space="preserve">, et al., 2018). As described by </w:t>
      </w:r>
      <w:proofErr w:type="spellStart"/>
      <w:r>
        <w:t>Tricco</w:t>
      </w:r>
      <w:proofErr w:type="spellEnd"/>
      <w:r>
        <w:t xml:space="preserve"> et al. (2016), in essence this scoping review informs future research and the gaps in knowledge.</w:t>
      </w:r>
    </w:p>
    <w:p w14:paraId="1B601495" w14:textId="2D47E1AB" w:rsidR="00D774D2" w:rsidRDefault="00D774D2" w:rsidP="00D774D2">
      <w:pPr>
        <w:spacing w:line="480" w:lineRule="auto"/>
      </w:pPr>
      <w:r>
        <w:t xml:space="preserve">The search strategy aimed to locate both published, unpublished studies and grey literature, including reports and conference proceedings. A three-step search strategy was utilized in this review. First an initial limited search of MEDLINE (PubMed) was undertaken to identify scoping articles and systematic reviews on the topic. Keywords contained in the titles and abstracts of relevant articles were noted, and the index terms used to describe the articles were used to develop a full search strategy for Ovid Medline, including exploding terms for similar phrases and further search reach </w:t>
      </w:r>
      <w:r>
        <w:rPr>
          <w:i/>
          <w:iCs/>
        </w:rPr>
        <w:t>(see Appendix #1</w:t>
      </w:r>
      <w:r>
        <w:t>). Secondly, the search strategy, including all identified keywords and index terms, was then adapted for Embase (Ovid) and CINAHL.</w:t>
      </w:r>
    </w:p>
    <w:p w14:paraId="500254F8" w14:textId="7C46D6C4" w:rsidR="00D774D2" w:rsidRDefault="00D774D2" w:rsidP="00D774D2">
      <w:pPr>
        <w:spacing w:line="480" w:lineRule="auto"/>
      </w:pPr>
      <w:r>
        <w:t xml:space="preserve">Search terms were also adapted in a google scholar search for reports on health organisation CCHC interventions or program reports from universities and government programs. Extensive searches were also conducted on health leader (administrator, manager, executive), with no </w:t>
      </w:r>
      <w:r>
        <w:lastRenderedPageBreak/>
        <w:t>results retrieved that met inclusion criteria. Several university continuing education programs were identified and reviewed, however did not meet the inclusion criteria as they were not primary studies. Health services reports were not located on CCHC interventions, excluding studies that were conducted within health organisations in the initial search. Healthcare</w:t>
      </w:r>
      <w:r>
        <w:rPr>
          <w:rFonts w:ascii="Arial" w:eastAsia="Arial" w:hAnsi="Arial" w:cs="Arial"/>
          <w:color w:val="000000"/>
        </w:rPr>
        <w:t xml:space="preserve"> </w:t>
      </w:r>
      <w:r w:rsidR="00780EF1">
        <w:t>emergency management practitioners across</w:t>
      </w:r>
      <w:r>
        <w:t xml:space="preserve"> Canada, were contacted </w:t>
      </w:r>
      <w:r w:rsidR="00780EF1">
        <w:t xml:space="preserve">by e-mail as part of the search strategy requesting grey literature on CCHC interventions. This however yielded no </w:t>
      </w:r>
      <w:r w:rsidR="00824053">
        <w:t>results.</w:t>
      </w:r>
      <w:r>
        <w:t xml:space="preserve"> This may be due to the novel nature of CCHC interventions. Thirdly, the references list of all included sources of evidence was screened for additional studies. Finally, search strategy was peer reviewed by two information specialists at the University of Sheffield. Expert outreach to university curriculum designers was also completed along with citation mining and reference review.</w:t>
      </w:r>
    </w:p>
    <w:p w14:paraId="04829AD2" w14:textId="43AE819D" w:rsidR="00D774D2" w:rsidRDefault="00D774D2" w:rsidP="00D774D2">
      <w:pPr>
        <w:spacing w:line="480" w:lineRule="auto"/>
      </w:pPr>
      <w:r>
        <w:t>Studies published in the English language were included, given time limitations of the scoping review. A quality assessment of the literature was conducted in accordance with best practices in conducting scoping reviews (Khalil, et al., 2021). Searches were also screened for primary studies occurring in middle to low-income countries</w:t>
      </w:r>
      <w:r w:rsidR="00780EF1">
        <w:t xml:space="preserve">, as they did not meet the </w:t>
      </w:r>
      <w:r w:rsidR="00824053">
        <w:t>high-income</w:t>
      </w:r>
      <w:r w:rsidR="00780EF1">
        <w:t xml:space="preserve"> country criteria</w:t>
      </w:r>
      <w:r>
        <w:t>. To assist with categorizing country status the World Bank’s classification system (2023), which is a common system used to distinguish economic status was used. This system is based upon the Atlas methodology, or gross national income per capita. Studies were included in the scoping review from the beginning of 2015 to April 18th, 2024.</w:t>
      </w:r>
    </w:p>
    <w:p w14:paraId="217A0CE8" w14:textId="77777777" w:rsidR="00D774D2" w:rsidRDefault="00D774D2" w:rsidP="00D774D2">
      <w:pPr>
        <w:spacing w:line="480" w:lineRule="auto"/>
      </w:pPr>
      <w:r>
        <w:t>Studies published since 2015 were included following the Paris agreement, which spurred a “Call to Action on Climate and Health” in 2018 by the Global Climate and Health Alliance (</w:t>
      </w:r>
      <w:proofErr w:type="spellStart"/>
      <w:r>
        <w:t>Maibach</w:t>
      </w:r>
      <w:proofErr w:type="spellEnd"/>
      <w:r>
        <w:t xml:space="preserve">, 2021). While studies predate 2015, published articles on climate change and environmental sustainability themes have increased substantially over the past decade (Brennan and Madden, 2023). Considering as well that many health professional bodies have called for climate action since 2015, a decision was made to include articles post 2014. In addition, three of the more </w:t>
      </w:r>
      <w:r>
        <w:lastRenderedPageBreak/>
        <w:t xml:space="preserve">prominent toolkits for hospitals and healthcare facilities were developed post 2014. </w:t>
      </w:r>
      <w:proofErr w:type="spellStart"/>
      <w:r>
        <w:t>Balbus</w:t>
      </w:r>
      <w:proofErr w:type="spellEnd"/>
      <w:r>
        <w:t xml:space="preserve"> et al. (2016) provide a useful comparison of the toolkits which includes: The Canadian Coalition for Green Health Care, 2016, National Oceanic and Atmospheric Administration, 2016, and Pan American Health Organisation (as cited in </w:t>
      </w:r>
      <w:proofErr w:type="spellStart"/>
      <w:r>
        <w:t>Balbus</w:t>
      </w:r>
      <w:proofErr w:type="spellEnd"/>
      <w:r>
        <w:t>, 2023). The toolkits were developed to provide health leaders and health</w:t>
      </w:r>
      <w:r>
        <w:rPr>
          <w:rFonts w:ascii="Arial" w:eastAsia="Arial" w:hAnsi="Arial" w:cs="Arial"/>
        </w:rPr>
        <w:t xml:space="preserve"> </w:t>
      </w:r>
      <w:r>
        <w:t>professionals with guidance on how to design initiatives related to sustain and climate resilient health care at the facility level.</w:t>
      </w:r>
    </w:p>
    <w:p w14:paraId="624DF6F9" w14:textId="77777777" w:rsidR="00D774D2" w:rsidRDefault="00D774D2" w:rsidP="00D774D2">
      <w:pPr>
        <w:pStyle w:val="Heading3"/>
      </w:pPr>
      <w:bookmarkStart w:id="47" w:name="_Toc225937167"/>
      <w:r>
        <w:t>Study/Source of evidence selection</w:t>
      </w:r>
      <w:bookmarkEnd w:id="47"/>
    </w:p>
    <w:p w14:paraId="64088E5D" w14:textId="14AC0B17" w:rsidR="00D774D2" w:rsidRDefault="00D774D2" w:rsidP="00D774D2">
      <w:pPr>
        <w:spacing w:line="480" w:lineRule="auto"/>
      </w:pPr>
      <w:r>
        <w:t>Following the search, all identified citations were collated and uploaded into Microsoft Excel. Duplicates were then visually identified and removed (n=243). Following a pilot test, titles and abstracts were then screened by two independent reviewers for assessment against the inclusion criteria for the review. Sources that met all the screening criteria based on the title and abstract were then marked as a “1”. Potentially relevant sources were identified using a category “2” marker. The full text of selected citations was then assessed in detail against the inclusion criteria by two or more independent reviewers. Reasons for exclusion of sources of evidence at full text that do not meet the inclusion criteria were recorded and reported in the scoping review (see Prisma flow chart). Any disagreements that arose between the reviewers at each stage of the selection process were resolved through discussion. Once “1” and “</w:t>
      </w:r>
      <w:r w:rsidR="00824053">
        <w:t>2” s</w:t>
      </w:r>
      <w:r>
        <w:t xml:space="preserve"> had been screened, reviewer one retrieved the articles in full text and completed a review for inclusion. In total 30 results met all inclusion criteria. The results of the search and the study inclusion process are reported in full and presented in a PRISMA flow diagram below.</w:t>
      </w:r>
    </w:p>
    <w:p w14:paraId="374A72CF" w14:textId="77777777" w:rsidR="00D774D2" w:rsidRDefault="00D774D2" w:rsidP="00D774D2">
      <w:pPr>
        <w:pStyle w:val="Heading3"/>
      </w:pPr>
      <w:bookmarkStart w:id="48" w:name="_Toc225937168"/>
      <w:r>
        <w:lastRenderedPageBreak/>
        <w:t>Table 1: PRISMA Flow Diagram</w:t>
      </w:r>
      <w:bookmarkEnd w:id="48"/>
    </w:p>
    <w:p w14:paraId="3E232DB1" w14:textId="77777777" w:rsidR="00D774D2" w:rsidRDefault="00D774D2" w:rsidP="00D774D2">
      <w:r>
        <w:rPr>
          <w:noProof/>
        </w:rPr>
        <w:drawing>
          <wp:inline distT="0" distB="0" distL="0" distR="0" wp14:anchorId="350FE7F5" wp14:editId="15FA1BBC">
            <wp:extent cx="4298965" cy="5324606"/>
            <wp:effectExtent l="0" t="0" r="0" b="0"/>
            <wp:docPr id="2119097655" name="image2.png" descr="A screenshot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2119097655" name="image2.png" descr="A screenshot of a diagram&#10;&#10;AI-generated content may be incorrect."/>
                    <pic:cNvPicPr preferRelativeResize="0"/>
                  </pic:nvPicPr>
                  <pic:blipFill>
                    <a:blip r:embed="rId8"/>
                    <a:srcRect/>
                    <a:stretch>
                      <a:fillRect/>
                    </a:stretch>
                  </pic:blipFill>
                  <pic:spPr>
                    <a:xfrm>
                      <a:off x="0" y="0"/>
                      <a:ext cx="4298965" cy="5324606"/>
                    </a:xfrm>
                    <a:prstGeom prst="rect">
                      <a:avLst/>
                    </a:prstGeom>
                    <a:ln/>
                  </pic:spPr>
                </pic:pic>
              </a:graphicData>
            </a:graphic>
          </wp:inline>
        </w:drawing>
      </w:r>
    </w:p>
    <w:p w14:paraId="669CA582" w14:textId="568CDACB" w:rsidR="00D774D2" w:rsidRDefault="00D774D2" w:rsidP="00D774D2">
      <w:pPr>
        <w:spacing w:line="480" w:lineRule="auto"/>
      </w:pPr>
      <w:r>
        <w:t>Data was extracted from papers by one reviewer. Given the nature of the scoping review this approach allowed for great consistency. The extraction tool (built in MS Excel) was also developed by the primary reviewer prior to the secondary screening phase. The data extracted form included specific details about the participants, concept, context, study methods and key findings relevant to the review question.</w:t>
      </w:r>
      <w:r w:rsidR="005A04F8">
        <w:t xml:space="preserve"> Literature reviewer software, such as Covidence, was not utilized based on the </w:t>
      </w:r>
      <w:r w:rsidR="00824053">
        <w:t>reviewer’s</w:t>
      </w:r>
      <w:r w:rsidR="005A04F8">
        <w:t xml:space="preserve"> lack of familiarity.</w:t>
      </w:r>
    </w:p>
    <w:p w14:paraId="22864DA3" w14:textId="77777777" w:rsidR="00D774D2" w:rsidRDefault="00D774D2" w:rsidP="00D774D2">
      <w:pPr>
        <w:spacing w:line="480" w:lineRule="auto"/>
      </w:pPr>
      <w:r>
        <w:lastRenderedPageBreak/>
        <w:t>A draft extraction form is provided (see Appendix 2) and was used to capture fields required for the scoping review. The draft data extraction tool was modified and revised as necessary during the process of extracting data from each included evidence source. Whether materials were provided (website links) was added in the notes section of the form. In addition, duration of the intervention was added to allow for a temporal aspect of the scoping review. Missing data was noted as in the form following an extensive review of each source. It was decided not to contact authors of papers directly to request missing or additional data, given time constraints.</w:t>
      </w:r>
    </w:p>
    <w:p w14:paraId="155D1ECA" w14:textId="77777777" w:rsidR="00D774D2" w:rsidRDefault="00D774D2" w:rsidP="00D774D2">
      <w:pPr>
        <w:pStyle w:val="Heading3"/>
      </w:pPr>
      <w:bookmarkStart w:id="49" w:name="_Toc225937169"/>
      <w:r>
        <w:t>Figure 1: Distribution of studies by number and country</w:t>
      </w:r>
      <w:bookmarkEnd w:id="49"/>
    </w:p>
    <w:p w14:paraId="3072E42E" w14:textId="77777777" w:rsidR="00D774D2" w:rsidRDefault="00D774D2" w:rsidP="00D774D2">
      <w:r>
        <w:rPr>
          <w:noProof/>
        </w:rPr>
        <w:drawing>
          <wp:inline distT="0" distB="0" distL="0" distR="0" wp14:anchorId="1659AD5F" wp14:editId="095CC180">
            <wp:extent cx="5943600" cy="3953510"/>
            <wp:effectExtent l="0" t="0" r="0" b="0"/>
            <wp:docPr id="21190976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943600" cy="3953510"/>
                    </a:xfrm>
                    <a:prstGeom prst="rect">
                      <a:avLst/>
                    </a:prstGeom>
                    <a:ln/>
                  </pic:spPr>
                </pic:pic>
              </a:graphicData>
            </a:graphic>
          </wp:inline>
        </w:drawing>
      </w:r>
    </w:p>
    <w:p w14:paraId="42A88669" w14:textId="77777777" w:rsidR="00D774D2" w:rsidRDefault="00D774D2" w:rsidP="00D774D2">
      <w:pPr>
        <w:pStyle w:val="Heading2"/>
      </w:pPr>
      <w:bookmarkStart w:id="50" w:name="_Toc225937170"/>
      <w:r>
        <w:t>Results</w:t>
      </w:r>
      <w:bookmarkEnd w:id="50"/>
    </w:p>
    <w:p w14:paraId="563951D8" w14:textId="77777777" w:rsidR="00D774D2" w:rsidRDefault="00D774D2" w:rsidP="00D774D2">
      <w:pPr>
        <w:spacing w:line="480" w:lineRule="auto"/>
      </w:pPr>
      <w:r>
        <w:t xml:space="preserve">Across higher income countries (N=30), 16 studies were conducted in the United States (53%). Four studies or 16% occurred in the United Kingdom, 3 in Spain (10%), 2 in Canada (7%), 2 in Germany (7%), 1 (3%) in Norway, and 1 in the Netherlands (3%). The majority of CCHC </w:t>
      </w:r>
      <w:r>
        <w:lastRenderedPageBreak/>
        <w:t>interventions occurred with academic institutions (n=25), this includes conference proceedings within an academic institution. One study reported a professional conference intervention, with one occurring in each a government program, health organisation, professional group and community of practice. 9 studies (30%) fell into the category of grey literature, however as described no reports from health organisations were identified.</w:t>
      </w:r>
    </w:p>
    <w:p w14:paraId="7005B44A" w14:textId="7EEFF829" w:rsidR="00D774D2" w:rsidRDefault="00D774D2" w:rsidP="00D774D2">
      <w:pPr>
        <w:spacing w:line="480" w:lineRule="auto"/>
      </w:pPr>
      <w:r>
        <w:t xml:space="preserve">Participants included in CCHC interventions ranged from 37,000 to 8. </w:t>
      </w:r>
      <w:r w:rsidR="00824053">
        <w:t>Twenty-one</w:t>
      </w:r>
      <w:r>
        <w:t xml:space="preserve"> studies provided participants numbers in total with 9 not providing data. Interventions targeted nursing students in</w:t>
      </w:r>
    </w:p>
    <w:p w14:paraId="25E27F82" w14:textId="77777777" w:rsidR="00D774D2" w:rsidRDefault="00D774D2" w:rsidP="00D774D2">
      <w:pPr>
        <w:spacing w:line="480" w:lineRule="auto"/>
      </w:pPr>
      <w:r>
        <w:t>12 studies and medical students (including medical residents) in 9 studies. Six studies looked at health professionals (including students) more broadly, with advanced practice nurses (including students; n=2), and psychiatrists being included in one of the studies. With exception of ‘health professional’ group studies focused on one target group within health professionals (category of physicians or nursing professionals).</w:t>
      </w:r>
    </w:p>
    <w:p w14:paraId="7D42652E" w14:textId="77777777" w:rsidR="00D774D2" w:rsidRDefault="00D774D2" w:rsidP="00D774D2">
      <w:pPr>
        <w:spacing w:line="480" w:lineRule="auto"/>
      </w:pPr>
      <w:r>
        <w:t>Outcome measures, such as evaluations of the CCHC intervention were reported in 23 studies, with one study indicating that an evaluation had not yet been completed and 6 studies did not provide whether an evaluation was used. Of the evaluations conducted, 12 were post intervention quantitative evaluations (based on learner experience), 8 included pre and post evaluations, 2 used an inductive content analysis method one used administrative data and qualitative interviews to determine outcomes. The Sustainability Attitudes in Nursing Students (SANS_2) developed by Richardson, et al (2016), was used within the outcome measures in 4 of the studies and has been validated as a reliable instrument (Chung, et al., 2022).</w:t>
      </w:r>
    </w:p>
    <w:p w14:paraId="7730966F" w14:textId="77777777" w:rsidR="00D774D2" w:rsidRDefault="00D774D2" w:rsidP="00D774D2">
      <w:pPr>
        <w:pStyle w:val="Heading3"/>
      </w:pPr>
      <w:bookmarkStart w:id="51" w:name="_Toc225937171"/>
      <w:r>
        <w:t>Table 2: Frequency count by year of intervention</w:t>
      </w:r>
      <w:bookmarkEnd w:id="51"/>
      <w:r>
        <w:t xml:space="preserve"> </w:t>
      </w:r>
    </w:p>
    <w:tbl>
      <w:tblPr>
        <w:tblW w:w="263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4"/>
        <w:gridCol w:w="1278"/>
      </w:tblGrid>
      <w:tr w:rsidR="00D774D2" w14:paraId="40D4C69E" w14:textId="77777777" w:rsidTr="00855B62">
        <w:trPr>
          <w:trHeight w:val="760"/>
        </w:trPr>
        <w:tc>
          <w:tcPr>
            <w:tcW w:w="1354" w:type="dxa"/>
          </w:tcPr>
          <w:p w14:paraId="1E0822ED" w14:textId="77777777" w:rsidR="00D774D2" w:rsidRDefault="00D774D2" w:rsidP="00855B62">
            <w:pPr>
              <w:widowControl w:val="0"/>
              <w:pBdr>
                <w:top w:val="nil"/>
                <w:left w:val="nil"/>
                <w:bottom w:val="nil"/>
                <w:right w:val="nil"/>
                <w:between w:val="nil"/>
              </w:pBdr>
              <w:spacing w:after="0" w:line="246" w:lineRule="auto"/>
              <w:ind w:left="107"/>
              <w:rPr>
                <w:color w:val="000000"/>
              </w:rPr>
            </w:pPr>
            <w:r>
              <w:rPr>
                <w:color w:val="1C1D1E"/>
              </w:rPr>
              <w:t>Year of</w:t>
            </w:r>
          </w:p>
          <w:p w14:paraId="3930A8A7" w14:textId="77777777" w:rsidR="00D774D2" w:rsidRDefault="00D774D2" w:rsidP="00855B62">
            <w:pPr>
              <w:widowControl w:val="0"/>
              <w:pBdr>
                <w:top w:val="nil"/>
                <w:left w:val="nil"/>
                <w:bottom w:val="nil"/>
                <w:right w:val="nil"/>
                <w:between w:val="nil"/>
              </w:pBdr>
              <w:spacing w:after="0" w:line="252" w:lineRule="auto"/>
              <w:ind w:left="107"/>
              <w:rPr>
                <w:color w:val="000000"/>
              </w:rPr>
            </w:pPr>
            <w:r>
              <w:rPr>
                <w:color w:val="1C1D1E"/>
              </w:rPr>
              <w:t>intervention start</w:t>
            </w:r>
          </w:p>
        </w:tc>
        <w:tc>
          <w:tcPr>
            <w:tcW w:w="1278" w:type="dxa"/>
          </w:tcPr>
          <w:p w14:paraId="1AC2DE3F" w14:textId="77777777" w:rsidR="00D774D2" w:rsidRDefault="00D774D2" w:rsidP="00855B62">
            <w:pPr>
              <w:widowControl w:val="0"/>
              <w:pBdr>
                <w:top w:val="nil"/>
                <w:left w:val="nil"/>
                <w:bottom w:val="nil"/>
                <w:right w:val="nil"/>
                <w:between w:val="nil"/>
              </w:pBdr>
              <w:spacing w:after="0" w:line="246" w:lineRule="auto"/>
              <w:ind w:left="107"/>
              <w:rPr>
                <w:color w:val="000000"/>
              </w:rPr>
            </w:pPr>
            <w:r>
              <w:rPr>
                <w:color w:val="1C1D1E"/>
              </w:rPr>
              <w:t>Frequency</w:t>
            </w:r>
          </w:p>
        </w:tc>
      </w:tr>
      <w:tr w:rsidR="00D774D2" w14:paraId="122EDF2D" w14:textId="77777777" w:rsidTr="00855B62">
        <w:trPr>
          <w:trHeight w:val="506"/>
        </w:trPr>
        <w:tc>
          <w:tcPr>
            <w:tcW w:w="1354" w:type="dxa"/>
          </w:tcPr>
          <w:p w14:paraId="3DD469EC" w14:textId="77777777" w:rsidR="00D774D2" w:rsidRDefault="00D774D2" w:rsidP="00855B62">
            <w:pPr>
              <w:widowControl w:val="0"/>
              <w:pBdr>
                <w:top w:val="nil"/>
                <w:left w:val="nil"/>
                <w:bottom w:val="nil"/>
                <w:right w:val="nil"/>
                <w:between w:val="nil"/>
              </w:pBdr>
              <w:spacing w:after="0" w:line="245" w:lineRule="auto"/>
              <w:ind w:left="107"/>
              <w:rPr>
                <w:color w:val="000000"/>
              </w:rPr>
            </w:pPr>
            <w:r>
              <w:rPr>
                <w:color w:val="1C1D1E"/>
              </w:rPr>
              <w:lastRenderedPageBreak/>
              <w:t>Prior to</w:t>
            </w:r>
          </w:p>
          <w:p w14:paraId="18F06A5D" w14:textId="77777777" w:rsidR="00D774D2" w:rsidRDefault="00D774D2" w:rsidP="00855B62">
            <w:pPr>
              <w:widowControl w:val="0"/>
              <w:pBdr>
                <w:top w:val="nil"/>
                <w:left w:val="nil"/>
                <w:bottom w:val="nil"/>
                <w:right w:val="nil"/>
                <w:between w:val="nil"/>
              </w:pBdr>
              <w:spacing w:after="0" w:line="241" w:lineRule="auto"/>
              <w:ind w:left="107"/>
              <w:rPr>
                <w:color w:val="000000"/>
              </w:rPr>
            </w:pPr>
            <w:r>
              <w:rPr>
                <w:color w:val="1C1D1E"/>
              </w:rPr>
              <w:t>2015*</w:t>
            </w:r>
          </w:p>
        </w:tc>
        <w:tc>
          <w:tcPr>
            <w:tcW w:w="1278" w:type="dxa"/>
          </w:tcPr>
          <w:p w14:paraId="5A2D2D47" w14:textId="77777777" w:rsidR="00D774D2" w:rsidRDefault="00D774D2" w:rsidP="00855B62">
            <w:pPr>
              <w:widowControl w:val="0"/>
              <w:pBdr>
                <w:top w:val="nil"/>
                <w:left w:val="nil"/>
                <w:bottom w:val="nil"/>
                <w:right w:val="nil"/>
                <w:between w:val="nil"/>
              </w:pBdr>
              <w:spacing w:after="0" w:line="246" w:lineRule="auto"/>
              <w:ind w:left="107"/>
              <w:rPr>
                <w:color w:val="000000"/>
              </w:rPr>
            </w:pPr>
            <w:r>
              <w:rPr>
                <w:color w:val="1C1D1E"/>
              </w:rPr>
              <w:t>4</w:t>
            </w:r>
          </w:p>
        </w:tc>
      </w:tr>
      <w:tr w:rsidR="00D774D2" w14:paraId="4047B3E1" w14:textId="77777777" w:rsidTr="00855B62">
        <w:trPr>
          <w:trHeight w:val="251"/>
        </w:trPr>
        <w:tc>
          <w:tcPr>
            <w:tcW w:w="1354" w:type="dxa"/>
          </w:tcPr>
          <w:p w14:paraId="2B3487C8"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2015</w:t>
            </w:r>
          </w:p>
        </w:tc>
        <w:tc>
          <w:tcPr>
            <w:tcW w:w="1278" w:type="dxa"/>
          </w:tcPr>
          <w:p w14:paraId="1949D39C" w14:textId="77777777" w:rsidR="00D774D2" w:rsidRDefault="00D774D2" w:rsidP="00855B62">
            <w:pPr>
              <w:widowControl w:val="0"/>
              <w:pBdr>
                <w:top w:val="nil"/>
                <w:left w:val="nil"/>
                <w:bottom w:val="nil"/>
                <w:right w:val="nil"/>
                <w:between w:val="nil"/>
              </w:pBdr>
              <w:spacing w:after="0" w:line="240" w:lineRule="auto"/>
              <w:rPr>
                <w:color w:val="000000"/>
              </w:rPr>
            </w:pPr>
          </w:p>
        </w:tc>
      </w:tr>
      <w:tr w:rsidR="00D774D2" w14:paraId="6A312FAC" w14:textId="77777777" w:rsidTr="00855B62">
        <w:trPr>
          <w:trHeight w:val="253"/>
        </w:trPr>
        <w:tc>
          <w:tcPr>
            <w:tcW w:w="1354" w:type="dxa"/>
          </w:tcPr>
          <w:p w14:paraId="19CC9F06"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2016</w:t>
            </w:r>
          </w:p>
        </w:tc>
        <w:tc>
          <w:tcPr>
            <w:tcW w:w="1278" w:type="dxa"/>
          </w:tcPr>
          <w:p w14:paraId="59FD6C50"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2</w:t>
            </w:r>
          </w:p>
        </w:tc>
      </w:tr>
      <w:tr w:rsidR="00D774D2" w14:paraId="1AC4600D" w14:textId="77777777" w:rsidTr="00855B62">
        <w:trPr>
          <w:trHeight w:val="251"/>
        </w:trPr>
        <w:tc>
          <w:tcPr>
            <w:tcW w:w="1354" w:type="dxa"/>
          </w:tcPr>
          <w:p w14:paraId="7BFEC7ED"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2017</w:t>
            </w:r>
          </w:p>
        </w:tc>
        <w:tc>
          <w:tcPr>
            <w:tcW w:w="1278" w:type="dxa"/>
          </w:tcPr>
          <w:p w14:paraId="7848C542"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1</w:t>
            </w:r>
          </w:p>
        </w:tc>
      </w:tr>
      <w:tr w:rsidR="00D774D2" w14:paraId="60AF8635" w14:textId="77777777" w:rsidTr="00855B62">
        <w:trPr>
          <w:trHeight w:val="253"/>
        </w:trPr>
        <w:tc>
          <w:tcPr>
            <w:tcW w:w="1354" w:type="dxa"/>
          </w:tcPr>
          <w:p w14:paraId="7AA59BED"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2018</w:t>
            </w:r>
          </w:p>
        </w:tc>
        <w:tc>
          <w:tcPr>
            <w:tcW w:w="1278" w:type="dxa"/>
          </w:tcPr>
          <w:p w14:paraId="3E5BBEB2" w14:textId="77777777" w:rsidR="00D774D2" w:rsidRDefault="00D774D2" w:rsidP="00855B62">
            <w:pPr>
              <w:widowControl w:val="0"/>
              <w:pBdr>
                <w:top w:val="nil"/>
                <w:left w:val="nil"/>
                <w:bottom w:val="nil"/>
                <w:right w:val="nil"/>
                <w:between w:val="nil"/>
              </w:pBdr>
              <w:spacing w:after="0" w:line="240" w:lineRule="auto"/>
              <w:rPr>
                <w:color w:val="000000"/>
              </w:rPr>
            </w:pPr>
          </w:p>
        </w:tc>
      </w:tr>
      <w:tr w:rsidR="00D774D2" w14:paraId="24A87117" w14:textId="77777777" w:rsidTr="00855B62">
        <w:trPr>
          <w:trHeight w:val="251"/>
        </w:trPr>
        <w:tc>
          <w:tcPr>
            <w:tcW w:w="1354" w:type="dxa"/>
          </w:tcPr>
          <w:p w14:paraId="48BC8D66"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2019</w:t>
            </w:r>
          </w:p>
        </w:tc>
        <w:tc>
          <w:tcPr>
            <w:tcW w:w="1278" w:type="dxa"/>
          </w:tcPr>
          <w:p w14:paraId="04895C59"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1</w:t>
            </w:r>
          </w:p>
        </w:tc>
      </w:tr>
      <w:tr w:rsidR="00D774D2" w14:paraId="27568405" w14:textId="77777777" w:rsidTr="00855B62">
        <w:trPr>
          <w:trHeight w:val="253"/>
        </w:trPr>
        <w:tc>
          <w:tcPr>
            <w:tcW w:w="1354" w:type="dxa"/>
          </w:tcPr>
          <w:p w14:paraId="6D074004"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2020</w:t>
            </w:r>
          </w:p>
        </w:tc>
        <w:tc>
          <w:tcPr>
            <w:tcW w:w="1278" w:type="dxa"/>
          </w:tcPr>
          <w:p w14:paraId="4A2FD04A"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6</w:t>
            </w:r>
          </w:p>
        </w:tc>
      </w:tr>
      <w:tr w:rsidR="00D774D2" w14:paraId="05071024" w14:textId="77777777" w:rsidTr="00855B62">
        <w:trPr>
          <w:trHeight w:val="254"/>
        </w:trPr>
        <w:tc>
          <w:tcPr>
            <w:tcW w:w="1354" w:type="dxa"/>
          </w:tcPr>
          <w:p w14:paraId="3D138530"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2021</w:t>
            </w:r>
          </w:p>
        </w:tc>
        <w:tc>
          <w:tcPr>
            <w:tcW w:w="1278" w:type="dxa"/>
          </w:tcPr>
          <w:p w14:paraId="30E96651" w14:textId="77777777" w:rsidR="00D774D2" w:rsidRDefault="00D774D2" w:rsidP="00855B62">
            <w:pPr>
              <w:widowControl w:val="0"/>
              <w:pBdr>
                <w:top w:val="nil"/>
                <w:left w:val="nil"/>
                <w:bottom w:val="nil"/>
                <w:right w:val="nil"/>
                <w:between w:val="nil"/>
              </w:pBdr>
              <w:spacing w:after="0" w:line="234" w:lineRule="auto"/>
              <w:ind w:left="107"/>
              <w:rPr>
                <w:color w:val="000000"/>
              </w:rPr>
            </w:pPr>
            <w:r>
              <w:rPr>
                <w:color w:val="1C1D1E"/>
              </w:rPr>
              <w:t>4</w:t>
            </w:r>
          </w:p>
        </w:tc>
      </w:tr>
      <w:tr w:rsidR="00D774D2" w14:paraId="3F89F142" w14:textId="77777777" w:rsidTr="00855B62">
        <w:trPr>
          <w:trHeight w:val="251"/>
        </w:trPr>
        <w:tc>
          <w:tcPr>
            <w:tcW w:w="1354" w:type="dxa"/>
          </w:tcPr>
          <w:p w14:paraId="7B02D8F7"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2022</w:t>
            </w:r>
          </w:p>
        </w:tc>
        <w:tc>
          <w:tcPr>
            <w:tcW w:w="1278" w:type="dxa"/>
          </w:tcPr>
          <w:p w14:paraId="374A7C29" w14:textId="77777777" w:rsidR="00D774D2" w:rsidRDefault="00D774D2" w:rsidP="00855B62">
            <w:pPr>
              <w:widowControl w:val="0"/>
              <w:pBdr>
                <w:top w:val="nil"/>
                <w:left w:val="nil"/>
                <w:bottom w:val="nil"/>
                <w:right w:val="nil"/>
                <w:between w:val="nil"/>
              </w:pBdr>
              <w:spacing w:after="0" w:line="232" w:lineRule="auto"/>
              <w:ind w:left="107"/>
              <w:rPr>
                <w:color w:val="000000"/>
              </w:rPr>
            </w:pPr>
            <w:r>
              <w:rPr>
                <w:color w:val="1C1D1E"/>
              </w:rPr>
              <w:t>1</w:t>
            </w:r>
          </w:p>
        </w:tc>
      </w:tr>
      <w:tr w:rsidR="00D774D2" w14:paraId="33DBCC55" w14:textId="77777777" w:rsidTr="00855B62">
        <w:trPr>
          <w:trHeight w:val="254"/>
        </w:trPr>
        <w:tc>
          <w:tcPr>
            <w:tcW w:w="1354" w:type="dxa"/>
          </w:tcPr>
          <w:p w14:paraId="29F94BF1" w14:textId="77777777" w:rsidR="00D774D2" w:rsidRDefault="00D774D2" w:rsidP="00855B62">
            <w:pPr>
              <w:widowControl w:val="0"/>
              <w:pBdr>
                <w:top w:val="nil"/>
                <w:left w:val="nil"/>
                <w:bottom w:val="nil"/>
                <w:right w:val="nil"/>
                <w:between w:val="nil"/>
              </w:pBdr>
              <w:spacing w:after="0" w:line="235" w:lineRule="auto"/>
              <w:ind w:left="107"/>
              <w:rPr>
                <w:color w:val="000000"/>
              </w:rPr>
            </w:pPr>
            <w:r>
              <w:rPr>
                <w:color w:val="1C1D1E"/>
              </w:rPr>
              <w:t>2023</w:t>
            </w:r>
          </w:p>
        </w:tc>
        <w:tc>
          <w:tcPr>
            <w:tcW w:w="1278" w:type="dxa"/>
          </w:tcPr>
          <w:p w14:paraId="5BE323A8" w14:textId="77777777" w:rsidR="00D774D2" w:rsidRDefault="00D774D2" w:rsidP="00855B62">
            <w:pPr>
              <w:widowControl w:val="0"/>
              <w:pBdr>
                <w:top w:val="nil"/>
                <w:left w:val="nil"/>
                <w:bottom w:val="nil"/>
                <w:right w:val="nil"/>
                <w:between w:val="nil"/>
              </w:pBdr>
              <w:spacing w:after="0" w:line="235" w:lineRule="auto"/>
              <w:ind w:left="107"/>
              <w:rPr>
                <w:color w:val="000000"/>
              </w:rPr>
            </w:pPr>
            <w:r>
              <w:rPr>
                <w:color w:val="1C1D1E"/>
              </w:rPr>
              <w:t>1</w:t>
            </w:r>
          </w:p>
        </w:tc>
      </w:tr>
    </w:tbl>
    <w:p w14:paraId="123AACBA" w14:textId="77777777" w:rsidR="00D774D2" w:rsidRDefault="00D774D2" w:rsidP="00D774D2"/>
    <w:p w14:paraId="700118DC" w14:textId="2B028A38" w:rsidR="00D774D2" w:rsidRDefault="00D774D2" w:rsidP="00D774D2">
      <w:pPr>
        <w:spacing w:line="480" w:lineRule="auto"/>
      </w:pPr>
      <w:r>
        <w:t>In total</w:t>
      </w:r>
      <w:r w:rsidR="005A04F8">
        <w:t>,</w:t>
      </w:r>
      <w:r>
        <w:t xml:space="preserve"> 20 studies provided the year the intervention began. Four interventions began prior to </w:t>
      </w:r>
      <w:r w:rsidR="00824053">
        <w:t>2015;</w:t>
      </w:r>
      <w:r>
        <w:t xml:space="preserve"> </w:t>
      </w:r>
      <w:r w:rsidR="00824053">
        <w:t>however,</w:t>
      </w:r>
      <w:r>
        <w:t xml:space="preserve"> their data </w:t>
      </w:r>
      <w:r w:rsidR="005A04F8">
        <w:t xml:space="preserve">were not </w:t>
      </w:r>
      <w:r>
        <w:t>published until 2015 or later. In the five-year period from 2015</w:t>
      </w:r>
      <w:r w:rsidR="005A04F8">
        <w:t>-</w:t>
      </w:r>
      <w:r>
        <w:t>2019, four study interventions took place. Interestingly</w:t>
      </w:r>
      <w:r w:rsidR="005A04F8">
        <w:t>,</w:t>
      </w:r>
      <w:r>
        <w:t xml:space="preserve"> over the next four years</w:t>
      </w:r>
      <w:r w:rsidR="005A04F8">
        <w:t>,</w:t>
      </w:r>
      <w:r>
        <w:t xml:space="preserve"> 12 studies indicated intervention starts dates </w:t>
      </w:r>
      <w:r w:rsidR="005A04F8">
        <w:t xml:space="preserve">had </w:t>
      </w:r>
      <w:r>
        <w:t xml:space="preserve">occurred. This may be explained by an increase in university programs developed since 2019 or </w:t>
      </w:r>
      <w:r w:rsidR="005A04F8">
        <w:t xml:space="preserve">increased </w:t>
      </w:r>
      <w:r>
        <w:t>interest in the field of study from researchers. Duration of interventions (Table 3) ranged from one session to activities throughout a degree. In total, the duration of 27 interventions w</w:t>
      </w:r>
      <w:r w:rsidR="005A04F8">
        <w:t>as</w:t>
      </w:r>
      <w:r>
        <w:t xml:space="preserve"> provided, with </w:t>
      </w:r>
      <w:r w:rsidR="005A04F8">
        <w:t>two</w:t>
      </w:r>
      <w:r>
        <w:t xml:space="preserve"> </w:t>
      </w:r>
      <w:r w:rsidR="00824053">
        <w:t>not provided</w:t>
      </w:r>
      <w:r w:rsidR="005A04F8">
        <w:t>,</w:t>
      </w:r>
      <w:r>
        <w:t xml:space="preserve"> and one study included more that 400 activities. Single session interventions (within one day) occurred </w:t>
      </w:r>
      <w:r w:rsidR="005A04F8">
        <w:t>seven</w:t>
      </w:r>
      <w:r>
        <w:t xml:space="preserve"> times, with weekly sessions (n=7) occurring over a 2</w:t>
      </w:r>
      <w:r w:rsidR="005A04F8">
        <w:t>-</w:t>
      </w:r>
      <w:r>
        <w:t>, 3</w:t>
      </w:r>
      <w:r w:rsidR="005A04F8">
        <w:t>-</w:t>
      </w:r>
      <w:r>
        <w:t>, 4-, 8-, 10-, and 14-week basis. Intervention</w:t>
      </w:r>
      <w:r w:rsidR="005A04F8">
        <w:t>s</w:t>
      </w:r>
      <w:r>
        <w:t xml:space="preserve"> occurred over the course of a semester in </w:t>
      </w:r>
      <w:r w:rsidR="005A04F8">
        <w:t>four</w:t>
      </w:r>
      <w:r>
        <w:t xml:space="preserve"> interventions, over the course of a continuing education program (&gt; 2 years) three times and throughout a HP degree programme </w:t>
      </w:r>
      <w:r w:rsidR="005A04F8">
        <w:t>four</w:t>
      </w:r>
      <w:r>
        <w:t xml:space="preserve"> times. Academic conferences were indicated as having occurr</w:t>
      </w:r>
      <w:r w:rsidR="005A04F8">
        <w:t>ed</w:t>
      </w:r>
      <w:r>
        <w:t xml:space="preserve"> over one day and one intervention occurred over multiple days. </w:t>
      </w:r>
    </w:p>
    <w:p w14:paraId="7523A016" w14:textId="77777777" w:rsidR="00D774D2" w:rsidRDefault="00D774D2" w:rsidP="00D774D2">
      <w:pPr>
        <w:pStyle w:val="Heading3"/>
      </w:pPr>
      <w:bookmarkStart w:id="52" w:name="_Toc225937172"/>
      <w:r>
        <w:t>Table 3: Duration of interventions (N=27)</w:t>
      </w:r>
      <w:bookmarkEnd w:id="52"/>
    </w:p>
    <w:tbl>
      <w:tblPr>
        <w:tblW w:w="8294"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6456"/>
      </w:tblGrid>
      <w:tr w:rsidR="00D774D2" w14:paraId="5856EAAB" w14:textId="77777777" w:rsidTr="00855B62">
        <w:trPr>
          <w:trHeight w:val="506"/>
        </w:trPr>
        <w:tc>
          <w:tcPr>
            <w:tcW w:w="1838" w:type="dxa"/>
          </w:tcPr>
          <w:p w14:paraId="72C1690B" w14:textId="77777777" w:rsidR="00D774D2" w:rsidRDefault="00D774D2" w:rsidP="00855B62">
            <w:pPr>
              <w:widowControl w:val="0"/>
              <w:pBdr>
                <w:top w:val="nil"/>
                <w:left w:val="nil"/>
                <w:bottom w:val="nil"/>
                <w:right w:val="nil"/>
                <w:between w:val="nil"/>
              </w:pBdr>
              <w:spacing w:after="0" w:line="248" w:lineRule="auto"/>
              <w:ind w:left="107"/>
              <w:rPr>
                <w:color w:val="1C1D1E"/>
              </w:rPr>
            </w:pPr>
            <w:r>
              <w:rPr>
                <w:color w:val="1C1D1E"/>
              </w:rPr>
              <w:t>Number of times reported</w:t>
            </w:r>
          </w:p>
        </w:tc>
        <w:tc>
          <w:tcPr>
            <w:tcW w:w="6456" w:type="dxa"/>
          </w:tcPr>
          <w:p w14:paraId="00E7D159" w14:textId="77777777" w:rsidR="00D774D2" w:rsidRDefault="00D774D2" w:rsidP="00855B62">
            <w:pPr>
              <w:widowControl w:val="0"/>
              <w:pBdr>
                <w:top w:val="nil"/>
                <w:left w:val="nil"/>
                <w:bottom w:val="nil"/>
                <w:right w:val="nil"/>
                <w:between w:val="nil"/>
              </w:pBdr>
              <w:spacing w:after="0" w:line="248" w:lineRule="auto"/>
              <w:ind w:left="108"/>
              <w:rPr>
                <w:color w:val="1C1D1E"/>
              </w:rPr>
            </w:pPr>
            <w:r>
              <w:rPr>
                <w:color w:val="1C1D1E"/>
              </w:rPr>
              <w:t>Duration of intervention</w:t>
            </w:r>
          </w:p>
        </w:tc>
      </w:tr>
      <w:tr w:rsidR="00D774D2" w14:paraId="0CBBD103" w14:textId="77777777" w:rsidTr="00855B62">
        <w:trPr>
          <w:trHeight w:val="506"/>
        </w:trPr>
        <w:tc>
          <w:tcPr>
            <w:tcW w:w="1838" w:type="dxa"/>
          </w:tcPr>
          <w:p w14:paraId="197589D3"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t>7</w:t>
            </w:r>
          </w:p>
        </w:tc>
        <w:tc>
          <w:tcPr>
            <w:tcW w:w="6456" w:type="dxa"/>
          </w:tcPr>
          <w:p w14:paraId="4D353194"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Single session (occurring within one day)</w:t>
            </w:r>
          </w:p>
        </w:tc>
      </w:tr>
      <w:tr w:rsidR="00D774D2" w14:paraId="356370E5" w14:textId="77777777" w:rsidTr="00855B62">
        <w:trPr>
          <w:trHeight w:val="506"/>
        </w:trPr>
        <w:tc>
          <w:tcPr>
            <w:tcW w:w="1838" w:type="dxa"/>
          </w:tcPr>
          <w:p w14:paraId="1C4E1631"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t>7</w:t>
            </w:r>
          </w:p>
        </w:tc>
        <w:tc>
          <w:tcPr>
            <w:tcW w:w="6456" w:type="dxa"/>
          </w:tcPr>
          <w:p w14:paraId="7AB60ED1"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Weekly sessions (over the course of 2- 14 weeks)</w:t>
            </w:r>
          </w:p>
        </w:tc>
      </w:tr>
      <w:tr w:rsidR="00D774D2" w14:paraId="6B8BB3F7" w14:textId="77777777" w:rsidTr="00855B62">
        <w:trPr>
          <w:trHeight w:val="505"/>
        </w:trPr>
        <w:tc>
          <w:tcPr>
            <w:tcW w:w="1838" w:type="dxa"/>
          </w:tcPr>
          <w:p w14:paraId="42EEDC87"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lastRenderedPageBreak/>
              <w:t>4</w:t>
            </w:r>
          </w:p>
        </w:tc>
        <w:tc>
          <w:tcPr>
            <w:tcW w:w="6456" w:type="dxa"/>
          </w:tcPr>
          <w:p w14:paraId="608F10FD"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Over the course of an academic semester</w:t>
            </w:r>
          </w:p>
        </w:tc>
      </w:tr>
      <w:tr w:rsidR="00D774D2" w14:paraId="4CC3D58A" w14:textId="77777777" w:rsidTr="00855B62">
        <w:trPr>
          <w:trHeight w:val="506"/>
        </w:trPr>
        <w:tc>
          <w:tcPr>
            <w:tcW w:w="1838" w:type="dxa"/>
          </w:tcPr>
          <w:p w14:paraId="698406CF"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t>4</w:t>
            </w:r>
          </w:p>
        </w:tc>
        <w:tc>
          <w:tcPr>
            <w:tcW w:w="6456" w:type="dxa"/>
          </w:tcPr>
          <w:p w14:paraId="09062B9D"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Throughout a degree programme</w:t>
            </w:r>
          </w:p>
        </w:tc>
      </w:tr>
      <w:tr w:rsidR="00D774D2" w14:paraId="141B386A" w14:textId="77777777" w:rsidTr="00855B62">
        <w:trPr>
          <w:trHeight w:val="505"/>
        </w:trPr>
        <w:tc>
          <w:tcPr>
            <w:tcW w:w="1838" w:type="dxa"/>
          </w:tcPr>
          <w:p w14:paraId="0FE3EF1F"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t>3</w:t>
            </w:r>
          </w:p>
        </w:tc>
        <w:tc>
          <w:tcPr>
            <w:tcW w:w="6456" w:type="dxa"/>
          </w:tcPr>
          <w:p w14:paraId="36591F86"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Over the course of a continuing education program (&gt; 2 years)</w:t>
            </w:r>
          </w:p>
        </w:tc>
      </w:tr>
      <w:tr w:rsidR="00D774D2" w14:paraId="3570EDEE" w14:textId="77777777" w:rsidTr="00855B62">
        <w:trPr>
          <w:trHeight w:val="505"/>
        </w:trPr>
        <w:tc>
          <w:tcPr>
            <w:tcW w:w="1838" w:type="dxa"/>
          </w:tcPr>
          <w:p w14:paraId="73500116"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t>1</w:t>
            </w:r>
          </w:p>
        </w:tc>
        <w:tc>
          <w:tcPr>
            <w:tcW w:w="6456" w:type="dxa"/>
          </w:tcPr>
          <w:p w14:paraId="5F46AD3D"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Academic conference session (multiple sessions)</w:t>
            </w:r>
          </w:p>
        </w:tc>
      </w:tr>
      <w:tr w:rsidR="00D774D2" w14:paraId="2F914CA6" w14:textId="77777777" w:rsidTr="00855B62">
        <w:trPr>
          <w:trHeight w:val="506"/>
        </w:trPr>
        <w:tc>
          <w:tcPr>
            <w:tcW w:w="1838" w:type="dxa"/>
          </w:tcPr>
          <w:p w14:paraId="48648519" w14:textId="77777777" w:rsidR="00D774D2" w:rsidRDefault="00D774D2" w:rsidP="00855B62">
            <w:pPr>
              <w:widowControl w:val="0"/>
              <w:pBdr>
                <w:top w:val="nil"/>
                <w:left w:val="nil"/>
                <w:bottom w:val="nil"/>
                <w:right w:val="nil"/>
                <w:between w:val="nil"/>
              </w:pBdr>
              <w:spacing w:after="0" w:line="248" w:lineRule="auto"/>
              <w:ind w:left="107"/>
              <w:rPr>
                <w:color w:val="000000"/>
              </w:rPr>
            </w:pPr>
            <w:r>
              <w:rPr>
                <w:color w:val="1C1D1E"/>
              </w:rPr>
              <w:t>1</w:t>
            </w:r>
          </w:p>
        </w:tc>
        <w:tc>
          <w:tcPr>
            <w:tcW w:w="6456" w:type="dxa"/>
          </w:tcPr>
          <w:p w14:paraId="5352EE6A" w14:textId="77777777" w:rsidR="00D774D2" w:rsidRDefault="00D774D2" w:rsidP="00855B62">
            <w:pPr>
              <w:widowControl w:val="0"/>
              <w:pBdr>
                <w:top w:val="nil"/>
                <w:left w:val="nil"/>
                <w:bottom w:val="nil"/>
                <w:right w:val="nil"/>
                <w:between w:val="nil"/>
              </w:pBdr>
              <w:spacing w:after="0" w:line="248" w:lineRule="auto"/>
              <w:ind w:left="108"/>
              <w:rPr>
                <w:color w:val="000000"/>
              </w:rPr>
            </w:pPr>
            <w:r>
              <w:rPr>
                <w:color w:val="1C1D1E"/>
              </w:rPr>
              <w:t>Academic conference session (single session)</w:t>
            </w:r>
          </w:p>
        </w:tc>
      </w:tr>
    </w:tbl>
    <w:p w14:paraId="7436449C" w14:textId="77777777" w:rsidR="00D774D2" w:rsidRDefault="00D774D2" w:rsidP="00D774D2">
      <w:pPr>
        <w:spacing w:line="278" w:lineRule="auto"/>
        <w:rPr>
          <w:rFonts w:ascii="Arial" w:eastAsia="Arial" w:hAnsi="Arial" w:cs="Arial"/>
          <w:color w:val="1C1D1E"/>
        </w:rPr>
      </w:pPr>
    </w:p>
    <w:p w14:paraId="60F2F960" w14:textId="77777777" w:rsidR="00D774D2" w:rsidRDefault="00D774D2" w:rsidP="00D774D2">
      <w:pPr>
        <w:widowControl w:val="0"/>
        <w:pBdr>
          <w:top w:val="nil"/>
          <w:left w:val="nil"/>
          <w:bottom w:val="nil"/>
          <w:right w:val="nil"/>
          <w:between w:val="nil"/>
        </w:pBdr>
        <w:tabs>
          <w:tab w:val="left" w:pos="1565"/>
        </w:tabs>
        <w:spacing w:after="0" w:line="480" w:lineRule="auto"/>
        <w:rPr>
          <w:rFonts w:ascii="Arial" w:eastAsia="Arial" w:hAnsi="Arial" w:cs="Arial"/>
          <w:color w:val="000000"/>
        </w:rPr>
      </w:pPr>
      <w:r>
        <w:rPr>
          <w:rFonts w:ascii="Arial" w:eastAsia="Arial" w:hAnsi="Arial" w:cs="Arial"/>
          <w:color w:val="1C1D1E"/>
        </w:rPr>
        <w:t>All 30 studies reported on the type of intervention used and several studies indicated multiple</w:t>
      </w:r>
    </w:p>
    <w:p w14:paraId="6455B682" w14:textId="0593A4B4" w:rsidR="00D774D2" w:rsidRDefault="00D774D2" w:rsidP="00D774D2">
      <w:pPr>
        <w:widowControl w:val="0"/>
        <w:pBdr>
          <w:top w:val="nil"/>
          <w:left w:val="nil"/>
          <w:bottom w:val="nil"/>
          <w:right w:val="nil"/>
          <w:between w:val="nil"/>
        </w:pBdr>
        <w:tabs>
          <w:tab w:val="left" w:pos="1440"/>
        </w:tabs>
        <w:spacing w:before="3" w:after="0" w:line="480" w:lineRule="auto"/>
        <w:rPr>
          <w:rFonts w:ascii="Arial" w:eastAsia="Arial" w:hAnsi="Arial" w:cs="Arial"/>
          <w:color w:val="1C1D1E"/>
        </w:rPr>
      </w:pPr>
      <w:r>
        <w:rPr>
          <w:rFonts w:ascii="Arial" w:eastAsia="Arial" w:hAnsi="Arial" w:cs="Arial"/>
          <w:color w:val="1C1D1E"/>
        </w:rPr>
        <w:t xml:space="preserve">approaches were taken, or more than one type of teaching method. Most frequent (Table </w:t>
      </w:r>
      <w:r w:rsidR="005A04F8">
        <w:rPr>
          <w:rFonts w:ascii="Arial" w:eastAsia="Arial" w:hAnsi="Arial" w:cs="Arial"/>
          <w:color w:val="1C1D1E"/>
        </w:rPr>
        <w:t>4</w:t>
      </w:r>
      <w:r>
        <w:rPr>
          <w:rFonts w:ascii="Arial" w:eastAsia="Arial" w:hAnsi="Arial" w:cs="Arial"/>
          <w:color w:val="1C1D1E"/>
        </w:rPr>
        <w:t>) were</w:t>
      </w:r>
      <w:r>
        <w:rPr>
          <w:rFonts w:ascii="Arial" w:eastAsia="Arial" w:hAnsi="Arial" w:cs="Arial"/>
          <w:color w:val="000000"/>
        </w:rPr>
        <w:t xml:space="preserve"> </w:t>
      </w:r>
      <w:r>
        <w:rPr>
          <w:rFonts w:ascii="Arial" w:eastAsia="Arial" w:hAnsi="Arial" w:cs="Arial"/>
          <w:color w:val="1C1D1E"/>
        </w:rPr>
        <w:t>simulation and scenario-based activities that were used in 33% of the studies (n=10) Following</w:t>
      </w:r>
      <w:r>
        <w:rPr>
          <w:rFonts w:ascii="Arial" w:eastAsia="Arial" w:hAnsi="Arial" w:cs="Arial"/>
          <w:color w:val="000000"/>
        </w:rPr>
        <w:t xml:space="preserve"> </w:t>
      </w:r>
      <w:r>
        <w:rPr>
          <w:rFonts w:ascii="Arial" w:eastAsia="Arial" w:hAnsi="Arial" w:cs="Arial"/>
          <w:color w:val="1C1D1E"/>
        </w:rPr>
        <w:t>scenario based and simulation activities were lectures, were used in 9 studies, team-based</w:t>
      </w:r>
      <w:r>
        <w:rPr>
          <w:rFonts w:ascii="Arial" w:eastAsia="Arial" w:hAnsi="Arial" w:cs="Arial"/>
          <w:color w:val="000000"/>
        </w:rPr>
        <w:t xml:space="preserve"> </w:t>
      </w:r>
      <w:r>
        <w:rPr>
          <w:rFonts w:ascii="Arial" w:eastAsia="Arial" w:hAnsi="Arial" w:cs="Arial"/>
          <w:color w:val="1C1D1E"/>
        </w:rPr>
        <w:t>activities (n=8), and module-based approaches (n=6). Less frequent were case studies (n=2),</w:t>
      </w:r>
      <w:r>
        <w:rPr>
          <w:rFonts w:ascii="Arial" w:eastAsia="Arial" w:hAnsi="Arial" w:cs="Arial"/>
          <w:color w:val="000000"/>
        </w:rPr>
        <w:t xml:space="preserve"> </w:t>
      </w:r>
      <w:r>
        <w:rPr>
          <w:rFonts w:ascii="Arial" w:eastAsia="Arial" w:hAnsi="Arial" w:cs="Arial"/>
          <w:color w:val="1C1D1E"/>
        </w:rPr>
        <w:t>networking events (n=1), utilizing a blog (n=1), and field work opportunities (n=1). Various types</w:t>
      </w:r>
      <w:r>
        <w:rPr>
          <w:rFonts w:ascii="Arial" w:eastAsia="Arial" w:hAnsi="Arial" w:cs="Arial"/>
          <w:color w:val="000000"/>
        </w:rPr>
        <w:t xml:space="preserve"> </w:t>
      </w:r>
      <w:r>
        <w:rPr>
          <w:rFonts w:ascii="Arial" w:eastAsia="Arial" w:hAnsi="Arial" w:cs="Arial"/>
          <w:color w:val="1C1D1E"/>
        </w:rPr>
        <w:t>of activities without specific details were indicated in two studies.</w:t>
      </w:r>
    </w:p>
    <w:p w14:paraId="474782E0" w14:textId="77777777" w:rsidR="00D774D2" w:rsidRDefault="00D774D2" w:rsidP="00D774D2">
      <w:pPr>
        <w:widowControl w:val="0"/>
        <w:pBdr>
          <w:top w:val="nil"/>
          <w:left w:val="nil"/>
          <w:bottom w:val="nil"/>
          <w:right w:val="nil"/>
          <w:between w:val="nil"/>
        </w:pBdr>
        <w:tabs>
          <w:tab w:val="left" w:pos="1440"/>
        </w:tabs>
        <w:spacing w:after="0" w:line="241" w:lineRule="auto"/>
        <w:rPr>
          <w:rFonts w:ascii="Arial" w:eastAsia="Arial" w:hAnsi="Arial" w:cs="Arial"/>
          <w:color w:val="1C1D1E"/>
        </w:rPr>
      </w:pPr>
    </w:p>
    <w:p w14:paraId="1D74A990" w14:textId="74694619" w:rsidR="00D774D2" w:rsidRDefault="00D774D2" w:rsidP="00D774D2">
      <w:pPr>
        <w:pStyle w:val="Heading3"/>
        <w:rPr>
          <w:color w:val="000000"/>
        </w:rPr>
      </w:pPr>
      <w:bookmarkStart w:id="53" w:name="_Toc225937173"/>
      <w:r>
        <w:t>Table 4: Frequency of Intervention Types</w:t>
      </w:r>
      <w:bookmarkEnd w:id="53"/>
    </w:p>
    <w:p w14:paraId="1F99B927" w14:textId="77777777" w:rsidR="00D774D2" w:rsidRDefault="00D774D2" w:rsidP="00D774D2">
      <w:pPr>
        <w:widowControl w:val="0"/>
        <w:pBdr>
          <w:top w:val="nil"/>
          <w:left w:val="nil"/>
          <w:bottom w:val="nil"/>
          <w:right w:val="nil"/>
          <w:between w:val="nil"/>
        </w:pBdr>
        <w:tabs>
          <w:tab w:val="left" w:pos="1440"/>
        </w:tabs>
        <w:spacing w:before="3" w:after="0" w:line="480" w:lineRule="auto"/>
        <w:rPr>
          <w:rFonts w:ascii="Arial" w:eastAsia="Arial" w:hAnsi="Arial" w:cs="Arial"/>
          <w:color w:val="000000"/>
        </w:rPr>
      </w:pPr>
    </w:p>
    <w:tbl>
      <w:tblPr>
        <w:tblW w:w="680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6"/>
        <w:gridCol w:w="2125"/>
      </w:tblGrid>
      <w:tr w:rsidR="00D774D2" w14:paraId="05D91D01" w14:textId="77777777" w:rsidTr="00855B62">
        <w:trPr>
          <w:trHeight w:val="506"/>
        </w:trPr>
        <w:tc>
          <w:tcPr>
            <w:tcW w:w="4676" w:type="dxa"/>
          </w:tcPr>
          <w:p w14:paraId="6760DDB7"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Type of intervention</w:t>
            </w:r>
          </w:p>
        </w:tc>
        <w:tc>
          <w:tcPr>
            <w:tcW w:w="2125" w:type="dxa"/>
          </w:tcPr>
          <w:p w14:paraId="0A269970"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Total Count (n=30)</w:t>
            </w:r>
          </w:p>
        </w:tc>
      </w:tr>
      <w:tr w:rsidR="00D774D2" w14:paraId="2F8AE189" w14:textId="77777777" w:rsidTr="00855B62">
        <w:trPr>
          <w:trHeight w:val="506"/>
        </w:trPr>
        <w:tc>
          <w:tcPr>
            <w:tcW w:w="4676" w:type="dxa"/>
          </w:tcPr>
          <w:p w14:paraId="753A757E"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Simulation and scenario-based activities</w:t>
            </w:r>
          </w:p>
        </w:tc>
        <w:tc>
          <w:tcPr>
            <w:tcW w:w="2125" w:type="dxa"/>
          </w:tcPr>
          <w:p w14:paraId="5EBA6393"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10</w:t>
            </w:r>
          </w:p>
        </w:tc>
      </w:tr>
      <w:tr w:rsidR="00D774D2" w14:paraId="78E4BE07" w14:textId="77777777" w:rsidTr="00855B62">
        <w:trPr>
          <w:trHeight w:val="506"/>
        </w:trPr>
        <w:tc>
          <w:tcPr>
            <w:tcW w:w="4676" w:type="dxa"/>
          </w:tcPr>
          <w:p w14:paraId="7DFB0428"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Lectures</w:t>
            </w:r>
          </w:p>
        </w:tc>
        <w:tc>
          <w:tcPr>
            <w:tcW w:w="2125" w:type="dxa"/>
          </w:tcPr>
          <w:p w14:paraId="21DB65FF"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9</w:t>
            </w:r>
          </w:p>
        </w:tc>
      </w:tr>
      <w:tr w:rsidR="00D774D2" w14:paraId="01A3E9BC" w14:textId="77777777" w:rsidTr="00855B62">
        <w:trPr>
          <w:trHeight w:val="506"/>
        </w:trPr>
        <w:tc>
          <w:tcPr>
            <w:tcW w:w="4676" w:type="dxa"/>
          </w:tcPr>
          <w:p w14:paraId="7A5AFCF0"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Team based activities</w:t>
            </w:r>
          </w:p>
        </w:tc>
        <w:tc>
          <w:tcPr>
            <w:tcW w:w="2125" w:type="dxa"/>
          </w:tcPr>
          <w:p w14:paraId="0FA680B2" w14:textId="77777777" w:rsidR="00D774D2" w:rsidRDefault="00D774D2" w:rsidP="00855B62">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color w:val="1C1D1E"/>
              </w:rPr>
              <w:t>8</w:t>
            </w:r>
          </w:p>
        </w:tc>
      </w:tr>
      <w:tr w:rsidR="00D774D2" w14:paraId="7950E1C1" w14:textId="77777777" w:rsidTr="00855B62">
        <w:trPr>
          <w:trHeight w:val="505"/>
        </w:trPr>
        <w:tc>
          <w:tcPr>
            <w:tcW w:w="4676" w:type="dxa"/>
          </w:tcPr>
          <w:p w14:paraId="084A8633"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000000"/>
              </w:rPr>
            </w:pPr>
            <w:r>
              <w:rPr>
                <w:rFonts w:ascii="Arial" w:eastAsia="Arial" w:hAnsi="Arial" w:cs="Arial"/>
                <w:color w:val="1C1D1E"/>
              </w:rPr>
              <w:t>Module based approaches</w:t>
            </w:r>
          </w:p>
        </w:tc>
        <w:tc>
          <w:tcPr>
            <w:tcW w:w="2125" w:type="dxa"/>
          </w:tcPr>
          <w:p w14:paraId="2E0B0F26"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000000"/>
              </w:rPr>
            </w:pPr>
            <w:r>
              <w:rPr>
                <w:rFonts w:ascii="Arial" w:eastAsia="Arial" w:hAnsi="Arial" w:cs="Arial"/>
                <w:color w:val="1C1D1E"/>
              </w:rPr>
              <w:t>6</w:t>
            </w:r>
          </w:p>
        </w:tc>
      </w:tr>
      <w:tr w:rsidR="00D774D2" w14:paraId="624BA676" w14:textId="77777777" w:rsidTr="00855B62">
        <w:trPr>
          <w:trHeight w:val="505"/>
        </w:trPr>
        <w:tc>
          <w:tcPr>
            <w:tcW w:w="4676" w:type="dxa"/>
            <w:tcBorders>
              <w:top w:val="single" w:sz="4" w:space="0" w:color="000000"/>
              <w:left w:val="single" w:sz="4" w:space="0" w:color="000000"/>
              <w:bottom w:val="single" w:sz="4" w:space="0" w:color="000000"/>
              <w:right w:val="single" w:sz="4" w:space="0" w:color="000000"/>
            </w:tcBorders>
          </w:tcPr>
          <w:p w14:paraId="2EF1B378"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Case studies</w:t>
            </w:r>
          </w:p>
        </w:tc>
        <w:tc>
          <w:tcPr>
            <w:tcW w:w="2125" w:type="dxa"/>
            <w:tcBorders>
              <w:top w:val="single" w:sz="4" w:space="0" w:color="000000"/>
              <w:left w:val="single" w:sz="4" w:space="0" w:color="000000"/>
              <w:bottom w:val="single" w:sz="4" w:space="0" w:color="000000"/>
              <w:right w:val="single" w:sz="4" w:space="0" w:color="000000"/>
            </w:tcBorders>
          </w:tcPr>
          <w:p w14:paraId="097ED8B1"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2</w:t>
            </w:r>
          </w:p>
        </w:tc>
      </w:tr>
      <w:tr w:rsidR="00D774D2" w14:paraId="4D8CDDDE" w14:textId="77777777" w:rsidTr="00855B62">
        <w:trPr>
          <w:trHeight w:val="505"/>
        </w:trPr>
        <w:tc>
          <w:tcPr>
            <w:tcW w:w="4676" w:type="dxa"/>
            <w:tcBorders>
              <w:top w:val="single" w:sz="4" w:space="0" w:color="000000"/>
              <w:left w:val="single" w:sz="4" w:space="0" w:color="000000"/>
              <w:bottom w:val="single" w:sz="4" w:space="0" w:color="000000"/>
              <w:right w:val="single" w:sz="4" w:space="0" w:color="000000"/>
            </w:tcBorders>
          </w:tcPr>
          <w:p w14:paraId="0B3DE47F"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Networking events</w:t>
            </w:r>
          </w:p>
        </w:tc>
        <w:tc>
          <w:tcPr>
            <w:tcW w:w="2125" w:type="dxa"/>
            <w:tcBorders>
              <w:top w:val="single" w:sz="4" w:space="0" w:color="000000"/>
              <w:left w:val="single" w:sz="4" w:space="0" w:color="000000"/>
              <w:bottom w:val="single" w:sz="4" w:space="0" w:color="000000"/>
              <w:right w:val="single" w:sz="4" w:space="0" w:color="000000"/>
            </w:tcBorders>
          </w:tcPr>
          <w:p w14:paraId="607397A1"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1</w:t>
            </w:r>
          </w:p>
        </w:tc>
      </w:tr>
      <w:tr w:rsidR="00D774D2" w14:paraId="1CCEBD5C" w14:textId="77777777" w:rsidTr="00855B62">
        <w:trPr>
          <w:trHeight w:val="505"/>
        </w:trPr>
        <w:tc>
          <w:tcPr>
            <w:tcW w:w="4676" w:type="dxa"/>
            <w:tcBorders>
              <w:top w:val="single" w:sz="4" w:space="0" w:color="000000"/>
              <w:left w:val="single" w:sz="4" w:space="0" w:color="000000"/>
              <w:bottom w:val="single" w:sz="4" w:space="0" w:color="000000"/>
              <w:right w:val="single" w:sz="4" w:space="0" w:color="000000"/>
            </w:tcBorders>
          </w:tcPr>
          <w:p w14:paraId="30287A72"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Utilizing a blog</w:t>
            </w:r>
          </w:p>
        </w:tc>
        <w:tc>
          <w:tcPr>
            <w:tcW w:w="2125" w:type="dxa"/>
            <w:tcBorders>
              <w:top w:val="single" w:sz="4" w:space="0" w:color="000000"/>
              <w:left w:val="single" w:sz="4" w:space="0" w:color="000000"/>
              <w:bottom w:val="single" w:sz="4" w:space="0" w:color="000000"/>
              <w:right w:val="single" w:sz="4" w:space="0" w:color="000000"/>
            </w:tcBorders>
          </w:tcPr>
          <w:p w14:paraId="1BEE375D"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1</w:t>
            </w:r>
          </w:p>
        </w:tc>
      </w:tr>
      <w:tr w:rsidR="00D774D2" w14:paraId="3FC9AF0F" w14:textId="77777777" w:rsidTr="00855B62">
        <w:trPr>
          <w:trHeight w:val="505"/>
        </w:trPr>
        <w:tc>
          <w:tcPr>
            <w:tcW w:w="4676" w:type="dxa"/>
            <w:tcBorders>
              <w:top w:val="single" w:sz="4" w:space="0" w:color="000000"/>
              <w:left w:val="single" w:sz="4" w:space="0" w:color="000000"/>
              <w:bottom w:val="single" w:sz="4" w:space="0" w:color="000000"/>
              <w:right w:val="single" w:sz="4" w:space="0" w:color="000000"/>
            </w:tcBorders>
          </w:tcPr>
          <w:p w14:paraId="42432C57"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Undetermined</w:t>
            </w:r>
          </w:p>
        </w:tc>
        <w:tc>
          <w:tcPr>
            <w:tcW w:w="2125" w:type="dxa"/>
            <w:tcBorders>
              <w:top w:val="single" w:sz="4" w:space="0" w:color="000000"/>
              <w:left w:val="single" w:sz="4" w:space="0" w:color="000000"/>
              <w:bottom w:val="single" w:sz="4" w:space="0" w:color="000000"/>
              <w:right w:val="single" w:sz="4" w:space="0" w:color="000000"/>
            </w:tcBorders>
          </w:tcPr>
          <w:p w14:paraId="2608EF1B" w14:textId="77777777" w:rsidR="00D774D2" w:rsidRDefault="00D774D2" w:rsidP="00855B62">
            <w:pPr>
              <w:widowControl w:val="0"/>
              <w:pBdr>
                <w:top w:val="nil"/>
                <w:left w:val="nil"/>
                <w:bottom w:val="nil"/>
                <w:right w:val="nil"/>
                <w:between w:val="nil"/>
              </w:pBdr>
              <w:spacing w:after="0" w:line="253" w:lineRule="auto"/>
              <w:ind w:left="107"/>
              <w:rPr>
                <w:rFonts w:ascii="Arial" w:eastAsia="Arial" w:hAnsi="Arial" w:cs="Arial"/>
                <w:color w:val="1C1D1E"/>
              </w:rPr>
            </w:pPr>
            <w:r>
              <w:rPr>
                <w:rFonts w:ascii="Arial" w:eastAsia="Arial" w:hAnsi="Arial" w:cs="Arial"/>
                <w:color w:val="1C1D1E"/>
              </w:rPr>
              <w:t>2</w:t>
            </w:r>
          </w:p>
        </w:tc>
      </w:tr>
    </w:tbl>
    <w:p w14:paraId="374D9A88" w14:textId="77777777" w:rsidR="00D774D2" w:rsidRDefault="00D774D2" w:rsidP="00D774D2">
      <w:pPr>
        <w:widowControl w:val="0"/>
        <w:pBdr>
          <w:top w:val="nil"/>
          <w:left w:val="nil"/>
          <w:bottom w:val="nil"/>
          <w:right w:val="nil"/>
          <w:between w:val="nil"/>
        </w:pBdr>
        <w:tabs>
          <w:tab w:val="left" w:pos="1440"/>
        </w:tabs>
        <w:spacing w:after="0" w:line="275" w:lineRule="auto"/>
        <w:rPr>
          <w:rFonts w:ascii="Arial" w:eastAsia="Arial" w:hAnsi="Arial" w:cs="Arial"/>
          <w:color w:val="1C1D1E"/>
        </w:rPr>
        <w:sectPr w:rsidR="00D774D2" w:rsidSect="00D774D2">
          <w:footerReference w:type="default" r:id="rId10"/>
          <w:pgSz w:w="12240" w:h="15840"/>
          <w:pgMar w:top="1440" w:right="1440" w:bottom="1440" w:left="1440" w:header="708" w:footer="708" w:gutter="0"/>
          <w:pgNumType w:start="1"/>
          <w:cols w:space="720"/>
        </w:sectPr>
      </w:pPr>
    </w:p>
    <w:p w14:paraId="372E2335" w14:textId="44DA66E8" w:rsidR="00D774D2" w:rsidRDefault="00D774D2" w:rsidP="00D774D2">
      <w:pPr>
        <w:pStyle w:val="Heading3"/>
      </w:pPr>
      <w:bookmarkStart w:id="54" w:name="_Toc225937174"/>
      <w:r>
        <w:lastRenderedPageBreak/>
        <w:t>Table 5: Included competencies, type of intervention and findings</w:t>
      </w:r>
      <w:bookmarkEnd w:id="54"/>
    </w:p>
    <w:p w14:paraId="00096CE4" w14:textId="77777777" w:rsidR="00D774D2" w:rsidRDefault="00D774D2" w:rsidP="00D774D2">
      <w:pPr>
        <w:widowControl w:val="0"/>
        <w:pBdr>
          <w:top w:val="nil"/>
          <w:left w:val="nil"/>
          <w:bottom w:val="nil"/>
          <w:right w:val="nil"/>
          <w:between w:val="nil"/>
        </w:pBdr>
        <w:tabs>
          <w:tab w:val="left" w:pos="1440"/>
        </w:tabs>
        <w:spacing w:after="0" w:line="275" w:lineRule="auto"/>
        <w:rPr>
          <w:rFonts w:ascii="Arial" w:eastAsia="Arial" w:hAnsi="Arial" w:cs="Arial"/>
          <w:color w:val="000000"/>
        </w:rPr>
      </w:pPr>
    </w:p>
    <w:tbl>
      <w:tblPr>
        <w:tblW w:w="12890" w:type="dxa"/>
        <w:tblInd w:w="6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219"/>
        <w:gridCol w:w="336"/>
        <w:gridCol w:w="339"/>
        <w:gridCol w:w="338"/>
        <w:gridCol w:w="338"/>
        <w:gridCol w:w="337"/>
        <w:gridCol w:w="337"/>
        <w:gridCol w:w="342"/>
        <w:gridCol w:w="342"/>
        <w:gridCol w:w="334"/>
        <w:gridCol w:w="334"/>
        <w:gridCol w:w="334"/>
        <w:gridCol w:w="6960"/>
      </w:tblGrid>
      <w:tr w:rsidR="00D774D2" w14:paraId="6A0D419D" w14:textId="77777777" w:rsidTr="00855B62">
        <w:trPr>
          <w:cantSplit/>
          <w:trHeight w:val="1841"/>
        </w:trPr>
        <w:tc>
          <w:tcPr>
            <w:tcW w:w="2219" w:type="dxa"/>
          </w:tcPr>
          <w:p w14:paraId="04A328FE"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Authors</w:t>
            </w:r>
          </w:p>
        </w:tc>
        <w:tc>
          <w:tcPr>
            <w:tcW w:w="336" w:type="dxa"/>
            <w:textDirection w:val="tbRl"/>
          </w:tcPr>
          <w:p w14:paraId="02685AAA" w14:textId="77777777" w:rsidR="00D774D2" w:rsidRDefault="00D774D2" w:rsidP="00250179">
            <w:pPr>
              <w:widowControl w:val="0"/>
              <w:pBdr>
                <w:top w:val="nil"/>
                <w:left w:val="nil"/>
                <w:bottom w:val="nil"/>
                <w:right w:val="nil"/>
                <w:between w:val="nil"/>
              </w:pBdr>
              <w:spacing w:before="107"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Knowledge</w:t>
            </w:r>
          </w:p>
        </w:tc>
        <w:tc>
          <w:tcPr>
            <w:tcW w:w="339" w:type="dxa"/>
            <w:textDirection w:val="tbRl"/>
          </w:tcPr>
          <w:p w14:paraId="786AEA57" w14:textId="77777777" w:rsidR="00D774D2" w:rsidRDefault="00D774D2" w:rsidP="00250179">
            <w:pPr>
              <w:widowControl w:val="0"/>
              <w:pBdr>
                <w:top w:val="nil"/>
                <w:left w:val="nil"/>
                <w:bottom w:val="nil"/>
                <w:right w:val="nil"/>
                <w:between w:val="nil"/>
              </w:pBdr>
              <w:spacing w:before="110"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Demonstrate</w:t>
            </w:r>
          </w:p>
        </w:tc>
        <w:tc>
          <w:tcPr>
            <w:tcW w:w="338" w:type="dxa"/>
            <w:textDirection w:val="tbRl"/>
          </w:tcPr>
          <w:p w14:paraId="38ACF74D" w14:textId="77777777" w:rsidR="00D774D2" w:rsidRDefault="00D774D2" w:rsidP="00250179">
            <w:pPr>
              <w:widowControl w:val="0"/>
              <w:pBdr>
                <w:top w:val="nil"/>
                <w:left w:val="nil"/>
                <w:bottom w:val="nil"/>
                <w:right w:val="nil"/>
                <w:between w:val="nil"/>
              </w:pBdr>
              <w:spacing w:before="109"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Policy</w:t>
            </w:r>
          </w:p>
        </w:tc>
        <w:tc>
          <w:tcPr>
            <w:tcW w:w="338" w:type="dxa"/>
            <w:textDirection w:val="tbRl"/>
          </w:tcPr>
          <w:p w14:paraId="5E980855" w14:textId="77777777" w:rsidR="00D774D2" w:rsidRDefault="00D774D2" w:rsidP="00250179">
            <w:pPr>
              <w:widowControl w:val="0"/>
              <w:pBdr>
                <w:top w:val="nil"/>
                <w:left w:val="nil"/>
                <w:bottom w:val="nil"/>
                <w:right w:val="nil"/>
                <w:between w:val="nil"/>
              </w:pBdr>
              <w:spacing w:before="109"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Public Health Practice</w:t>
            </w:r>
          </w:p>
        </w:tc>
        <w:tc>
          <w:tcPr>
            <w:tcW w:w="337" w:type="dxa"/>
            <w:textDirection w:val="tbRl"/>
          </w:tcPr>
          <w:p w14:paraId="09848A09" w14:textId="77777777" w:rsidR="00D774D2" w:rsidRDefault="00D774D2" w:rsidP="00250179">
            <w:pPr>
              <w:widowControl w:val="0"/>
              <w:pBdr>
                <w:top w:val="nil"/>
                <w:left w:val="nil"/>
                <w:bottom w:val="nil"/>
                <w:right w:val="nil"/>
                <w:between w:val="nil"/>
              </w:pBdr>
              <w:spacing w:before="108"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Clinical Skills</w:t>
            </w:r>
          </w:p>
        </w:tc>
        <w:tc>
          <w:tcPr>
            <w:tcW w:w="337" w:type="dxa"/>
            <w:textDirection w:val="tbRl"/>
          </w:tcPr>
          <w:p w14:paraId="3CB036FD" w14:textId="77777777" w:rsidR="00D774D2" w:rsidRDefault="00D774D2" w:rsidP="00250179">
            <w:pPr>
              <w:widowControl w:val="0"/>
              <w:pBdr>
                <w:top w:val="nil"/>
                <w:left w:val="nil"/>
                <w:bottom w:val="nil"/>
                <w:right w:val="nil"/>
                <w:between w:val="nil"/>
              </w:pBdr>
              <w:spacing w:before="108"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Knowledge</w:t>
            </w:r>
          </w:p>
        </w:tc>
        <w:tc>
          <w:tcPr>
            <w:tcW w:w="342" w:type="dxa"/>
            <w:textDirection w:val="tbRl"/>
          </w:tcPr>
          <w:p w14:paraId="4F3A58D5" w14:textId="77777777" w:rsidR="00D774D2" w:rsidRDefault="00D774D2" w:rsidP="00250179">
            <w:pPr>
              <w:widowControl w:val="0"/>
              <w:pBdr>
                <w:top w:val="nil"/>
                <w:left w:val="nil"/>
                <w:bottom w:val="nil"/>
                <w:right w:val="nil"/>
                <w:between w:val="nil"/>
              </w:pBdr>
              <w:spacing w:before="107"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Upstream Drivers</w:t>
            </w:r>
          </w:p>
        </w:tc>
        <w:tc>
          <w:tcPr>
            <w:tcW w:w="342" w:type="dxa"/>
            <w:textDirection w:val="tbRl"/>
          </w:tcPr>
          <w:p w14:paraId="0C6EC3D1" w14:textId="77777777" w:rsidR="00D774D2" w:rsidRDefault="00D774D2" w:rsidP="00250179">
            <w:pPr>
              <w:widowControl w:val="0"/>
              <w:pBdr>
                <w:top w:val="nil"/>
                <w:left w:val="nil"/>
                <w:bottom w:val="nil"/>
                <w:right w:val="nil"/>
                <w:between w:val="nil"/>
              </w:pBdr>
              <w:spacing w:before="106"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Evaluate</w:t>
            </w:r>
          </w:p>
        </w:tc>
        <w:tc>
          <w:tcPr>
            <w:tcW w:w="334" w:type="dxa"/>
            <w:textDirection w:val="tbRl"/>
          </w:tcPr>
          <w:p w14:paraId="105AD3A3" w14:textId="77777777" w:rsidR="00D774D2" w:rsidRDefault="00D774D2" w:rsidP="00250179">
            <w:pPr>
              <w:widowControl w:val="0"/>
              <w:pBdr>
                <w:top w:val="nil"/>
                <w:left w:val="nil"/>
                <w:bottom w:val="nil"/>
                <w:right w:val="nil"/>
                <w:between w:val="nil"/>
              </w:pBdr>
              <w:spacing w:before="102"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Risk management</w:t>
            </w:r>
          </w:p>
        </w:tc>
        <w:tc>
          <w:tcPr>
            <w:tcW w:w="334" w:type="dxa"/>
            <w:textDirection w:val="tbRl"/>
          </w:tcPr>
          <w:p w14:paraId="0775DC3A" w14:textId="77777777" w:rsidR="00D774D2" w:rsidRDefault="00D774D2" w:rsidP="00250179">
            <w:pPr>
              <w:widowControl w:val="0"/>
              <w:pBdr>
                <w:top w:val="nil"/>
                <w:left w:val="nil"/>
                <w:bottom w:val="nil"/>
                <w:right w:val="nil"/>
                <w:between w:val="nil"/>
              </w:pBdr>
              <w:spacing w:before="101"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Action</w:t>
            </w:r>
          </w:p>
        </w:tc>
        <w:tc>
          <w:tcPr>
            <w:tcW w:w="334" w:type="dxa"/>
            <w:textDirection w:val="tbRl"/>
          </w:tcPr>
          <w:p w14:paraId="4F8E3F89" w14:textId="77777777" w:rsidR="00D774D2" w:rsidRDefault="00D774D2" w:rsidP="00250179">
            <w:pPr>
              <w:widowControl w:val="0"/>
              <w:pBdr>
                <w:top w:val="nil"/>
                <w:left w:val="nil"/>
                <w:bottom w:val="nil"/>
                <w:right w:val="nil"/>
                <w:between w:val="nil"/>
              </w:pBdr>
              <w:spacing w:before="102" w:after="0" w:line="240" w:lineRule="auto"/>
              <w:contextualSpacing/>
              <w:jc w:val="center"/>
              <w:rPr>
                <w:rFonts w:ascii="Arial" w:eastAsia="Arial" w:hAnsi="Arial" w:cs="Arial"/>
                <w:color w:val="000000"/>
                <w:sz w:val="18"/>
                <w:szCs w:val="18"/>
              </w:rPr>
            </w:pPr>
            <w:r>
              <w:rPr>
                <w:rFonts w:ascii="Arial" w:eastAsia="Arial" w:hAnsi="Arial" w:cs="Arial"/>
                <w:color w:val="000000"/>
                <w:sz w:val="18"/>
                <w:szCs w:val="18"/>
              </w:rPr>
              <w:t>Collective Strategies</w:t>
            </w:r>
          </w:p>
        </w:tc>
        <w:tc>
          <w:tcPr>
            <w:tcW w:w="6960" w:type="dxa"/>
          </w:tcPr>
          <w:p w14:paraId="1F2859E4"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Type/Summary</w:t>
            </w:r>
          </w:p>
        </w:tc>
      </w:tr>
      <w:tr w:rsidR="00D774D2" w14:paraId="0C727472" w14:textId="77777777" w:rsidTr="00855B62">
        <w:trPr>
          <w:trHeight w:val="509"/>
        </w:trPr>
        <w:tc>
          <w:tcPr>
            <w:tcW w:w="2219" w:type="dxa"/>
          </w:tcPr>
          <w:p w14:paraId="199B104F"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proofErr w:type="spellStart"/>
            <w:r>
              <w:rPr>
                <w:rFonts w:ascii="Arial" w:eastAsia="Arial" w:hAnsi="Arial" w:cs="Arial"/>
                <w:color w:val="000000"/>
                <w:sz w:val="18"/>
                <w:szCs w:val="18"/>
              </w:rPr>
              <w:t>Aasheim</w:t>
            </w:r>
            <w:proofErr w:type="spellEnd"/>
            <w:r>
              <w:rPr>
                <w:rFonts w:ascii="Arial" w:eastAsia="Arial" w:hAnsi="Arial" w:cs="Arial"/>
                <w:color w:val="000000"/>
                <w:sz w:val="18"/>
                <w:szCs w:val="18"/>
              </w:rPr>
              <w:t xml:space="preserve"> et al., 2023</w:t>
            </w:r>
          </w:p>
        </w:tc>
        <w:tc>
          <w:tcPr>
            <w:tcW w:w="336" w:type="dxa"/>
          </w:tcPr>
          <w:p w14:paraId="6CCD6C3B"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1FBE02DB" w14:textId="77777777" w:rsidR="00D774D2" w:rsidRDefault="00D774D2" w:rsidP="00855B62">
            <w:pPr>
              <w:widowControl w:val="0"/>
              <w:pBdr>
                <w:top w:val="nil"/>
                <w:left w:val="nil"/>
                <w:bottom w:val="nil"/>
                <w:right w:val="nil"/>
                <w:between w:val="nil"/>
              </w:pBdr>
              <w:spacing w:after="0" w:line="211"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677F084" wp14:editId="0252C775">
                  <wp:extent cx="196977" cy="134302"/>
                  <wp:effectExtent l="0" t="0" r="0" b="0"/>
                  <wp:docPr id="21190976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96977" cy="134302"/>
                          </a:xfrm>
                          <a:prstGeom prst="rect">
                            <a:avLst/>
                          </a:prstGeom>
                          <a:ln/>
                        </pic:spPr>
                      </pic:pic>
                    </a:graphicData>
                  </a:graphic>
                </wp:inline>
              </w:drawing>
            </w:r>
          </w:p>
        </w:tc>
        <w:tc>
          <w:tcPr>
            <w:tcW w:w="339" w:type="dxa"/>
          </w:tcPr>
          <w:p w14:paraId="578042EE"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6E94873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CBA7C44" wp14:editId="593E0F5A">
                  <wp:extent cx="205358" cy="140017"/>
                  <wp:effectExtent l="0" t="0" r="0" b="0"/>
                  <wp:docPr id="21190976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53143241"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48D8C96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CDFC796" wp14:editId="6FF8A1CD">
                  <wp:extent cx="205358" cy="140017"/>
                  <wp:effectExtent l="0" t="0" r="0" b="0"/>
                  <wp:docPr id="21190976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3FB3031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518AED5D"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59C0D85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0642D49" wp14:editId="0E2A0E15">
                  <wp:extent cx="205359" cy="140017"/>
                  <wp:effectExtent l="0" t="0" r="0" b="0"/>
                  <wp:docPr id="21190976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56391783"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6747F17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E6AF6D2" wp14:editId="688BC328">
                  <wp:extent cx="205359" cy="140017"/>
                  <wp:effectExtent l="0" t="0" r="0" b="0"/>
                  <wp:docPr id="21190976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4E07BCF2"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4CAD2E3" wp14:editId="040923E3">
                  <wp:extent cx="210921" cy="210026"/>
                  <wp:effectExtent l="0" t="0" r="0" b="0"/>
                  <wp:docPr id="21190976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10921" cy="210026"/>
                          </a:xfrm>
                          <a:prstGeom prst="rect">
                            <a:avLst/>
                          </a:prstGeom>
                          <a:ln/>
                        </pic:spPr>
                      </pic:pic>
                    </a:graphicData>
                  </a:graphic>
                </wp:inline>
              </w:drawing>
            </w:r>
          </w:p>
        </w:tc>
        <w:tc>
          <w:tcPr>
            <w:tcW w:w="342" w:type="dxa"/>
          </w:tcPr>
          <w:p w14:paraId="19E871C6"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DB271A3" wp14:editId="71BE6090">
                  <wp:extent cx="210921" cy="210026"/>
                  <wp:effectExtent l="0" t="0" r="0" b="0"/>
                  <wp:docPr id="211909767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10921" cy="210026"/>
                          </a:xfrm>
                          <a:prstGeom prst="rect">
                            <a:avLst/>
                          </a:prstGeom>
                          <a:ln/>
                        </pic:spPr>
                      </pic:pic>
                    </a:graphicData>
                  </a:graphic>
                </wp:inline>
              </w:drawing>
            </w:r>
          </w:p>
        </w:tc>
        <w:tc>
          <w:tcPr>
            <w:tcW w:w="334" w:type="dxa"/>
          </w:tcPr>
          <w:p w14:paraId="056174F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6D054B7"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014E9A1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F8B7950" wp14:editId="14B9B56D">
                  <wp:extent cx="205359" cy="140017"/>
                  <wp:effectExtent l="0" t="0" r="0" b="0"/>
                  <wp:docPr id="21190976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3F7950BF"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2C1B8FA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371D563" wp14:editId="3114190C">
                  <wp:extent cx="205359" cy="140017"/>
                  <wp:effectExtent l="0" t="0" r="0" b="0"/>
                  <wp:docPr id="21190976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6960" w:type="dxa"/>
          </w:tcPr>
          <w:p w14:paraId="38638816"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Lecture and Team Based/Value of multi-disciplinary approach to</w:t>
            </w:r>
          </w:p>
          <w:p w14:paraId="5D687C39" w14:textId="77777777" w:rsidR="00D774D2" w:rsidRDefault="00D774D2" w:rsidP="00855B62">
            <w:pPr>
              <w:widowControl w:val="0"/>
              <w:pBdr>
                <w:top w:val="nil"/>
                <w:left w:val="nil"/>
                <w:bottom w:val="nil"/>
                <w:right w:val="nil"/>
                <w:between w:val="nil"/>
              </w:pBdr>
              <w:spacing w:after="0" w:line="187" w:lineRule="auto"/>
              <w:rPr>
                <w:rFonts w:ascii="Arial" w:eastAsia="Arial" w:hAnsi="Arial" w:cs="Arial"/>
                <w:color w:val="000000"/>
                <w:sz w:val="18"/>
                <w:szCs w:val="18"/>
              </w:rPr>
            </w:pPr>
            <w:r>
              <w:rPr>
                <w:rFonts w:ascii="Arial" w:eastAsia="Arial" w:hAnsi="Arial" w:cs="Arial"/>
                <w:color w:val="000000"/>
                <w:sz w:val="18"/>
                <w:szCs w:val="18"/>
              </w:rPr>
              <w:t>course delivery</w:t>
            </w:r>
          </w:p>
        </w:tc>
      </w:tr>
      <w:tr w:rsidR="00D774D2" w14:paraId="38440F15" w14:textId="77777777" w:rsidTr="00855B62">
        <w:trPr>
          <w:trHeight w:val="288"/>
        </w:trPr>
        <w:tc>
          <w:tcPr>
            <w:tcW w:w="2219" w:type="dxa"/>
          </w:tcPr>
          <w:p w14:paraId="1DE9F5CF"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r>
              <w:rPr>
                <w:rFonts w:ascii="Arial" w:eastAsia="Arial" w:hAnsi="Arial" w:cs="Arial"/>
                <w:color w:val="000000"/>
                <w:sz w:val="18"/>
                <w:szCs w:val="18"/>
              </w:rPr>
              <w:t>Katzman et al., 2023</w:t>
            </w:r>
          </w:p>
        </w:tc>
        <w:tc>
          <w:tcPr>
            <w:tcW w:w="336" w:type="dxa"/>
          </w:tcPr>
          <w:p w14:paraId="3387C91C"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7B3B18E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B11B248" wp14:editId="20F15497">
                  <wp:extent cx="205358" cy="140017"/>
                  <wp:effectExtent l="0" t="0" r="0" b="0"/>
                  <wp:docPr id="21190976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2536442F"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2DE28DD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546F600" wp14:editId="6E585356">
                  <wp:extent cx="205358" cy="140017"/>
                  <wp:effectExtent l="0" t="0" r="0" b="0"/>
                  <wp:docPr id="21190976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6767ADD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0F8426C9"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5BD0AA29"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D81F550" wp14:editId="0DACEDA2">
                  <wp:extent cx="205358" cy="140017"/>
                  <wp:effectExtent l="0" t="0" r="0" b="0"/>
                  <wp:docPr id="21190976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6F1CC91F"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3E5CAF7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E252516" wp14:editId="320C908A">
                  <wp:extent cx="205359" cy="140017"/>
                  <wp:effectExtent l="0" t="0" r="0" b="0"/>
                  <wp:docPr id="21190976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04C50064"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14ACB5B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711C5EA" wp14:editId="6FE27C4B">
                  <wp:extent cx="205359" cy="140017"/>
                  <wp:effectExtent l="0" t="0" r="0" b="0"/>
                  <wp:docPr id="21190976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40C4594B"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EC744BA" wp14:editId="1DA47A99">
                  <wp:extent cx="211049" cy="210026"/>
                  <wp:effectExtent l="0" t="0" r="0" b="0"/>
                  <wp:docPr id="211909768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11049" cy="210026"/>
                          </a:xfrm>
                          <a:prstGeom prst="rect">
                            <a:avLst/>
                          </a:prstGeom>
                          <a:ln/>
                        </pic:spPr>
                      </pic:pic>
                    </a:graphicData>
                  </a:graphic>
                </wp:inline>
              </w:drawing>
            </w:r>
          </w:p>
        </w:tc>
        <w:tc>
          <w:tcPr>
            <w:tcW w:w="342" w:type="dxa"/>
          </w:tcPr>
          <w:p w14:paraId="47A258FA"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A00100E" wp14:editId="7F74C612">
                  <wp:extent cx="211049" cy="210026"/>
                  <wp:effectExtent l="0" t="0" r="0" b="0"/>
                  <wp:docPr id="21190976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11049" cy="210026"/>
                          </a:xfrm>
                          <a:prstGeom prst="rect">
                            <a:avLst/>
                          </a:prstGeom>
                          <a:ln/>
                        </pic:spPr>
                      </pic:pic>
                    </a:graphicData>
                  </a:graphic>
                </wp:inline>
              </w:drawing>
            </w:r>
          </w:p>
        </w:tc>
        <w:tc>
          <w:tcPr>
            <w:tcW w:w="334" w:type="dxa"/>
          </w:tcPr>
          <w:p w14:paraId="3A3C5AA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386E2E07"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75E8A45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DDF8A57" wp14:editId="43CAF15D">
                  <wp:extent cx="205359" cy="140017"/>
                  <wp:effectExtent l="0" t="0" r="0" b="0"/>
                  <wp:docPr id="21190976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78F4DF9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6531883A"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Lecture Based/Voluntary educational network increased knowledge</w:t>
            </w:r>
          </w:p>
        </w:tc>
      </w:tr>
      <w:tr w:rsidR="00D774D2" w14:paraId="25964D2A" w14:textId="77777777" w:rsidTr="00855B62">
        <w:trPr>
          <w:trHeight w:val="365"/>
        </w:trPr>
        <w:tc>
          <w:tcPr>
            <w:tcW w:w="2219" w:type="dxa"/>
          </w:tcPr>
          <w:p w14:paraId="260375B1" w14:textId="77777777" w:rsidR="00D774D2" w:rsidRDefault="00D774D2" w:rsidP="00855B62">
            <w:pPr>
              <w:widowControl w:val="0"/>
              <w:pBdr>
                <w:top w:val="nil"/>
                <w:left w:val="nil"/>
                <w:bottom w:val="nil"/>
                <w:right w:val="nil"/>
                <w:between w:val="nil"/>
              </w:pBdr>
              <w:spacing w:before="35" w:after="0" w:line="240" w:lineRule="auto"/>
              <w:rPr>
                <w:rFonts w:ascii="Arial" w:eastAsia="Arial" w:hAnsi="Arial" w:cs="Arial"/>
                <w:color w:val="000000"/>
                <w:sz w:val="18"/>
                <w:szCs w:val="18"/>
              </w:rPr>
            </w:pPr>
            <w:r>
              <w:rPr>
                <w:rFonts w:ascii="Arial" w:eastAsia="Arial" w:hAnsi="Arial" w:cs="Arial"/>
                <w:color w:val="000000"/>
                <w:sz w:val="18"/>
                <w:szCs w:val="18"/>
              </w:rPr>
              <w:t>Cadet, 2022</w:t>
            </w:r>
          </w:p>
        </w:tc>
        <w:tc>
          <w:tcPr>
            <w:tcW w:w="336" w:type="dxa"/>
          </w:tcPr>
          <w:p w14:paraId="6DC6D1B4"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7F67CE6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B9A5ABE" wp14:editId="4B9822AF">
                  <wp:extent cx="205508" cy="140017"/>
                  <wp:effectExtent l="0" t="0" r="0" b="0"/>
                  <wp:docPr id="21190976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9" w:type="dxa"/>
          </w:tcPr>
          <w:p w14:paraId="4C65B0A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7437379B"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055D2AF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677707D" wp14:editId="4F2327E0">
                  <wp:extent cx="205508" cy="140017"/>
                  <wp:effectExtent l="0" t="0" r="0" b="0"/>
                  <wp:docPr id="21190976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8" w:type="dxa"/>
          </w:tcPr>
          <w:p w14:paraId="624566A5"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1B7FB4E4"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2BDAC9F" wp14:editId="119406FD">
                  <wp:extent cx="205508" cy="140017"/>
                  <wp:effectExtent l="0" t="0" r="0" b="0"/>
                  <wp:docPr id="21190976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7" w:type="dxa"/>
          </w:tcPr>
          <w:p w14:paraId="0D4B465A"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1BD6B50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6DCC65D" wp14:editId="0EB2CF4E">
                  <wp:extent cx="205508" cy="140017"/>
                  <wp:effectExtent l="0" t="0" r="0" b="0"/>
                  <wp:docPr id="21190976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7" w:type="dxa"/>
          </w:tcPr>
          <w:p w14:paraId="16EB8837"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64D5621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CC79E00" wp14:editId="11056ED2">
                  <wp:extent cx="205508" cy="140017"/>
                  <wp:effectExtent l="0" t="0" r="0" b="0"/>
                  <wp:docPr id="21190976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42" w:type="dxa"/>
          </w:tcPr>
          <w:p w14:paraId="6920404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154FBC2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2EF26A3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24E129A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6D07C08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5D73266F"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Team based and case study/Included leadership and nurse practitioner competencies</w:t>
            </w:r>
          </w:p>
        </w:tc>
      </w:tr>
      <w:tr w:rsidR="00D774D2" w14:paraId="04F0522E" w14:textId="77777777" w:rsidTr="00855B62">
        <w:trPr>
          <w:trHeight w:val="463"/>
        </w:trPr>
        <w:tc>
          <w:tcPr>
            <w:tcW w:w="2219" w:type="dxa"/>
          </w:tcPr>
          <w:p w14:paraId="121AF9C2" w14:textId="77777777" w:rsidR="00D774D2" w:rsidRDefault="00D774D2" w:rsidP="00855B62">
            <w:pPr>
              <w:widowControl w:val="0"/>
              <w:pBdr>
                <w:top w:val="nil"/>
                <w:left w:val="nil"/>
                <w:bottom w:val="nil"/>
                <w:right w:val="nil"/>
                <w:between w:val="nil"/>
              </w:pBdr>
              <w:spacing w:after="0" w:line="202" w:lineRule="auto"/>
              <w:rPr>
                <w:rFonts w:ascii="Arial" w:eastAsia="Arial" w:hAnsi="Arial" w:cs="Arial"/>
                <w:color w:val="000000"/>
                <w:sz w:val="18"/>
                <w:szCs w:val="18"/>
              </w:rPr>
            </w:pPr>
            <w:r>
              <w:rPr>
                <w:rFonts w:ascii="Arial" w:eastAsia="Arial" w:hAnsi="Arial" w:cs="Arial"/>
                <w:color w:val="000000"/>
                <w:sz w:val="18"/>
                <w:szCs w:val="18"/>
              </w:rPr>
              <w:t>Sullivan et al.,</w:t>
            </w:r>
          </w:p>
          <w:p w14:paraId="2FEC557A" w14:textId="77777777" w:rsidR="00D774D2" w:rsidRDefault="00D774D2" w:rsidP="00855B62">
            <w:pPr>
              <w:widowControl w:val="0"/>
              <w:pBdr>
                <w:top w:val="nil"/>
                <w:left w:val="nil"/>
                <w:bottom w:val="nil"/>
                <w:right w:val="nil"/>
                <w:between w:val="nil"/>
              </w:pBdr>
              <w:spacing w:after="0" w:line="236" w:lineRule="auto"/>
              <w:rPr>
                <w:rFonts w:ascii="Arial" w:eastAsia="Arial" w:hAnsi="Arial" w:cs="Arial"/>
                <w:color w:val="000000"/>
                <w:sz w:val="23"/>
                <w:szCs w:val="23"/>
                <w:vertAlign w:val="superscript"/>
              </w:rPr>
            </w:pPr>
            <w:r>
              <w:rPr>
                <w:rFonts w:ascii="Arial" w:eastAsia="Arial" w:hAnsi="Arial" w:cs="Arial"/>
                <w:color w:val="000000"/>
                <w:sz w:val="18"/>
                <w:szCs w:val="18"/>
              </w:rPr>
              <w:t>2022</w:t>
            </w:r>
          </w:p>
        </w:tc>
        <w:tc>
          <w:tcPr>
            <w:tcW w:w="336" w:type="dxa"/>
          </w:tcPr>
          <w:p w14:paraId="18980689"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1B3F67C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8793BD8" wp14:editId="7DF980DE">
                  <wp:extent cx="205658" cy="140017"/>
                  <wp:effectExtent l="0" t="0" r="0" b="0"/>
                  <wp:docPr id="21190976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658" cy="140017"/>
                          </a:xfrm>
                          <a:prstGeom prst="rect">
                            <a:avLst/>
                          </a:prstGeom>
                          <a:ln/>
                        </pic:spPr>
                      </pic:pic>
                    </a:graphicData>
                  </a:graphic>
                </wp:inline>
              </w:drawing>
            </w:r>
          </w:p>
        </w:tc>
        <w:tc>
          <w:tcPr>
            <w:tcW w:w="339" w:type="dxa"/>
          </w:tcPr>
          <w:p w14:paraId="6A7BEA25"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2ED26C8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7D1B5B7" wp14:editId="73350B10">
                  <wp:extent cx="205658" cy="140017"/>
                  <wp:effectExtent l="0" t="0" r="0" b="0"/>
                  <wp:docPr id="21190976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658" cy="140017"/>
                          </a:xfrm>
                          <a:prstGeom prst="rect">
                            <a:avLst/>
                          </a:prstGeom>
                          <a:ln/>
                        </pic:spPr>
                      </pic:pic>
                    </a:graphicData>
                  </a:graphic>
                </wp:inline>
              </w:drawing>
            </w:r>
          </w:p>
        </w:tc>
        <w:tc>
          <w:tcPr>
            <w:tcW w:w="338" w:type="dxa"/>
          </w:tcPr>
          <w:p w14:paraId="599A3DC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0D40C0C1"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082F6E34"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4F65FFE" wp14:editId="0ACD84CB">
                  <wp:extent cx="205658" cy="140017"/>
                  <wp:effectExtent l="0" t="0" r="0" b="0"/>
                  <wp:docPr id="21190976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658" cy="140017"/>
                          </a:xfrm>
                          <a:prstGeom prst="rect">
                            <a:avLst/>
                          </a:prstGeom>
                          <a:ln/>
                        </pic:spPr>
                      </pic:pic>
                    </a:graphicData>
                  </a:graphic>
                </wp:inline>
              </w:drawing>
            </w:r>
          </w:p>
        </w:tc>
        <w:tc>
          <w:tcPr>
            <w:tcW w:w="337" w:type="dxa"/>
          </w:tcPr>
          <w:p w14:paraId="1EA37C50"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00E4BE1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96C1A58" wp14:editId="133B5719">
                  <wp:extent cx="205658" cy="140017"/>
                  <wp:effectExtent l="0" t="0" r="0" b="0"/>
                  <wp:docPr id="21190976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658" cy="140017"/>
                          </a:xfrm>
                          <a:prstGeom prst="rect">
                            <a:avLst/>
                          </a:prstGeom>
                          <a:ln/>
                        </pic:spPr>
                      </pic:pic>
                    </a:graphicData>
                  </a:graphic>
                </wp:inline>
              </w:drawing>
            </w:r>
          </w:p>
        </w:tc>
        <w:tc>
          <w:tcPr>
            <w:tcW w:w="337" w:type="dxa"/>
          </w:tcPr>
          <w:p w14:paraId="625E2916"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515B26E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689053D" wp14:editId="319AE6FA">
                  <wp:extent cx="205658" cy="140017"/>
                  <wp:effectExtent l="0" t="0" r="0" b="0"/>
                  <wp:docPr id="21190976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658" cy="140017"/>
                          </a:xfrm>
                          <a:prstGeom prst="rect">
                            <a:avLst/>
                          </a:prstGeom>
                          <a:ln/>
                        </pic:spPr>
                      </pic:pic>
                    </a:graphicData>
                  </a:graphic>
                </wp:inline>
              </w:drawing>
            </w:r>
          </w:p>
        </w:tc>
        <w:tc>
          <w:tcPr>
            <w:tcW w:w="342" w:type="dxa"/>
          </w:tcPr>
          <w:p w14:paraId="30F15A05"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E9BDB4A" wp14:editId="5C3870E2">
                  <wp:extent cx="211307" cy="210026"/>
                  <wp:effectExtent l="0" t="0" r="0" b="0"/>
                  <wp:docPr id="21190976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11307" cy="210026"/>
                          </a:xfrm>
                          <a:prstGeom prst="rect">
                            <a:avLst/>
                          </a:prstGeom>
                          <a:ln/>
                        </pic:spPr>
                      </pic:pic>
                    </a:graphicData>
                  </a:graphic>
                </wp:inline>
              </w:drawing>
            </w:r>
          </w:p>
        </w:tc>
        <w:tc>
          <w:tcPr>
            <w:tcW w:w="342" w:type="dxa"/>
          </w:tcPr>
          <w:p w14:paraId="3617385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33D89F1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185B43FE" w14:textId="77777777" w:rsidR="00D774D2" w:rsidRDefault="00D774D2" w:rsidP="00855B62">
            <w:pPr>
              <w:widowControl w:val="0"/>
              <w:pBdr>
                <w:top w:val="nil"/>
                <w:left w:val="nil"/>
                <w:bottom w:val="nil"/>
                <w:right w:val="nil"/>
                <w:between w:val="nil"/>
              </w:pBdr>
              <w:spacing w:after="0" w:line="240" w:lineRule="auto"/>
              <w:rPr>
                <w:rFonts w:ascii="Courier New" w:eastAsia="Courier New" w:hAnsi="Courier New" w:cs="Courier New"/>
                <w:color w:val="000000"/>
                <w:sz w:val="5"/>
                <w:szCs w:val="5"/>
              </w:rPr>
            </w:pPr>
          </w:p>
          <w:p w14:paraId="004C219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C4F877B" wp14:editId="120D83C8">
                  <wp:extent cx="205658" cy="140017"/>
                  <wp:effectExtent l="0" t="0" r="0" b="0"/>
                  <wp:docPr id="21190975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658" cy="140017"/>
                          </a:xfrm>
                          <a:prstGeom prst="rect">
                            <a:avLst/>
                          </a:prstGeom>
                          <a:ln/>
                        </pic:spPr>
                      </pic:pic>
                    </a:graphicData>
                  </a:graphic>
                </wp:inline>
              </w:drawing>
            </w:r>
          </w:p>
        </w:tc>
        <w:tc>
          <w:tcPr>
            <w:tcW w:w="334" w:type="dxa"/>
          </w:tcPr>
          <w:p w14:paraId="03B09DA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299CF1AD"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Various/CCHS education can be integrated into existing curriculum</w:t>
            </w:r>
          </w:p>
        </w:tc>
      </w:tr>
      <w:tr w:rsidR="00D774D2" w14:paraId="3531A814" w14:textId="77777777" w:rsidTr="00855B62">
        <w:trPr>
          <w:trHeight w:val="519"/>
        </w:trPr>
        <w:tc>
          <w:tcPr>
            <w:tcW w:w="2219" w:type="dxa"/>
          </w:tcPr>
          <w:p w14:paraId="128D5138" w14:textId="77777777" w:rsidR="00D774D2" w:rsidRDefault="00D774D2" w:rsidP="00855B62">
            <w:pPr>
              <w:widowControl w:val="0"/>
              <w:pBdr>
                <w:top w:val="nil"/>
                <w:left w:val="nil"/>
                <w:bottom w:val="nil"/>
                <w:right w:val="nil"/>
                <w:between w:val="nil"/>
              </w:pBdr>
              <w:spacing w:before="7"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Muller et al., 2023</w:t>
            </w:r>
          </w:p>
        </w:tc>
        <w:tc>
          <w:tcPr>
            <w:tcW w:w="336" w:type="dxa"/>
          </w:tcPr>
          <w:p w14:paraId="52718A67" w14:textId="77777777" w:rsidR="00D774D2" w:rsidRDefault="00D774D2" w:rsidP="00855B62">
            <w:pPr>
              <w:widowControl w:val="0"/>
              <w:pBdr>
                <w:top w:val="nil"/>
                <w:left w:val="nil"/>
                <w:bottom w:val="nil"/>
                <w:right w:val="nil"/>
                <w:between w:val="nil"/>
              </w:pBdr>
              <w:spacing w:before="2" w:after="0" w:line="240" w:lineRule="auto"/>
              <w:rPr>
                <w:rFonts w:ascii="Courier New" w:eastAsia="Courier New" w:hAnsi="Courier New" w:cs="Courier New"/>
                <w:color w:val="000000"/>
                <w:sz w:val="5"/>
                <w:szCs w:val="5"/>
              </w:rPr>
            </w:pPr>
          </w:p>
          <w:p w14:paraId="68D7645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B853A24" wp14:editId="3114508B">
                  <wp:extent cx="205933" cy="140017"/>
                  <wp:effectExtent l="0" t="0" r="0" b="0"/>
                  <wp:docPr id="21190975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33" cy="140017"/>
                          </a:xfrm>
                          <a:prstGeom prst="rect">
                            <a:avLst/>
                          </a:prstGeom>
                          <a:ln/>
                        </pic:spPr>
                      </pic:pic>
                    </a:graphicData>
                  </a:graphic>
                </wp:inline>
              </w:drawing>
            </w:r>
          </w:p>
        </w:tc>
        <w:tc>
          <w:tcPr>
            <w:tcW w:w="339" w:type="dxa"/>
          </w:tcPr>
          <w:p w14:paraId="2A30B0A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28F5AABF" w14:textId="77777777" w:rsidR="00D774D2" w:rsidRDefault="00D774D2" w:rsidP="00855B62">
            <w:pPr>
              <w:widowControl w:val="0"/>
              <w:pBdr>
                <w:top w:val="nil"/>
                <w:left w:val="nil"/>
                <w:bottom w:val="nil"/>
                <w:right w:val="nil"/>
                <w:between w:val="nil"/>
              </w:pBdr>
              <w:spacing w:before="2" w:after="0" w:line="240" w:lineRule="auto"/>
              <w:rPr>
                <w:rFonts w:ascii="Courier New" w:eastAsia="Courier New" w:hAnsi="Courier New" w:cs="Courier New"/>
                <w:color w:val="000000"/>
                <w:sz w:val="5"/>
                <w:szCs w:val="5"/>
              </w:rPr>
            </w:pPr>
          </w:p>
          <w:p w14:paraId="73A41E1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362B9B0" wp14:editId="2D7A82EF">
                  <wp:extent cx="205933" cy="140017"/>
                  <wp:effectExtent l="0" t="0" r="0" b="0"/>
                  <wp:docPr id="21190975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33" cy="140017"/>
                          </a:xfrm>
                          <a:prstGeom prst="rect">
                            <a:avLst/>
                          </a:prstGeom>
                          <a:ln/>
                        </pic:spPr>
                      </pic:pic>
                    </a:graphicData>
                  </a:graphic>
                </wp:inline>
              </w:drawing>
            </w:r>
          </w:p>
        </w:tc>
        <w:tc>
          <w:tcPr>
            <w:tcW w:w="338" w:type="dxa"/>
          </w:tcPr>
          <w:p w14:paraId="7A22C40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22C7F80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6C82B4CD" w14:textId="77777777" w:rsidR="00D774D2" w:rsidRDefault="00D774D2" w:rsidP="00855B62">
            <w:pPr>
              <w:widowControl w:val="0"/>
              <w:pBdr>
                <w:top w:val="nil"/>
                <w:left w:val="nil"/>
                <w:bottom w:val="nil"/>
                <w:right w:val="nil"/>
                <w:between w:val="nil"/>
              </w:pBdr>
              <w:spacing w:before="2" w:after="0" w:line="240" w:lineRule="auto"/>
              <w:rPr>
                <w:rFonts w:ascii="Courier New" w:eastAsia="Courier New" w:hAnsi="Courier New" w:cs="Courier New"/>
                <w:color w:val="000000"/>
                <w:sz w:val="5"/>
                <w:szCs w:val="5"/>
              </w:rPr>
            </w:pPr>
          </w:p>
          <w:p w14:paraId="6D5F064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FFDD72D" wp14:editId="5834B6B5">
                  <wp:extent cx="205933" cy="140017"/>
                  <wp:effectExtent l="0" t="0" r="0" b="0"/>
                  <wp:docPr id="21190975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33" cy="140017"/>
                          </a:xfrm>
                          <a:prstGeom prst="rect">
                            <a:avLst/>
                          </a:prstGeom>
                          <a:ln/>
                        </pic:spPr>
                      </pic:pic>
                    </a:graphicData>
                  </a:graphic>
                </wp:inline>
              </w:drawing>
            </w:r>
          </w:p>
        </w:tc>
        <w:tc>
          <w:tcPr>
            <w:tcW w:w="342" w:type="dxa"/>
          </w:tcPr>
          <w:p w14:paraId="7180712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67831C78" w14:textId="77777777" w:rsidR="00D774D2" w:rsidRDefault="00D774D2" w:rsidP="00855B62">
            <w:pPr>
              <w:widowControl w:val="0"/>
              <w:pBdr>
                <w:top w:val="nil"/>
                <w:left w:val="nil"/>
                <w:bottom w:val="nil"/>
                <w:right w:val="nil"/>
                <w:between w:val="nil"/>
              </w:pBdr>
              <w:spacing w:before="2" w:after="0" w:line="240" w:lineRule="auto"/>
              <w:rPr>
                <w:rFonts w:ascii="Courier New" w:eastAsia="Courier New" w:hAnsi="Courier New" w:cs="Courier New"/>
                <w:color w:val="000000"/>
                <w:sz w:val="5"/>
                <w:szCs w:val="5"/>
              </w:rPr>
            </w:pPr>
          </w:p>
          <w:p w14:paraId="2BE8264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9522407" wp14:editId="5F3D1E6C">
                  <wp:extent cx="205933" cy="140017"/>
                  <wp:effectExtent l="0" t="0" r="0" b="0"/>
                  <wp:docPr id="21190975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33" cy="140017"/>
                          </a:xfrm>
                          <a:prstGeom prst="rect">
                            <a:avLst/>
                          </a:prstGeom>
                          <a:ln/>
                        </pic:spPr>
                      </pic:pic>
                    </a:graphicData>
                  </a:graphic>
                </wp:inline>
              </w:drawing>
            </w:r>
          </w:p>
        </w:tc>
        <w:tc>
          <w:tcPr>
            <w:tcW w:w="334" w:type="dxa"/>
          </w:tcPr>
          <w:p w14:paraId="0412115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4431223C" w14:textId="77777777" w:rsidR="00D774D2" w:rsidRDefault="00D774D2" w:rsidP="00855B62">
            <w:pPr>
              <w:widowControl w:val="0"/>
              <w:pBdr>
                <w:top w:val="nil"/>
                <w:left w:val="nil"/>
                <w:bottom w:val="nil"/>
                <w:right w:val="nil"/>
                <w:between w:val="nil"/>
              </w:pBdr>
              <w:spacing w:before="2" w:after="0" w:line="240" w:lineRule="auto"/>
              <w:rPr>
                <w:rFonts w:ascii="Courier New" w:eastAsia="Courier New" w:hAnsi="Courier New" w:cs="Courier New"/>
                <w:color w:val="000000"/>
                <w:sz w:val="5"/>
                <w:szCs w:val="5"/>
              </w:rPr>
            </w:pPr>
          </w:p>
          <w:p w14:paraId="2BFB1E8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6C4F511" wp14:editId="0CFA733B">
                  <wp:extent cx="205933" cy="140017"/>
                  <wp:effectExtent l="0" t="0" r="0" b="0"/>
                  <wp:docPr id="21190975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33" cy="140017"/>
                          </a:xfrm>
                          <a:prstGeom prst="rect">
                            <a:avLst/>
                          </a:prstGeom>
                          <a:ln/>
                        </pic:spPr>
                      </pic:pic>
                    </a:graphicData>
                  </a:graphic>
                </wp:inline>
              </w:drawing>
            </w:r>
          </w:p>
        </w:tc>
        <w:tc>
          <w:tcPr>
            <w:tcW w:w="334" w:type="dxa"/>
          </w:tcPr>
          <w:p w14:paraId="5BCF0CD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312D62BD"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Team based and simulation/High satisfaction of course; selection bias may be present- elective courses</w:t>
            </w:r>
          </w:p>
        </w:tc>
      </w:tr>
      <w:tr w:rsidR="00D774D2" w14:paraId="63E979A0" w14:textId="77777777" w:rsidTr="00855B62">
        <w:trPr>
          <w:trHeight w:val="540"/>
        </w:trPr>
        <w:tc>
          <w:tcPr>
            <w:tcW w:w="2219" w:type="dxa"/>
          </w:tcPr>
          <w:p w14:paraId="4D09E2AD" w14:textId="77777777" w:rsidR="00D774D2" w:rsidRDefault="00D774D2" w:rsidP="00855B62">
            <w:pPr>
              <w:widowControl w:val="0"/>
              <w:pBdr>
                <w:top w:val="nil"/>
                <w:left w:val="nil"/>
                <w:bottom w:val="nil"/>
                <w:right w:val="nil"/>
                <w:between w:val="nil"/>
              </w:pBdr>
              <w:spacing w:before="4"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Lemke et al., 2023</w:t>
            </w:r>
          </w:p>
        </w:tc>
        <w:tc>
          <w:tcPr>
            <w:tcW w:w="336" w:type="dxa"/>
          </w:tcPr>
          <w:p w14:paraId="0F49F7C5"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23B2E9C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F23610B" wp14:editId="0B4ECF32">
                  <wp:extent cx="205733" cy="140017"/>
                  <wp:effectExtent l="0" t="0" r="0" b="0"/>
                  <wp:docPr id="21190975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33" cy="140017"/>
                          </a:xfrm>
                          <a:prstGeom prst="rect">
                            <a:avLst/>
                          </a:prstGeom>
                          <a:ln/>
                        </pic:spPr>
                      </pic:pic>
                    </a:graphicData>
                  </a:graphic>
                </wp:inline>
              </w:drawing>
            </w:r>
          </w:p>
        </w:tc>
        <w:tc>
          <w:tcPr>
            <w:tcW w:w="339" w:type="dxa"/>
          </w:tcPr>
          <w:p w14:paraId="21BF4D6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43089D7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3C8EAC0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486AB720"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4100290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96F6FBA" wp14:editId="731E261B">
                  <wp:extent cx="205733" cy="140017"/>
                  <wp:effectExtent l="0" t="0" r="0" b="0"/>
                  <wp:docPr id="21190975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33" cy="140017"/>
                          </a:xfrm>
                          <a:prstGeom prst="rect">
                            <a:avLst/>
                          </a:prstGeom>
                          <a:ln/>
                        </pic:spPr>
                      </pic:pic>
                    </a:graphicData>
                  </a:graphic>
                </wp:inline>
              </w:drawing>
            </w:r>
          </w:p>
        </w:tc>
        <w:tc>
          <w:tcPr>
            <w:tcW w:w="337" w:type="dxa"/>
          </w:tcPr>
          <w:p w14:paraId="3E31F829"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1E0A0CD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6A8DD75" wp14:editId="7744B0E2">
                  <wp:extent cx="205733" cy="140017"/>
                  <wp:effectExtent l="0" t="0" r="0" b="0"/>
                  <wp:docPr id="21190975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33" cy="140017"/>
                          </a:xfrm>
                          <a:prstGeom prst="rect">
                            <a:avLst/>
                          </a:prstGeom>
                          <a:ln/>
                        </pic:spPr>
                      </pic:pic>
                    </a:graphicData>
                  </a:graphic>
                </wp:inline>
              </w:drawing>
            </w:r>
          </w:p>
        </w:tc>
        <w:tc>
          <w:tcPr>
            <w:tcW w:w="342" w:type="dxa"/>
          </w:tcPr>
          <w:p w14:paraId="029B8D0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247E98E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27BD328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20478C7B"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73E509B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142D713" wp14:editId="1C41A8E1">
                  <wp:extent cx="205733" cy="140017"/>
                  <wp:effectExtent l="0" t="0" r="0" b="0"/>
                  <wp:docPr id="21190975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33" cy="140017"/>
                          </a:xfrm>
                          <a:prstGeom prst="rect">
                            <a:avLst/>
                          </a:prstGeom>
                          <a:ln/>
                        </pic:spPr>
                      </pic:pic>
                    </a:graphicData>
                  </a:graphic>
                </wp:inline>
              </w:drawing>
            </w:r>
          </w:p>
        </w:tc>
        <w:tc>
          <w:tcPr>
            <w:tcW w:w="334" w:type="dxa"/>
          </w:tcPr>
          <w:p w14:paraId="34B1E8A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2837133B"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Team based and case study/Need for CCH topics in Curriculum; changes to knowledge post course</w:t>
            </w:r>
          </w:p>
        </w:tc>
      </w:tr>
      <w:tr w:rsidR="00D774D2" w14:paraId="5F37E9BB" w14:textId="77777777" w:rsidTr="00855B62">
        <w:trPr>
          <w:trHeight w:val="434"/>
        </w:trPr>
        <w:tc>
          <w:tcPr>
            <w:tcW w:w="2219" w:type="dxa"/>
          </w:tcPr>
          <w:p w14:paraId="0EEBDC00" w14:textId="77777777" w:rsidR="00D774D2" w:rsidRDefault="00D774D2" w:rsidP="00855B62">
            <w:pPr>
              <w:widowControl w:val="0"/>
              <w:pBdr>
                <w:top w:val="nil"/>
                <w:left w:val="nil"/>
                <w:bottom w:val="nil"/>
                <w:right w:val="nil"/>
                <w:between w:val="nil"/>
              </w:pBdr>
              <w:spacing w:before="4"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Rudolph et al., 2020</w:t>
            </w:r>
          </w:p>
        </w:tc>
        <w:tc>
          <w:tcPr>
            <w:tcW w:w="336" w:type="dxa"/>
          </w:tcPr>
          <w:p w14:paraId="09639C8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tcPr>
          <w:p w14:paraId="4D79C20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5315B3ED"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02A47114"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DF88353" wp14:editId="61D2DAD8">
                  <wp:extent cx="205520" cy="140017"/>
                  <wp:effectExtent l="0" t="0" r="0" b="0"/>
                  <wp:docPr id="21190975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20" cy="140017"/>
                          </a:xfrm>
                          <a:prstGeom prst="rect">
                            <a:avLst/>
                          </a:prstGeom>
                          <a:ln/>
                        </pic:spPr>
                      </pic:pic>
                    </a:graphicData>
                  </a:graphic>
                </wp:inline>
              </w:drawing>
            </w:r>
          </w:p>
        </w:tc>
        <w:tc>
          <w:tcPr>
            <w:tcW w:w="338" w:type="dxa"/>
          </w:tcPr>
          <w:p w14:paraId="7992C7E8"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0F0BFF9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1228C8C" wp14:editId="5576CF45">
                  <wp:extent cx="205520" cy="140017"/>
                  <wp:effectExtent l="0" t="0" r="0" b="0"/>
                  <wp:docPr id="21190975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20" cy="140017"/>
                          </a:xfrm>
                          <a:prstGeom prst="rect">
                            <a:avLst/>
                          </a:prstGeom>
                          <a:ln/>
                        </pic:spPr>
                      </pic:pic>
                    </a:graphicData>
                  </a:graphic>
                </wp:inline>
              </w:drawing>
            </w:r>
          </w:p>
        </w:tc>
        <w:tc>
          <w:tcPr>
            <w:tcW w:w="337" w:type="dxa"/>
          </w:tcPr>
          <w:p w14:paraId="5A598C23"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386208B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9FA6002" wp14:editId="254213AE">
                  <wp:extent cx="205520" cy="140017"/>
                  <wp:effectExtent l="0" t="0" r="0" b="0"/>
                  <wp:docPr id="21190975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20" cy="140017"/>
                          </a:xfrm>
                          <a:prstGeom prst="rect">
                            <a:avLst/>
                          </a:prstGeom>
                          <a:ln/>
                        </pic:spPr>
                      </pic:pic>
                    </a:graphicData>
                  </a:graphic>
                </wp:inline>
              </w:drawing>
            </w:r>
          </w:p>
        </w:tc>
        <w:tc>
          <w:tcPr>
            <w:tcW w:w="337" w:type="dxa"/>
          </w:tcPr>
          <w:p w14:paraId="23F4FA7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0839AAF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276038EB"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317466E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2F9C3B6" wp14:editId="72D62496">
                  <wp:extent cx="205520" cy="140017"/>
                  <wp:effectExtent l="0" t="0" r="0" b="0"/>
                  <wp:docPr id="21190975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20" cy="140017"/>
                          </a:xfrm>
                          <a:prstGeom prst="rect">
                            <a:avLst/>
                          </a:prstGeom>
                          <a:ln/>
                        </pic:spPr>
                      </pic:pic>
                    </a:graphicData>
                  </a:graphic>
                </wp:inline>
              </w:drawing>
            </w:r>
          </w:p>
        </w:tc>
        <w:tc>
          <w:tcPr>
            <w:tcW w:w="334" w:type="dxa"/>
          </w:tcPr>
          <w:p w14:paraId="599BF24C" w14:textId="77777777" w:rsidR="00D774D2" w:rsidRDefault="00D774D2" w:rsidP="00855B62">
            <w:pPr>
              <w:widowControl w:val="0"/>
              <w:pBdr>
                <w:top w:val="nil"/>
                <w:left w:val="nil"/>
                <w:bottom w:val="nil"/>
                <w:right w:val="nil"/>
                <w:between w:val="nil"/>
              </w:pBdr>
              <w:spacing w:before="11" w:after="0" w:line="240" w:lineRule="auto"/>
              <w:rPr>
                <w:rFonts w:ascii="Courier New" w:eastAsia="Courier New" w:hAnsi="Courier New" w:cs="Courier New"/>
                <w:color w:val="000000"/>
                <w:sz w:val="4"/>
                <w:szCs w:val="4"/>
              </w:rPr>
            </w:pPr>
          </w:p>
          <w:p w14:paraId="4EAB33A9"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C4677EB" wp14:editId="56733BBA">
                  <wp:extent cx="205520" cy="140017"/>
                  <wp:effectExtent l="0" t="0" r="0" b="0"/>
                  <wp:docPr id="21190975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20" cy="140017"/>
                          </a:xfrm>
                          <a:prstGeom prst="rect">
                            <a:avLst/>
                          </a:prstGeom>
                          <a:ln/>
                        </pic:spPr>
                      </pic:pic>
                    </a:graphicData>
                  </a:graphic>
                </wp:inline>
              </w:drawing>
            </w:r>
          </w:p>
        </w:tc>
        <w:tc>
          <w:tcPr>
            <w:tcW w:w="334" w:type="dxa"/>
          </w:tcPr>
          <w:p w14:paraId="18E9C35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5AF8D95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17B6E9E6"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Team based and networking/CCH can be integrated into existing health programs for professionals</w:t>
            </w:r>
          </w:p>
        </w:tc>
      </w:tr>
      <w:tr w:rsidR="00D774D2" w14:paraId="75445C09" w14:textId="77777777" w:rsidTr="00855B62">
        <w:trPr>
          <w:trHeight w:val="554"/>
        </w:trPr>
        <w:tc>
          <w:tcPr>
            <w:tcW w:w="2219" w:type="dxa"/>
          </w:tcPr>
          <w:p w14:paraId="7F0E8837"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r>
              <w:rPr>
                <w:rFonts w:ascii="Arial" w:eastAsia="Arial" w:hAnsi="Arial" w:cs="Arial"/>
                <w:color w:val="000000"/>
                <w:sz w:val="18"/>
                <w:szCs w:val="18"/>
              </w:rPr>
              <w:t>Aronsson et al., 2020</w:t>
            </w:r>
          </w:p>
        </w:tc>
        <w:tc>
          <w:tcPr>
            <w:tcW w:w="336" w:type="dxa"/>
          </w:tcPr>
          <w:p w14:paraId="6B8CABA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tcPr>
          <w:p w14:paraId="0EA2014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7818ECDE"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6F43F13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DC721BE" wp14:editId="7B664153">
                  <wp:extent cx="205358" cy="140017"/>
                  <wp:effectExtent l="0" t="0" r="0" b="0"/>
                  <wp:docPr id="21190975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1C88B80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440976B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3A1BC92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56FFECD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332E365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EE6BA7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448B1B93"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7ADBBC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CE4FC0C" wp14:editId="17A62B9C">
                  <wp:extent cx="205359" cy="140017"/>
                  <wp:effectExtent l="0" t="0" r="0" b="0"/>
                  <wp:docPr id="21190975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4F09B84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42EF66B7"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Simulation and scenario based/Barriers to unstainable practices identified; Exposure to sim allow for action in HCP</w:t>
            </w:r>
          </w:p>
        </w:tc>
      </w:tr>
      <w:tr w:rsidR="00D774D2" w14:paraId="57087EAE" w14:textId="77777777" w:rsidTr="00855B62">
        <w:trPr>
          <w:trHeight w:val="548"/>
        </w:trPr>
        <w:tc>
          <w:tcPr>
            <w:tcW w:w="2219" w:type="dxa"/>
          </w:tcPr>
          <w:p w14:paraId="5A8BB224" w14:textId="77777777" w:rsidR="00D774D2" w:rsidRDefault="00D774D2" w:rsidP="00855B62">
            <w:pPr>
              <w:widowControl w:val="0"/>
              <w:pBdr>
                <w:top w:val="nil"/>
                <w:left w:val="nil"/>
                <w:bottom w:val="nil"/>
                <w:right w:val="nil"/>
                <w:between w:val="nil"/>
              </w:pBdr>
              <w:spacing w:after="0" w:line="283" w:lineRule="auto"/>
              <w:rPr>
                <w:rFonts w:ascii="Arial" w:eastAsia="Arial" w:hAnsi="Arial" w:cs="Arial"/>
                <w:color w:val="000000"/>
                <w:sz w:val="18"/>
                <w:szCs w:val="18"/>
              </w:rPr>
            </w:pPr>
            <w:r>
              <w:rPr>
                <w:rFonts w:ascii="Arial" w:eastAsia="Arial" w:hAnsi="Arial" w:cs="Arial"/>
                <w:color w:val="000000"/>
                <w:sz w:val="18"/>
                <w:szCs w:val="18"/>
              </w:rPr>
              <w:t>Alvarez-Nieto et al., 2018</w:t>
            </w:r>
          </w:p>
        </w:tc>
        <w:tc>
          <w:tcPr>
            <w:tcW w:w="336" w:type="dxa"/>
          </w:tcPr>
          <w:p w14:paraId="3C3DE612"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DB015F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CE3AB94" wp14:editId="253A378A">
                  <wp:extent cx="205358" cy="140017"/>
                  <wp:effectExtent l="0" t="0" r="0" b="0"/>
                  <wp:docPr id="21190975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5747348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61B7787C"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6960B8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5717CC1" wp14:editId="2DCBC6DD">
                  <wp:extent cx="205358" cy="140017"/>
                  <wp:effectExtent l="0" t="0" r="0" b="0"/>
                  <wp:docPr id="21190975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55453C1E"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C20315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D98E273" wp14:editId="6D3451A2">
                  <wp:extent cx="205358" cy="140017"/>
                  <wp:effectExtent l="0" t="0" r="0" b="0"/>
                  <wp:docPr id="21190975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5A11229B"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E696BE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B2C976F" wp14:editId="48BA403C">
                  <wp:extent cx="205359" cy="140017"/>
                  <wp:effectExtent l="0" t="0" r="0" b="0"/>
                  <wp:docPr id="2119097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0D5D3D5C"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D07ADF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C3F1F81" wp14:editId="0CA86C50">
                  <wp:extent cx="205359" cy="140017"/>
                  <wp:effectExtent l="0" t="0" r="0" b="0"/>
                  <wp:docPr id="2119097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3AAAAC43"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09F48A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44FE160" wp14:editId="7785EF12">
                  <wp:extent cx="205359" cy="140017"/>
                  <wp:effectExtent l="0" t="0" r="0" b="0"/>
                  <wp:docPr id="21190975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39B2FEFE"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2ED255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8318584" wp14:editId="4EDBFC15">
                  <wp:extent cx="205359" cy="140017"/>
                  <wp:effectExtent l="0" t="0" r="0" b="0"/>
                  <wp:docPr id="21190975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7EBDACD4"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D9C2C6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8629761" wp14:editId="295657B4">
                  <wp:extent cx="205359" cy="140017"/>
                  <wp:effectExtent l="0" t="0" r="0" b="0"/>
                  <wp:docPr id="21190975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7B5FB70A"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1FDFC1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06F6AB5" wp14:editId="7D5D852E">
                  <wp:extent cx="205359" cy="140017"/>
                  <wp:effectExtent l="0" t="0" r="0" b="0"/>
                  <wp:docPr id="21190975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27BD933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2EC5850A"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Various/Use of case studies or</w:t>
            </w:r>
          </w:p>
          <w:p w14:paraId="6A8DA539"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problem solving identified to improve materials</w:t>
            </w:r>
          </w:p>
        </w:tc>
      </w:tr>
      <w:tr w:rsidR="00D774D2" w14:paraId="04B3D249" w14:textId="77777777" w:rsidTr="00855B62">
        <w:trPr>
          <w:trHeight w:val="414"/>
        </w:trPr>
        <w:tc>
          <w:tcPr>
            <w:tcW w:w="2219" w:type="dxa"/>
          </w:tcPr>
          <w:p w14:paraId="7BF0C687" w14:textId="77777777" w:rsidR="00D774D2" w:rsidRDefault="00D774D2" w:rsidP="00855B62">
            <w:pPr>
              <w:widowControl w:val="0"/>
              <w:pBdr>
                <w:top w:val="nil"/>
                <w:left w:val="nil"/>
                <w:bottom w:val="nil"/>
                <w:right w:val="nil"/>
                <w:between w:val="nil"/>
              </w:pBdr>
              <w:spacing w:after="0" w:line="237" w:lineRule="auto"/>
              <w:rPr>
                <w:rFonts w:ascii="Arial" w:eastAsia="Arial" w:hAnsi="Arial" w:cs="Arial"/>
                <w:color w:val="000000"/>
                <w:sz w:val="23"/>
                <w:szCs w:val="23"/>
                <w:vertAlign w:val="superscript"/>
              </w:rPr>
            </w:pPr>
            <w:r>
              <w:rPr>
                <w:rFonts w:ascii="Arial" w:eastAsia="Arial" w:hAnsi="Arial" w:cs="Arial"/>
                <w:color w:val="000000"/>
                <w:sz w:val="18"/>
                <w:szCs w:val="18"/>
              </w:rPr>
              <w:t>Grose and Richardson, 2016</w:t>
            </w:r>
          </w:p>
        </w:tc>
        <w:tc>
          <w:tcPr>
            <w:tcW w:w="336" w:type="dxa"/>
          </w:tcPr>
          <w:p w14:paraId="5EFD29C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tcPr>
          <w:p w14:paraId="313846C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57011750"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FE8470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7CB376A" wp14:editId="1A19A12C">
                  <wp:extent cx="205358" cy="140017"/>
                  <wp:effectExtent l="0" t="0" r="0" b="0"/>
                  <wp:docPr id="21190975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6CF9D81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47E4EB6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3428065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7E891B3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6CE5E95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4B3693A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7CAC1F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0880BE5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448C948" wp14:editId="575EC71E">
                  <wp:extent cx="205359" cy="140017"/>
                  <wp:effectExtent l="0" t="0" r="0" b="0"/>
                  <wp:docPr id="21190975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4E1392C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5FF2E7CF"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Simulation and scenario based/Health organization processes conflict with sustainability initiatives; highly relevant</w:t>
            </w:r>
          </w:p>
        </w:tc>
      </w:tr>
      <w:tr w:rsidR="00D774D2" w14:paraId="5360537D" w14:textId="77777777" w:rsidTr="00855B62">
        <w:trPr>
          <w:trHeight w:val="424"/>
        </w:trPr>
        <w:tc>
          <w:tcPr>
            <w:tcW w:w="2219" w:type="dxa"/>
          </w:tcPr>
          <w:p w14:paraId="0196E515" w14:textId="77777777" w:rsidR="00D774D2" w:rsidRDefault="00D774D2" w:rsidP="00855B62">
            <w:pPr>
              <w:widowControl w:val="0"/>
              <w:pBdr>
                <w:top w:val="nil"/>
                <w:left w:val="nil"/>
                <w:bottom w:val="nil"/>
                <w:right w:val="nil"/>
                <w:between w:val="nil"/>
              </w:pBdr>
              <w:spacing w:before="1"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Dunne et al., 2022</w:t>
            </w:r>
          </w:p>
        </w:tc>
        <w:tc>
          <w:tcPr>
            <w:tcW w:w="336" w:type="dxa"/>
          </w:tcPr>
          <w:p w14:paraId="14DF10B4" w14:textId="77777777" w:rsidR="00D774D2" w:rsidRDefault="00D774D2" w:rsidP="00855B62">
            <w:pPr>
              <w:widowControl w:val="0"/>
              <w:pBdr>
                <w:top w:val="nil"/>
                <w:left w:val="nil"/>
                <w:bottom w:val="nil"/>
                <w:right w:val="nil"/>
                <w:between w:val="nil"/>
              </w:pBdr>
              <w:spacing w:before="10" w:after="0" w:line="240" w:lineRule="auto"/>
              <w:rPr>
                <w:rFonts w:ascii="Courier New" w:eastAsia="Courier New" w:hAnsi="Courier New" w:cs="Courier New"/>
                <w:color w:val="000000"/>
                <w:sz w:val="4"/>
                <w:szCs w:val="4"/>
              </w:rPr>
            </w:pPr>
          </w:p>
          <w:p w14:paraId="4C90741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A099C51" wp14:editId="0DBEC823">
                  <wp:extent cx="205995" cy="140017"/>
                  <wp:effectExtent l="0" t="0" r="0" b="0"/>
                  <wp:docPr id="21190975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95" cy="140017"/>
                          </a:xfrm>
                          <a:prstGeom prst="rect">
                            <a:avLst/>
                          </a:prstGeom>
                          <a:ln/>
                        </pic:spPr>
                      </pic:pic>
                    </a:graphicData>
                  </a:graphic>
                </wp:inline>
              </w:drawing>
            </w:r>
          </w:p>
        </w:tc>
        <w:tc>
          <w:tcPr>
            <w:tcW w:w="339" w:type="dxa"/>
          </w:tcPr>
          <w:p w14:paraId="5CC2DCF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3AA3542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26E0625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092A6FD7" w14:textId="77777777" w:rsidR="00D774D2" w:rsidRDefault="00D774D2" w:rsidP="00855B62">
            <w:pPr>
              <w:widowControl w:val="0"/>
              <w:pBdr>
                <w:top w:val="nil"/>
                <w:left w:val="nil"/>
                <w:bottom w:val="nil"/>
                <w:right w:val="nil"/>
                <w:between w:val="nil"/>
              </w:pBdr>
              <w:spacing w:before="10" w:after="0" w:line="240" w:lineRule="auto"/>
              <w:rPr>
                <w:rFonts w:ascii="Courier New" w:eastAsia="Courier New" w:hAnsi="Courier New" w:cs="Courier New"/>
                <w:color w:val="000000"/>
                <w:sz w:val="4"/>
                <w:szCs w:val="4"/>
              </w:rPr>
            </w:pPr>
          </w:p>
          <w:p w14:paraId="3C114DB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B10B217" wp14:editId="7A8D1237">
                  <wp:extent cx="205995" cy="140017"/>
                  <wp:effectExtent l="0" t="0" r="0" b="0"/>
                  <wp:docPr id="21190976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95" cy="140017"/>
                          </a:xfrm>
                          <a:prstGeom prst="rect">
                            <a:avLst/>
                          </a:prstGeom>
                          <a:ln/>
                        </pic:spPr>
                      </pic:pic>
                    </a:graphicData>
                  </a:graphic>
                </wp:inline>
              </w:drawing>
            </w:r>
          </w:p>
        </w:tc>
        <w:tc>
          <w:tcPr>
            <w:tcW w:w="337" w:type="dxa"/>
          </w:tcPr>
          <w:p w14:paraId="7EDF51AC" w14:textId="77777777" w:rsidR="00D774D2" w:rsidRDefault="00D774D2" w:rsidP="00855B62">
            <w:pPr>
              <w:widowControl w:val="0"/>
              <w:pBdr>
                <w:top w:val="nil"/>
                <w:left w:val="nil"/>
                <w:bottom w:val="nil"/>
                <w:right w:val="nil"/>
                <w:between w:val="nil"/>
              </w:pBdr>
              <w:spacing w:before="10" w:after="0" w:line="240" w:lineRule="auto"/>
              <w:rPr>
                <w:rFonts w:ascii="Courier New" w:eastAsia="Courier New" w:hAnsi="Courier New" w:cs="Courier New"/>
                <w:color w:val="000000"/>
                <w:sz w:val="4"/>
                <w:szCs w:val="4"/>
              </w:rPr>
            </w:pPr>
          </w:p>
          <w:p w14:paraId="584D3EC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100BD8C" wp14:editId="6474572F">
                  <wp:extent cx="205995" cy="140017"/>
                  <wp:effectExtent l="0" t="0" r="0" b="0"/>
                  <wp:docPr id="21190975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95" cy="140017"/>
                          </a:xfrm>
                          <a:prstGeom prst="rect">
                            <a:avLst/>
                          </a:prstGeom>
                          <a:ln/>
                        </pic:spPr>
                      </pic:pic>
                    </a:graphicData>
                  </a:graphic>
                </wp:inline>
              </w:drawing>
            </w:r>
          </w:p>
        </w:tc>
        <w:tc>
          <w:tcPr>
            <w:tcW w:w="342" w:type="dxa"/>
          </w:tcPr>
          <w:p w14:paraId="266E258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6AA329B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108585F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6D70243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229947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10316E47"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Module based/Significant improvement in knowledge in CCHS post intervention</w:t>
            </w:r>
          </w:p>
        </w:tc>
      </w:tr>
      <w:tr w:rsidR="00D774D2" w14:paraId="59CABBF1" w14:textId="77777777" w:rsidTr="00855B62">
        <w:trPr>
          <w:trHeight w:val="566"/>
        </w:trPr>
        <w:tc>
          <w:tcPr>
            <w:tcW w:w="2219" w:type="dxa"/>
          </w:tcPr>
          <w:p w14:paraId="316FCE02" w14:textId="77777777" w:rsidR="00D774D2" w:rsidRDefault="00D774D2" w:rsidP="00855B62">
            <w:pPr>
              <w:widowControl w:val="0"/>
              <w:pBdr>
                <w:top w:val="nil"/>
                <w:left w:val="nil"/>
                <w:bottom w:val="nil"/>
                <w:right w:val="nil"/>
                <w:between w:val="nil"/>
              </w:pBdr>
              <w:spacing w:after="0" w:line="235" w:lineRule="auto"/>
              <w:rPr>
                <w:rFonts w:ascii="Arial" w:eastAsia="Arial" w:hAnsi="Arial" w:cs="Arial"/>
                <w:color w:val="000000"/>
                <w:sz w:val="23"/>
                <w:szCs w:val="23"/>
                <w:vertAlign w:val="superscript"/>
              </w:rPr>
            </w:pPr>
            <w:r>
              <w:rPr>
                <w:rFonts w:ascii="Arial" w:eastAsia="Arial" w:hAnsi="Arial" w:cs="Arial"/>
                <w:color w:val="000000"/>
                <w:sz w:val="18"/>
                <w:szCs w:val="18"/>
              </w:rPr>
              <w:t>Nguyen et al., 2021</w:t>
            </w:r>
          </w:p>
        </w:tc>
        <w:tc>
          <w:tcPr>
            <w:tcW w:w="336" w:type="dxa"/>
          </w:tcPr>
          <w:p w14:paraId="293EF646"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6F7AA33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E41902C" wp14:editId="1444C99E">
                  <wp:extent cx="205358" cy="140017"/>
                  <wp:effectExtent l="0" t="0" r="0" b="0"/>
                  <wp:docPr id="21190975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4ED428E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3C32217A"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6A3B0CF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DF77FE0" wp14:editId="0AF1872D">
                  <wp:extent cx="205358" cy="140017"/>
                  <wp:effectExtent l="0" t="0" r="0" b="0"/>
                  <wp:docPr id="21190975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766CB8FD"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4401C5A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EDB71CE" wp14:editId="73A9EF55">
                  <wp:extent cx="205358" cy="140017"/>
                  <wp:effectExtent l="0" t="0" r="0" b="0"/>
                  <wp:docPr id="21190975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1307BE4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2B1B8F3F"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5B533B7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94F87B0" wp14:editId="5B1555DC">
                  <wp:extent cx="205359" cy="140017"/>
                  <wp:effectExtent l="0" t="0" r="0" b="0"/>
                  <wp:docPr id="21190975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231D9E20"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4247ED31"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C8BBA7A" wp14:editId="777DC730">
                  <wp:extent cx="205359" cy="140017"/>
                  <wp:effectExtent l="0" t="0" r="0" b="0"/>
                  <wp:docPr id="21190975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5C635A2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6A864C7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3D30DB02" w14:textId="77777777" w:rsidR="00D774D2" w:rsidRDefault="00D774D2" w:rsidP="00855B62">
            <w:pPr>
              <w:widowControl w:val="0"/>
              <w:pBdr>
                <w:top w:val="nil"/>
                <w:left w:val="nil"/>
                <w:bottom w:val="nil"/>
                <w:right w:val="nil"/>
                <w:between w:val="nil"/>
              </w:pBdr>
              <w:spacing w:before="9" w:after="0" w:line="240" w:lineRule="auto"/>
              <w:rPr>
                <w:rFonts w:ascii="Courier New" w:eastAsia="Courier New" w:hAnsi="Courier New" w:cs="Courier New"/>
                <w:color w:val="000000"/>
                <w:sz w:val="4"/>
                <w:szCs w:val="4"/>
              </w:rPr>
            </w:pPr>
          </w:p>
          <w:p w14:paraId="164EAAC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F4F79B8" wp14:editId="16FD564C">
                  <wp:extent cx="205359" cy="140017"/>
                  <wp:effectExtent l="0" t="0" r="0" b="0"/>
                  <wp:docPr id="21190975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62FA5FF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3A409877" w14:textId="77777777" w:rsidR="00D774D2" w:rsidRDefault="00D774D2" w:rsidP="00855B62">
            <w:pPr>
              <w:widowControl w:val="0"/>
              <w:pBdr>
                <w:top w:val="nil"/>
                <w:left w:val="nil"/>
                <w:bottom w:val="nil"/>
                <w:right w:val="nil"/>
                <w:between w:val="nil"/>
              </w:pBdr>
              <w:spacing w:after="0" w:line="242" w:lineRule="auto"/>
              <w:rPr>
                <w:rFonts w:ascii="Arial" w:eastAsia="Arial" w:hAnsi="Arial" w:cs="Arial"/>
                <w:color w:val="000000"/>
                <w:sz w:val="18"/>
                <w:szCs w:val="18"/>
              </w:rPr>
            </w:pPr>
            <w:r>
              <w:rPr>
                <w:rFonts w:ascii="Arial" w:eastAsia="Arial" w:hAnsi="Arial" w:cs="Arial"/>
                <w:color w:val="000000"/>
                <w:sz w:val="18"/>
                <w:szCs w:val="18"/>
              </w:rPr>
              <w:t>Lecture and team based/Course relevant to profession and</w:t>
            </w:r>
          </w:p>
          <w:p w14:paraId="5B25F23C"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personal life; guest speakers view positively</w:t>
            </w:r>
          </w:p>
        </w:tc>
      </w:tr>
      <w:tr w:rsidR="00D774D2" w14:paraId="77300CD8" w14:textId="77777777" w:rsidTr="00855B62">
        <w:trPr>
          <w:trHeight w:val="557"/>
        </w:trPr>
        <w:tc>
          <w:tcPr>
            <w:tcW w:w="2219" w:type="dxa"/>
          </w:tcPr>
          <w:p w14:paraId="5198E5B7"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Bell and </w:t>
            </w:r>
            <w:proofErr w:type="spellStart"/>
            <w:r>
              <w:rPr>
                <w:rFonts w:ascii="Arial" w:eastAsia="Arial" w:hAnsi="Arial" w:cs="Arial"/>
                <w:color w:val="000000"/>
                <w:sz w:val="18"/>
                <w:szCs w:val="18"/>
              </w:rPr>
              <w:t>Potempa</w:t>
            </w:r>
            <w:proofErr w:type="spellEnd"/>
            <w:r>
              <w:rPr>
                <w:rFonts w:ascii="Arial" w:eastAsia="Arial" w:hAnsi="Arial" w:cs="Arial"/>
                <w:color w:val="000000"/>
                <w:sz w:val="18"/>
                <w:szCs w:val="18"/>
              </w:rPr>
              <w:t>,</w:t>
            </w:r>
          </w:p>
          <w:p w14:paraId="71B17D29" w14:textId="77777777" w:rsidR="00D774D2" w:rsidRDefault="00D774D2" w:rsidP="00855B62">
            <w:pPr>
              <w:widowControl w:val="0"/>
              <w:pBdr>
                <w:top w:val="nil"/>
                <w:left w:val="nil"/>
                <w:bottom w:val="nil"/>
                <w:right w:val="nil"/>
                <w:between w:val="nil"/>
              </w:pBdr>
              <w:spacing w:after="0" w:line="239" w:lineRule="auto"/>
              <w:rPr>
                <w:rFonts w:ascii="Arial" w:eastAsia="Arial" w:hAnsi="Arial" w:cs="Arial"/>
                <w:color w:val="000000"/>
                <w:sz w:val="23"/>
                <w:szCs w:val="23"/>
                <w:vertAlign w:val="superscript"/>
              </w:rPr>
            </w:pPr>
            <w:r>
              <w:rPr>
                <w:rFonts w:ascii="Arial" w:eastAsia="Arial" w:hAnsi="Arial" w:cs="Arial"/>
                <w:color w:val="000000"/>
                <w:sz w:val="18"/>
                <w:szCs w:val="18"/>
              </w:rPr>
              <w:t>2016</w:t>
            </w:r>
          </w:p>
        </w:tc>
        <w:tc>
          <w:tcPr>
            <w:tcW w:w="336" w:type="dxa"/>
            <w:shd w:val="clear" w:color="auto" w:fill="7E7E7E"/>
          </w:tcPr>
          <w:p w14:paraId="411B8C6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shd w:val="clear" w:color="auto" w:fill="7E7E7E"/>
          </w:tcPr>
          <w:p w14:paraId="58E509B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65B3100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217A556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6D2C069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4D06DB4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1B17F53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0126E31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4BE2FEB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5E51802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77AE31C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70B8A8C9" w14:textId="77777777" w:rsidR="00D774D2" w:rsidRDefault="00D774D2" w:rsidP="00855B62">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Lecture based/Value of training faculty on CCHS and providing materials</w:t>
            </w:r>
          </w:p>
        </w:tc>
      </w:tr>
      <w:tr w:rsidR="00D774D2" w14:paraId="13F0DE4E" w14:textId="77777777" w:rsidTr="00855B62">
        <w:trPr>
          <w:trHeight w:val="410"/>
        </w:trPr>
        <w:tc>
          <w:tcPr>
            <w:tcW w:w="2219" w:type="dxa"/>
          </w:tcPr>
          <w:p w14:paraId="0969B4FB"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proofErr w:type="spellStart"/>
            <w:r>
              <w:rPr>
                <w:rFonts w:ascii="Arial" w:eastAsia="Arial" w:hAnsi="Arial" w:cs="Arial"/>
                <w:color w:val="000000"/>
                <w:sz w:val="18"/>
                <w:szCs w:val="18"/>
              </w:rPr>
              <w:lastRenderedPageBreak/>
              <w:t>Mankbadi</w:t>
            </w:r>
            <w:proofErr w:type="spellEnd"/>
            <w:r>
              <w:rPr>
                <w:rFonts w:ascii="Arial" w:eastAsia="Arial" w:hAnsi="Arial" w:cs="Arial"/>
                <w:color w:val="000000"/>
                <w:sz w:val="18"/>
                <w:szCs w:val="18"/>
              </w:rPr>
              <w:t xml:space="preserve"> et al., 2017</w:t>
            </w:r>
          </w:p>
        </w:tc>
        <w:tc>
          <w:tcPr>
            <w:tcW w:w="336" w:type="dxa"/>
            <w:shd w:val="clear" w:color="auto" w:fill="7E7E7E"/>
          </w:tcPr>
          <w:p w14:paraId="3750B41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shd w:val="clear" w:color="auto" w:fill="7E7E7E"/>
          </w:tcPr>
          <w:p w14:paraId="2E188A1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7E76DB7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30CD494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4E8110B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486B3A3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54A4FB8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5851BEE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5314CC5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5FEF7F6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01F7071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7CD8603C"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Simulation and scenario based/Simulations low budget and effective</w:t>
            </w:r>
          </w:p>
        </w:tc>
      </w:tr>
      <w:tr w:rsidR="00D774D2" w14:paraId="19451612" w14:textId="77777777" w:rsidTr="00D8283E">
        <w:trPr>
          <w:trHeight w:val="422"/>
        </w:trPr>
        <w:tc>
          <w:tcPr>
            <w:tcW w:w="2219" w:type="dxa"/>
          </w:tcPr>
          <w:p w14:paraId="1A8D0E29"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proofErr w:type="spellStart"/>
            <w:r>
              <w:rPr>
                <w:rFonts w:ascii="Arial" w:eastAsia="Arial" w:hAnsi="Arial" w:cs="Arial"/>
                <w:color w:val="000000"/>
                <w:sz w:val="18"/>
                <w:szCs w:val="18"/>
              </w:rPr>
              <w:t>Haerr</w:t>
            </w:r>
            <w:proofErr w:type="spellEnd"/>
            <w:r>
              <w:rPr>
                <w:rFonts w:ascii="Arial" w:eastAsia="Arial" w:hAnsi="Arial" w:cs="Arial"/>
                <w:color w:val="000000"/>
                <w:sz w:val="18"/>
                <w:szCs w:val="18"/>
              </w:rPr>
              <w:t xml:space="preserve"> and Larkins-Pettigrew,2017</w:t>
            </w:r>
          </w:p>
        </w:tc>
        <w:tc>
          <w:tcPr>
            <w:tcW w:w="336" w:type="dxa"/>
            <w:shd w:val="clear" w:color="auto" w:fill="7E7E7E"/>
          </w:tcPr>
          <w:p w14:paraId="3064FAB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shd w:val="clear" w:color="auto" w:fill="7E7E7E"/>
          </w:tcPr>
          <w:p w14:paraId="2CF3CED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2053186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2EDCCCE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67ADF32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1755868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4716590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3F61808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1A8BF2D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05EEEB8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39CD9AD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1FB90D6F"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Lecture and field work based/Usefulness of field work in resource limited settings</w:t>
            </w:r>
          </w:p>
        </w:tc>
      </w:tr>
      <w:tr w:rsidR="00D774D2" w14:paraId="4F6FDB5D" w14:textId="77777777" w:rsidTr="00D8283E">
        <w:trPr>
          <w:trHeight w:val="413"/>
        </w:trPr>
        <w:tc>
          <w:tcPr>
            <w:tcW w:w="2219" w:type="dxa"/>
          </w:tcPr>
          <w:p w14:paraId="0A6C739A" w14:textId="77777777" w:rsidR="00D774D2" w:rsidRDefault="00D774D2" w:rsidP="00855B62">
            <w:pPr>
              <w:widowControl w:val="0"/>
              <w:pBdr>
                <w:top w:val="nil"/>
                <w:left w:val="nil"/>
                <w:bottom w:val="nil"/>
                <w:right w:val="nil"/>
                <w:between w:val="nil"/>
              </w:pBdr>
              <w:spacing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McKim et al., 2020</w:t>
            </w:r>
          </w:p>
        </w:tc>
        <w:tc>
          <w:tcPr>
            <w:tcW w:w="336" w:type="dxa"/>
          </w:tcPr>
          <w:p w14:paraId="7D9BA43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tcPr>
          <w:p w14:paraId="56F8114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05BB79E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04416E97"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5D3C432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FE45BE8" wp14:editId="46A692E5">
                  <wp:extent cx="205558" cy="140017"/>
                  <wp:effectExtent l="0" t="0" r="0" b="0"/>
                  <wp:docPr id="21190975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58" cy="140017"/>
                          </a:xfrm>
                          <a:prstGeom prst="rect">
                            <a:avLst/>
                          </a:prstGeom>
                          <a:ln/>
                        </pic:spPr>
                      </pic:pic>
                    </a:graphicData>
                  </a:graphic>
                </wp:inline>
              </w:drawing>
            </w:r>
          </w:p>
        </w:tc>
        <w:tc>
          <w:tcPr>
            <w:tcW w:w="337" w:type="dxa"/>
          </w:tcPr>
          <w:p w14:paraId="6BE87CF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510EF51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45DE03D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71474D8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57768491"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78C89BF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F5E3D32" wp14:editId="5D5E977B">
                  <wp:extent cx="205558" cy="140017"/>
                  <wp:effectExtent l="0" t="0" r="0" b="0"/>
                  <wp:docPr id="21190975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58" cy="140017"/>
                          </a:xfrm>
                          <a:prstGeom prst="rect">
                            <a:avLst/>
                          </a:prstGeom>
                          <a:ln/>
                        </pic:spPr>
                      </pic:pic>
                    </a:graphicData>
                  </a:graphic>
                </wp:inline>
              </w:drawing>
            </w:r>
          </w:p>
        </w:tc>
        <w:tc>
          <w:tcPr>
            <w:tcW w:w="334" w:type="dxa"/>
          </w:tcPr>
          <w:p w14:paraId="4315600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2610BC3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6B123AA3"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Simulation based/Increased confidence and abilities to respond to climate change</w:t>
            </w:r>
          </w:p>
          <w:p w14:paraId="35606E2F" w14:textId="77777777" w:rsidR="00D774D2" w:rsidRDefault="00D774D2" w:rsidP="00855B62">
            <w:pPr>
              <w:widowControl w:val="0"/>
              <w:pBdr>
                <w:top w:val="nil"/>
                <w:left w:val="nil"/>
                <w:bottom w:val="nil"/>
                <w:right w:val="nil"/>
                <w:between w:val="nil"/>
              </w:pBdr>
              <w:spacing w:after="0" w:line="192" w:lineRule="auto"/>
              <w:rPr>
                <w:rFonts w:ascii="Arial" w:eastAsia="Arial" w:hAnsi="Arial" w:cs="Arial"/>
                <w:color w:val="000000"/>
                <w:sz w:val="18"/>
                <w:szCs w:val="18"/>
              </w:rPr>
            </w:pPr>
            <w:r>
              <w:rPr>
                <w:rFonts w:ascii="Arial" w:eastAsia="Arial" w:hAnsi="Arial" w:cs="Arial"/>
                <w:color w:val="000000"/>
                <w:sz w:val="18"/>
                <w:szCs w:val="18"/>
              </w:rPr>
              <w:t>emergencies</w:t>
            </w:r>
          </w:p>
        </w:tc>
      </w:tr>
      <w:tr w:rsidR="00D774D2" w14:paraId="3E8A8425" w14:textId="77777777" w:rsidTr="00855B62">
        <w:trPr>
          <w:trHeight w:val="289"/>
        </w:trPr>
        <w:tc>
          <w:tcPr>
            <w:tcW w:w="2219" w:type="dxa"/>
          </w:tcPr>
          <w:p w14:paraId="113F53E8"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proofErr w:type="spellStart"/>
            <w:r>
              <w:rPr>
                <w:rFonts w:ascii="Arial" w:eastAsia="Arial" w:hAnsi="Arial" w:cs="Arial"/>
                <w:color w:val="000000"/>
                <w:sz w:val="18"/>
                <w:szCs w:val="18"/>
              </w:rPr>
              <w:t>Wortzel</w:t>
            </w:r>
            <w:proofErr w:type="spellEnd"/>
            <w:r>
              <w:rPr>
                <w:rFonts w:ascii="Arial" w:eastAsia="Arial" w:hAnsi="Arial" w:cs="Arial"/>
                <w:color w:val="000000"/>
                <w:sz w:val="18"/>
                <w:szCs w:val="18"/>
              </w:rPr>
              <w:t xml:space="preserve"> and Feder, 2023</w:t>
            </w:r>
          </w:p>
        </w:tc>
        <w:tc>
          <w:tcPr>
            <w:tcW w:w="336" w:type="dxa"/>
          </w:tcPr>
          <w:p w14:paraId="4582ABF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tcPr>
          <w:p w14:paraId="410B3363"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65BF39F3"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0E62E51" wp14:editId="698B8ABA">
                  <wp:extent cx="205358" cy="140017"/>
                  <wp:effectExtent l="0" t="0" r="0" b="0"/>
                  <wp:docPr id="21190975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741F091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65AC0A0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14096638"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47A3243F"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955EF58" wp14:editId="60CBBA6A">
                  <wp:extent cx="205359" cy="140017"/>
                  <wp:effectExtent l="0" t="0" r="0" b="0"/>
                  <wp:docPr id="21190975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58B25DA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4DC0990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70BC747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8CC026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1584B38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1EE8564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5241BA07"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Simulation based/Value of providing efficacy and advocacy CCHS to clinicians</w:t>
            </w:r>
          </w:p>
        </w:tc>
      </w:tr>
      <w:tr w:rsidR="00D774D2" w14:paraId="7B19F78F" w14:textId="77777777" w:rsidTr="00855B62">
        <w:trPr>
          <w:trHeight w:val="497"/>
        </w:trPr>
        <w:tc>
          <w:tcPr>
            <w:tcW w:w="2219" w:type="dxa"/>
          </w:tcPr>
          <w:p w14:paraId="62FC64F8" w14:textId="77777777" w:rsidR="00D774D2" w:rsidRDefault="00D774D2" w:rsidP="00855B62">
            <w:pPr>
              <w:widowControl w:val="0"/>
              <w:pBdr>
                <w:top w:val="nil"/>
                <w:left w:val="nil"/>
                <w:bottom w:val="nil"/>
                <w:right w:val="nil"/>
                <w:between w:val="nil"/>
              </w:pBdr>
              <w:spacing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Linton et al., 2021</w:t>
            </w:r>
          </w:p>
        </w:tc>
        <w:tc>
          <w:tcPr>
            <w:tcW w:w="336" w:type="dxa"/>
            <w:shd w:val="clear" w:color="auto" w:fill="7E7E7E"/>
          </w:tcPr>
          <w:p w14:paraId="07BA5CA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9" w:type="dxa"/>
            <w:shd w:val="clear" w:color="auto" w:fill="7E7E7E"/>
          </w:tcPr>
          <w:p w14:paraId="1381555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63B419A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shd w:val="clear" w:color="auto" w:fill="7E7E7E"/>
          </w:tcPr>
          <w:p w14:paraId="0F48680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67CC421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shd w:val="clear" w:color="auto" w:fill="7E7E7E"/>
          </w:tcPr>
          <w:p w14:paraId="220F586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41BE185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shd w:val="clear" w:color="auto" w:fill="7E7E7E"/>
          </w:tcPr>
          <w:p w14:paraId="34B7B32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0661470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5CED7E5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shd w:val="clear" w:color="auto" w:fill="7E7E7E"/>
          </w:tcPr>
          <w:p w14:paraId="1E14204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052618E3"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Utilization of blogs/Intervention changed attitudes and use of blogs was favorable to</w:t>
            </w:r>
          </w:p>
          <w:p w14:paraId="21956394" w14:textId="77777777" w:rsidR="00D774D2" w:rsidRDefault="00D774D2" w:rsidP="00855B62">
            <w:pPr>
              <w:widowControl w:val="0"/>
              <w:pBdr>
                <w:top w:val="nil"/>
                <w:left w:val="nil"/>
                <w:bottom w:val="nil"/>
                <w:right w:val="nil"/>
                <w:between w:val="nil"/>
              </w:pBdr>
              <w:spacing w:after="0" w:line="192" w:lineRule="auto"/>
              <w:rPr>
                <w:rFonts w:ascii="Arial" w:eastAsia="Arial" w:hAnsi="Arial" w:cs="Arial"/>
                <w:color w:val="000000"/>
                <w:sz w:val="18"/>
                <w:szCs w:val="18"/>
              </w:rPr>
            </w:pPr>
            <w:r>
              <w:rPr>
                <w:rFonts w:ascii="Arial" w:eastAsia="Arial" w:hAnsi="Arial" w:cs="Arial"/>
                <w:color w:val="000000"/>
                <w:sz w:val="18"/>
                <w:szCs w:val="18"/>
              </w:rPr>
              <w:t>participants</w:t>
            </w:r>
          </w:p>
        </w:tc>
      </w:tr>
      <w:tr w:rsidR="00D774D2" w14:paraId="3A8A08B4" w14:textId="77777777" w:rsidTr="00855B62">
        <w:trPr>
          <w:trHeight w:val="561"/>
        </w:trPr>
        <w:tc>
          <w:tcPr>
            <w:tcW w:w="2219" w:type="dxa"/>
          </w:tcPr>
          <w:p w14:paraId="2E3B1E23" w14:textId="77777777" w:rsidR="00D774D2" w:rsidRDefault="00D774D2" w:rsidP="00855B62">
            <w:pPr>
              <w:widowControl w:val="0"/>
              <w:pBdr>
                <w:top w:val="nil"/>
                <w:left w:val="nil"/>
                <w:bottom w:val="nil"/>
                <w:right w:val="nil"/>
                <w:between w:val="nil"/>
              </w:pBdr>
              <w:spacing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Miracle et al., 2023</w:t>
            </w:r>
          </w:p>
        </w:tc>
        <w:tc>
          <w:tcPr>
            <w:tcW w:w="336" w:type="dxa"/>
          </w:tcPr>
          <w:p w14:paraId="2D0001DA"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7453D991"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2BB5E3C" wp14:editId="691AE296">
                  <wp:extent cx="205358" cy="140017"/>
                  <wp:effectExtent l="0" t="0" r="0" b="0"/>
                  <wp:docPr id="21190975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4FCE738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3E33ED5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692626B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77A8D03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22499B1D"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7CD0713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7737693" wp14:editId="3398CD54">
                  <wp:extent cx="205359" cy="140017"/>
                  <wp:effectExtent l="0" t="0" r="0" b="0"/>
                  <wp:docPr id="21190976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63932D7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2044A90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514D66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0B72AA2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48F6677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2FED37FF"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Lecture and team based/Following intervention participants felt more concerned for patients on Climate Change</w:t>
            </w:r>
          </w:p>
        </w:tc>
      </w:tr>
      <w:tr w:rsidR="00D774D2" w14:paraId="71D55125" w14:textId="77777777" w:rsidTr="00855B62">
        <w:trPr>
          <w:trHeight w:val="323"/>
        </w:trPr>
        <w:tc>
          <w:tcPr>
            <w:tcW w:w="2219" w:type="dxa"/>
          </w:tcPr>
          <w:p w14:paraId="5C7CBDC7" w14:textId="77777777" w:rsidR="00D774D2" w:rsidRDefault="00D774D2" w:rsidP="00855B62">
            <w:pPr>
              <w:widowControl w:val="0"/>
              <w:pBdr>
                <w:top w:val="nil"/>
                <w:left w:val="nil"/>
                <w:bottom w:val="nil"/>
                <w:right w:val="nil"/>
                <w:between w:val="nil"/>
              </w:pBdr>
              <w:spacing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McElroy et al., 2020</w:t>
            </w:r>
          </w:p>
        </w:tc>
        <w:tc>
          <w:tcPr>
            <w:tcW w:w="336" w:type="dxa"/>
          </w:tcPr>
          <w:p w14:paraId="388953B6"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075D2D7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809E6E3" wp14:editId="7EEB3DFF">
                  <wp:extent cx="205358" cy="140017"/>
                  <wp:effectExtent l="0" t="0" r="0" b="0"/>
                  <wp:docPr id="21190976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1CA6A2A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3FBA8169"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71038171"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1B64DEF" wp14:editId="69D88BAF">
                  <wp:extent cx="205358" cy="140017"/>
                  <wp:effectExtent l="0" t="0" r="0" b="0"/>
                  <wp:docPr id="21190976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2E89C64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7687B5B4"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4F52B18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373ABD1" wp14:editId="77933256">
                  <wp:extent cx="205359" cy="140017"/>
                  <wp:effectExtent l="0" t="0" r="0" b="0"/>
                  <wp:docPr id="21190976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32715AB1"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41B0F93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4FEFD09" wp14:editId="253E1C69">
                  <wp:extent cx="205359" cy="140017"/>
                  <wp:effectExtent l="0" t="0" r="0" b="0"/>
                  <wp:docPr id="21190976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3D548BD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6F84A18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4E3662C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1778744A"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0312085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AD4AF53" wp14:editId="2C56F26C">
                  <wp:extent cx="205359" cy="140017"/>
                  <wp:effectExtent l="0" t="0" r="0" b="0"/>
                  <wp:docPr id="21190976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65D7843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17F8272C"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Online learning based/Clinicians able to use training and apply to</w:t>
            </w:r>
          </w:p>
          <w:p w14:paraId="260390C3" w14:textId="77777777" w:rsidR="00D774D2" w:rsidRDefault="00D774D2" w:rsidP="00855B62">
            <w:pPr>
              <w:widowControl w:val="0"/>
              <w:pBdr>
                <w:top w:val="nil"/>
                <w:left w:val="nil"/>
                <w:bottom w:val="nil"/>
                <w:right w:val="nil"/>
                <w:between w:val="nil"/>
              </w:pBdr>
              <w:spacing w:after="0" w:line="192" w:lineRule="auto"/>
              <w:rPr>
                <w:rFonts w:ascii="Arial" w:eastAsia="Arial" w:hAnsi="Arial" w:cs="Arial"/>
                <w:color w:val="000000"/>
                <w:sz w:val="18"/>
                <w:szCs w:val="18"/>
              </w:rPr>
            </w:pPr>
            <w:r>
              <w:rPr>
                <w:rFonts w:ascii="Arial" w:eastAsia="Arial" w:hAnsi="Arial" w:cs="Arial"/>
                <w:color w:val="000000"/>
                <w:sz w:val="18"/>
                <w:szCs w:val="18"/>
              </w:rPr>
              <w:t>working environment</w:t>
            </w:r>
          </w:p>
        </w:tc>
      </w:tr>
      <w:tr w:rsidR="00D774D2" w14:paraId="3BE6FB1D" w14:textId="77777777" w:rsidTr="00855B62">
        <w:trPr>
          <w:trHeight w:val="485"/>
        </w:trPr>
        <w:tc>
          <w:tcPr>
            <w:tcW w:w="2219" w:type="dxa"/>
          </w:tcPr>
          <w:p w14:paraId="1F96DD26" w14:textId="77777777" w:rsidR="00D774D2" w:rsidRDefault="00D774D2" w:rsidP="00855B62">
            <w:pPr>
              <w:widowControl w:val="0"/>
              <w:pBdr>
                <w:top w:val="nil"/>
                <w:left w:val="nil"/>
                <w:bottom w:val="nil"/>
                <w:right w:val="nil"/>
                <w:between w:val="nil"/>
              </w:pBdr>
              <w:spacing w:after="0" w:line="237" w:lineRule="auto"/>
              <w:rPr>
                <w:rFonts w:ascii="Arial" w:eastAsia="Arial" w:hAnsi="Arial" w:cs="Arial"/>
                <w:color w:val="000000"/>
                <w:sz w:val="23"/>
                <w:szCs w:val="23"/>
                <w:vertAlign w:val="superscript"/>
              </w:rPr>
            </w:pPr>
            <w:r>
              <w:rPr>
                <w:rFonts w:ascii="Arial" w:eastAsia="Arial" w:hAnsi="Arial" w:cs="Arial"/>
                <w:color w:val="000000"/>
                <w:sz w:val="18"/>
                <w:szCs w:val="18"/>
              </w:rPr>
              <w:t>Tremblay and Hawkins, 2024</w:t>
            </w:r>
          </w:p>
        </w:tc>
        <w:tc>
          <w:tcPr>
            <w:tcW w:w="336" w:type="dxa"/>
          </w:tcPr>
          <w:p w14:paraId="79AEB313"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3E18C98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E9EE8F6" wp14:editId="515BE308">
                  <wp:extent cx="205358" cy="140017"/>
                  <wp:effectExtent l="0" t="0" r="0" b="0"/>
                  <wp:docPr id="21190976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57F9048E"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0730AFB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D21968D" wp14:editId="1C99879A">
                  <wp:extent cx="205358" cy="140017"/>
                  <wp:effectExtent l="0" t="0" r="0" b="0"/>
                  <wp:docPr id="21190976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71D23AE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29298815"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395645E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8F3D365" wp14:editId="4D01A939">
                  <wp:extent cx="205358" cy="140017"/>
                  <wp:effectExtent l="0" t="0" r="0" b="0"/>
                  <wp:docPr id="21190976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3DC4723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345E1314"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180EA61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3C5E040" wp14:editId="6938CA58">
                  <wp:extent cx="205359" cy="140017"/>
                  <wp:effectExtent l="0" t="0" r="0" b="0"/>
                  <wp:docPr id="21190976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05072A5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7EF0C90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765C5DC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508614C6"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42D7D169"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2B77CAB" wp14:editId="143678C7">
                  <wp:extent cx="205359" cy="140017"/>
                  <wp:effectExtent l="0" t="0" r="0" b="0"/>
                  <wp:docPr id="21190976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6C898F0B" w14:textId="77777777" w:rsidR="00D774D2" w:rsidRDefault="00D774D2" w:rsidP="00855B62">
            <w:pPr>
              <w:widowControl w:val="0"/>
              <w:pBdr>
                <w:top w:val="nil"/>
                <w:left w:val="nil"/>
                <w:bottom w:val="nil"/>
                <w:right w:val="nil"/>
                <w:between w:val="nil"/>
              </w:pBdr>
              <w:spacing w:before="7" w:after="0" w:line="240" w:lineRule="auto"/>
              <w:rPr>
                <w:rFonts w:ascii="Courier New" w:eastAsia="Courier New" w:hAnsi="Courier New" w:cs="Courier New"/>
                <w:color w:val="000000"/>
                <w:sz w:val="4"/>
                <w:szCs w:val="4"/>
              </w:rPr>
            </w:pPr>
          </w:p>
          <w:p w14:paraId="74419A6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8C416CE" wp14:editId="65AB8C43">
                  <wp:extent cx="205359" cy="140017"/>
                  <wp:effectExtent l="0" t="0" r="0" b="0"/>
                  <wp:docPr id="21190976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6960" w:type="dxa"/>
          </w:tcPr>
          <w:p w14:paraId="13CD0935"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Module based/Greater awareness of CCHS more likely to advocate and confidence to communicate</w:t>
            </w:r>
          </w:p>
        </w:tc>
      </w:tr>
      <w:tr w:rsidR="00D774D2" w14:paraId="3F98387F" w14:textId="77777777" w:rsidTr="00855B62">
        <w:trPr>
          <w:trHeight w:val="407"/>
        </w:trPr>
        <w:tc>
          <w:tcPr>
            <w:tcW w:w="2219" w:type="dxa"/>
          </w:tcPr>
          <w:p w14:paraId="273C5E9B"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proofErr w:type="spellStart"/>
            <w:r>
              <w:rPr>
                <w:rFonts w:ascii="Arial" w:eastAsia="Arial" w:hAnsi="Arial" w:cs="Arial"/>
                <w:color w:val="000000"/>
                <w:sz w:val="18"/>
                <w:szCs w:val="18"/>
              </w:rPr>
              <w:t>Sjim-Eeken</w:t>
            </w:r>
            <w:proofErr w:type="spellEnd"/>
            <w:r>
              <w:rPr>
                <w:rFonts w:ascii="Arial" w:eastAsia="Arial" w:hAnsi="Arial" w:cs="Arial"/>
                <w:color w:val="000000"/>
                <w:sz w:val="18"/>
                <w:szCs w:val="18"/>
              </w:rPr>
              <w:t xml:space="preserve"> et al., 2023</w:t>
            </w:r>
          </w:p>
        </w:tc>
        <w:tc>
          <w:tcPr>
            <w:tcW w:w="336" w:type="dxa"/>
          </w:tcPr>
          <w:p w14:paraId="52061655"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4E93934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130E5B9" wp14:editId="4BE99597">
                  <wp:extent cx="205508" cy="140017"/>
                  <wp:effectExtent l="0" t="0" r="0" b="0"/>
                  <wp:docPr id="21190976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9" w:type="dxa"/>
          </w:tcPr>
          <w:p w14:paraId="0E868AFA"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5A8E4D6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B1CA237" wp14:editId="7487ED8C">
                  <wp:extent cx="205508" cy="140017"/>
                  <wp:effectExtent l="0" t="0" r="0" b="0"/>
                  <wp:docPr id="21190976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8" w:type="dxa"/>
          </w:tcPr>
          <w:p w14:paraId="203CEF5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5CB6C4E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6AACCC2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7" w:type="dxa"/>
          </w:tcPr>
          <w:p w14:paraId="021FCB49"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18C652F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DB0FE56" wp14:editId="2A19E111">
                  <wp:extent cx="205508" cy="140017"/>
                  <wp:effectExtent l="0" t="0" r="0" b="0"/>
                  <wp:docPr id="21190976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42" w:type="dxa"/>
          </w:tcPr>
          <w:p w14:paraId="0B697DF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42" w:type="dxa"/>
          </w:tcPr>
          <w:p w14:paraId="69131C7D"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1D38CF7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DDC0904" wp14:editId="3D52AF00">
                  <wp:extent cx="205508" cy="140017"/>
                  <wp:effectExtent l="0" t="0" r="0" b="0"/>
                  <wp:docPr id="21190976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4" w:type="dxa"/>
          </w:tcPr>
          <w:p w14:paraId="277CAD5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4" w:type="dxa"/>
          </w:tcPr>
          <w:p w14:paraId="75131F59"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79A6885F"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81076F5" wp14:editId="1AB05452">
                  <wp:extent cx="205508" cy="140017"/>
                  <wp:effectExtent l="0" t="0" r="0" b="0"/>
                  <wp:docPr id="21190976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508" cy="140017"/>
                          </a:xfrm>
                          <a:prstGeom prst="rect">
                            <a:avLst/>
                          </a:prstGeom>
                          <a:ln/>
                        </pic:spPr>
                      </pic:pic>
                    </a:graphicData>
                  </a:graphic>
                </wp:inline>
              </w:drawing>
            </w:r>
          </w:p>
        </w:tc>
        <w:tc>
          <w:tcPr>
            <w:tcW w:w="334" w:type="dxa"/>
          </w:tcPr>
          <w:p w14:paraId="04CAAC3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6E3D454B"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Module based/Interdisciplinary HP training can accelerate change through knowledge sharing</w:t>
            </w:r>
          </w:p>
        </w:tc>
      </w:tr>
      <w:tr w:rsidR="00D774D2" w14:paraId="61301000" w14:textId="77777777" w:rsidTr="00855B62">
        <w:trPr>
          <w:trHeight w:val="415"/>
        </w:trPr>
        <w:tc>
          <w:tcPr>
            <w:tcW w:w="2219" w:type="dxa"/>
          </w:tcPr>
          <w:p w14:paraId="4DBC297E"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r>
              <w:rPr>
                <w:rFonts w:ascii="Arial" w:eastAsia="Arial" w:hAnsi="Arial" w:cs="Arial"/>
                <w:color w:val="000000"/>
                <w:sz w:val="18"/>
                <w:szCs w:val="18"/>
              </w:rPr>
              <w:t>Alvarez-Nieto et al., 2022</w:t>
            </w:r>
          </w:p>
        </w:tc>
        <w:tc>
          <w:tcPr>
            <w:tcW w:w="336" w:type="dxa"/>
          </w:tcPr>
          <w:p w14:paraId="469099F2"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346EA43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99F93EB" wp14:editId="79FA9F2B">
                  <wp:extent cx="205758" cy="140017"/>
                  <wp:effectExtent l="0" t="0" r="0" b="0"/>
                  <wp:docPr id="21190976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9" w:type="dxa"/>
          </w:tcPr>
          <w:p w14:paraId="139EC0E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338" w:type="dxa"/>
          </w:tcPr>
          <w:p w14:paraId="4C5A249F"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393BBA09"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EB93E1E" wp14:editId="4390C45D">
                  <wp:extent cx="205758" cy="140017"/>
                  <wp:effectExtent l="0" t="0" r="0" b="0"/>
                  <wp:docPr id="21190976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8" w:type="dxa"/>
          </w:tcPr>
          <w:p w14:paraId="435CAFAE"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55CC79D4"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3C9F7DB" wp14:editId="16365EC2">
                  <wp:extent cx="205758" cy="140017"/>
                  <wp:effectExtent l="0" t="0" r="0" b="0"/>
                  <wp:docPr id="21190976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7" w:type="dxa"/>
          </w:tcPr>
          <w:p w14:paraId="206AAF21"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37CD5B2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EDDF5EB" wp14:editId="6430101C">
                  <wp:extent cx="205758" cy="140017"/>
                  <wp:effectExtent l="0" t="0" r="0" b="0"/>
                  <wp:docPr id="21190976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7" w:type="dxa"/>
          </w:tcPr>
          <w:p w14:paraId="5C2EE306"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0DC840B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2E6F6EA" wp14:editId="119B2256">
                  <wp:extent cx="205758" cy="140017"/>
                  <wp:effectExtent l="0" t="0" r="0" b="0"/>
                  <wp:docPr id="21190976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42" w:type="dxa"/>
          </w:tcPr>
          <w:p w14:paraId="56665BCE"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2FDCCCB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78100FB" wp14:editId="7B0F5873">
                  <wp:extent cx="205758" cy="140017"/>
                  <wp:effectExtent l="0" t="0" r="0" b="0"/>
                  <wp:docPr id="21190976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42" w:type="dxa"/>
          </w:tcPr>
          <w:p w14:paraId="44A5A0DB"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2118C36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6C1279F" wp14:editId="0B19AB59">
                  <wp:extent cx="205758" cy="140017"/>
                  <wp:effectExtent l="0" t="0" r="0" b="0"/>
                  <wp:docPr id="21190976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4" w:type="dxa"/>
          </w:tcPr>
          <w:p w14:paraId="4E0C4790"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48224BA9"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2CF2BBA" wp14:editId="10CD79D5">
                  <wp:extent cx="205758" cy="140017"/>
                  <wp:effectExtent l="0" t="0" r="0" b="0"/>
                  <wp:docPr id="21190976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4" w:type="dxa"/>
          </w:tcPr>
          <w:p w14:paraId="66BD5EE5"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09EE627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5C78C37" wp14:editId="435AD76C">
                  <wp:extent cx="205758" cy="140017"/>
                  <wp:effectExtent l="0" t="0" r="0" b="0"/>
                  <wp:docPr id="21190976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758" cy="140017"/>
                          </a:xfrm>
                          <a:prstGeom prst="rect">
                            <a:avLst/>
                          </a:prstGeom>
                          <a:ln/>
                        </pic:spPr>
                      </pic:pic>
                    </a:graphicData>
                  </a:graphic>
                </wp:inline>
              </w:drawing>
            </w:r>
          </w:p>
        </w:tc>
        <w:tc>
          <w:tcPr>
            <w:tcW w:w="334" w:type="dxa"/>
          </w:tcPr>
          <w:p w14:paraId="1945337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6960" w:type="dxa"/>
          </w:tcPr>
          <w:p w14:paraId="0ED374AF"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Scenario based/Link between CCHS education and shift in attitude</w:t>
            </w:r>
          </w:p>
        </w:tc>
      </w:tr>
      <w:tr w:rsidR="00D774D2" w14:paraId="785C6AF4" w14:textId="77777777" w:rsidTr="00855B62">
        <w:trPr>
          <w:trHeight w:val="548"/>
        </w:trPr>
        <w:tc>
          <w:tcPr>
            <w:tcW w:w="2219" w:type="dxa"/>
          </w:tcPr>
          <w:p w14:paraId="0BE2B335"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r>
              <w:rPr>
                <w:rFonts w:ascii="Arial" w:eastAsia="Arial" w:hAnsi="Arial" w:cs="Arial"/>
                <w:color w:val="000000"/>
                <w:sz w:val="18"/>
                <w:szCs w:val="18"/>
              </w:rPr>
              <w:t>Simmonds et al., 2022</w:t>
            </w:r>
          </w:p>
        </w:tc>
        <w:tc>
          <w:tcPr>
            <w:tcW w:w="336" w:type="dxa"/>
          </w:tcPr>
          <w:p w14:paraId="1301BE9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4FA5604"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F0721FB" wp14:editId="1FAF4233">
                  <wp:extent cx="205908" cy="140017"/>
                  <wp:effectExtent l="0" t="0" r="0" b="0"/>
                  <wp:docPr id="21190976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9" w:type="dxa"/>
          </w:tcPr>
          <w:p w14:paraId="52C2AE25"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119FA15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18B51DB" wp14:editId="78D0024A">
                  <wp:extent cx="205908" cy="140017"/>
                  <wp:effectExtent l="0" t="0" r="0" b="0"/>
                  <wp:docPr id="21190976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8" w:type="dxa"/>
          </w:tcPr>
          <w:p w14:paraId="33FDC05B"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8C9218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EF4D8E0" wp14:editId="7230FD49">
                  <wp:extent cx="205908" cy="140017"/>
                  <wp:effectExtent l="0" t="0" r="0" b="0"/>
                  <wp:docPr id="21190975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8" w:type="dxa"/>
          </w:tcPr>
          <w:p w14:paraId="4718E46E"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100315F"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C71D9A5" wp14:editId="16B78029">
                  <wp:extent cx="205908" cy="140017"/>
                  <wp:effectExtent l="0" t="0" r="0" b="0"/>
                  <wp:docPr id="21190975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7" w:type="dxa"/>
          </w:tcPr>
          <w:p w14:paraId="1F72C216"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108C7EC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8BC69FB" wp14:editId="0F3A87CC">
                  <wp:extent cx="205908" cy="140017"/>
                  <wp:effectExtent l="0" t="0" r="0" b="0"/>
                  <wp:docPr id="21190975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7" w:type="dxa"/>
          </w:tcPr>
          <w:p w14:paraId="78E8D915"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17DCE25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37846C5" wp14:editId="483FCD1B">
                  <wp:extent cx="205908" cy="140017"/>
                  <wp:effectExtent l="0" t="0" r="0" b="0"/>
                  <wp:docPr id="21190975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42" w:type="dxa"/>
          </w:tcPr>
          <w:p w14:paraId="0FE39958"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97E7CD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2AC60F8" wp14:editId="3A10F3F8">
                  <wp:extent cx="205908" cy="140017"/>
                  <wp:effectExtent l="0" t="0" r="0" b="0"/>
                  <wp:docPr id="21190975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42" w:type="dxa"/>
          </w:tcPr>
          <w:p w14:paraId="74891774"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A55AFE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76C3DD2" wp14:editId="4E8C7B21">
                  <wp:extent cx="205908" cy="140017"/>
                  <wp:effectExtent l="0" t="0" r="0" b="0"/>
                  <wp:docPr id="21190975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4" w:type="dxa"/>
          </w:tcPr>
          <w:p w14:paraId="544B21CA"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615C248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E5C72A8" wp14:editId="3BA796C9">
                  <wp:extent cx="205908" cy="140017"/>
                  <wp:effectExtent l="0" t="0" r="0" b="0"/>
                  <wp:docPr id="21190975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4" w:type="dxa"/>
          </w:tcPr>
          <w:p w14:paraId="26F29A07"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40BB47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7506B52" wp14:editId="5331FB82">
                  <wp:extent cx="205908" cy="140017"/>
                  <wp:effectExtent l="0" t="0" r="0" b="0"/>
                  <wp:docPr id="21190975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334" w:type="dxa"/>
          </w:tcPr>
          <w:p w14:paraId="10181739"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073FAA3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F8A9872" wp14:editId="43072EAC">
                  <wp:extent cx="205908" cy="140017"/>
                  <wp:effectExtent l="0" t="0" r="0" b="0"/>
                  <wp:docPr id="21190975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908" cy="140017"/>
                          </a:xfrm>
                          <a:prstGeom prst="rect">
                            <a:avLst/>
                          </a:prstGeom>
                          <a:ln/>
                        </pic:spPr>
                      </pic:pic>
                    </a:graphicData>
                  </a:graphic>
                </wp:inline>
              </w:drawing>
            </w:r>
          </w:p>
        </w:tc>
        <w:tc>
          <w:tcPr>
            <w:tcW w:w="6960" w:type="dxa"/>
          </w:tcPr>
          <w:p w14:paraId="3070F464" w14:textId="77777777" w:rsidR="00D774D2" w:rsidRDefault="00D774D2" w:rsidP="00855B62">
            <w:pPr>
              <w:widowControl w:val="0"/>
              <w:pBdr>
                <w:top w:val="nil"/>
                <w:left w:val="nil"/>
                <w:bottom w:val="nil"/>
                <w:right w:val="nil"/>
                <w:between w:val="nil"/>
              </w:pBdr>
              <w:spacing w:after="0" w:line="206" w:lineRule="auto"/>
              <w:rPr>
                <w:rFonts w:ascii="Arial" w:eastAsia="Arial" w:hAnsi="Arial" w:cs="Arial"/>
                <w:color w:val="000000"/>
                <w:sz w:val="18"/>
                <w:szCs w:val="18"/>
              </w:rPr>
            </w:pPr>
            <w:r>
              <w:rPr>
                <w:rFonts w:ascii="Arial" w:eastAsia="Arial" w:hAnsi="Arial" w:cs="Arial"/>
                <w:color w:val="000000"/>
                <w:sz w:val="18"/>
                <w:szCs w:val="18"/>
              </w:rPr>
              <w:t>Learning session/CCHS highly integrated into existing curriculum faculty and participant growth</w:t>
            </w:r>
          </w:p>
        </w:tc>
      </w:tr>
      <w:tr w:rsidR="00D774D2" w14:paraId="2AEB9228" w14:textId="77777777" w:rsidTr="00855B62">
        <w:trPr>
          <w:trHeight w:val="460"/>
        </w:trPr>
        <w:tc>
          <w:tcPr>
            <w:tcW w:w="2219" w:type="dxa"/>
          </w:tcPr>
          <w:p w14:paraId="0C800F8D"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r>
              <w:rPr>
                <w:rFonts w:ascii="Arial" w:eastAsia="Arial" w:hAnsi="Arial" w:cs="Arial"/>
                <w:color w:val="000000"/>
                <w:sz w:val="18"/>
                <w:szCs w:val="18"/>
              </w:rPr>
              <w:t>Richardson et al., 2017</w:t>
            </w:r>
          </w:p>
        </w:tc>
        <w:tc>
          <w:tcPr>
            <w:tcW w:w="336" w:type="dxa"/>
          </w:tcPr>
          <w:p w14:paraId="27E13FE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9" w:type="dxa"/>
          </w:tcPr>
          <w:p w14:paraId="075D7D2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8" w:type="dxa"/>
          </w:tcPr>
          <w:p w14:paraId="2896FACA"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431FE50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5964D7C" wp14:editId="72274F15">
                  <wp:extent cx="205358" cy="140017"/>
                  <wp:effectExtent l="0" t="0" r="0" b="0"/>
                  <wp:docPr id="21190975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39A15E7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 w:type="dxa"/>
          </w:tcPr>
          <w:p w14:paraId="7EB19B7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 w:type="dxa"/>
          </w:tcPr>
          <w:p w14:paraId="7EA568A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42" w:type="dxa"/>
          </w:tcPr>
          <w:p w14:paraId="2AAD0C2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42" w:type="dxa"/>
          </w:tcPr>
          <w:p w14:paraId="4BB868F8"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tcPr>
          <w:p w14:paraId="7C9FD76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tcPr>
          <w:p w14:paraId="1B172DB6"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634167DF"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911CBF1" wp14:editId="6AC9CB5E">
                  <wp:extent cx="205359" cy="140017"/>
                  <wp:effectExtent l="0" t="0" r="0" b="0"/>
                  <wp:docPr id="21190976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5F3ABE2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960" w:type="dxa"/>
          </w:tcPr>
          <w:p w14:paraId="6B9E172A"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Simulation and scenario based/Scenario based education and use of social learning theory-advantage to CCHS</w:t>
            </w:r>
          </w:p>
        </w:tc>
      </w:tr>
      <w:tr w:rsidR="00D774D2" w14:paraId="56C0CAE3" w14:textId="77777777" w:rsidTr="00855B62">
        <w:trPr>
          <w:trHeight w:val="409"/>
        </w:trPr>
        <w:tc>
          <w:tcPr>
            <w:tcW w:w="2219" w:type="dxa"/>
          </w:tcPr>
          <w:p w14:paraId="2A52D197" w14:textId="77777777" w:rsidR="00D774D2" w:rsidRDefault="00D774D2" w:rsidP="00855B62">
            <w:pPr>
              <w:widowControl w:val="0"/>
              <w:pBdr>
                <w:top w:val="nil"/>
                <w:left w:val="nil"/>
                <w:bottom w:val="nil"/>
                <w:right w:val="nil"/>
                <w:between w:val="nil"/>
              </w:pBdr>
              <w:spacing w:after="0" w:line="235" w:lineRule="auto"/>
              <w:rPr>
                <w:rFonts w:ascii="Arial" w:eastAsia="Arial" w:hAnsi="Arial" w:cs="Arial"/>
                <w:color w:val="000000"/>
                <w:sz w:val="23"/>
                <w:szCs w:val="23"/>
                <w:vertAlign w:val="superscript"/>
              </w:rPr>
            </w:pPr>
            <w:r>
              <w:rPr>
                <w:rFonts w:ascii="Arial" w:eastAsia="Arial" w:hAnsi="Arial" w:cs="Arial"/>
                <w:color w:val="000000"/>
                <w:sz w:val="18"/>
                <w:szCs w:val="18"/>
              </w:rPr>
              <w:t>Affleck et al., 2021</w:t>
            </w:r>
          </w:p>
        </w:tc>
        <w:tc>
          <w:tcPr>
            <w:tcW w:w="336" w:type="dxa"/>
            <w:shd w:val="clear" w:color="auto" w:fill="7E7E7E"/>
          </w:tcPr>
          <w:p w14:paraId="463F452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9" w:type="dxa"/>
            <w:shd w:val="clear" w:color="auto" w:fill="7E7E7E"/>
          </w:tcPr>
          <w:p w14:paraId="044CC4F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8" w:type="dxa"/>
            <w:shd w:val="clear" w:color="auto" w:fill="7E7E7E"/>
          </w:tcPr>
          <w:p w14:paraId="102CB20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8" w:type="dxa"/>
            <w:shd w:val="clear" w:color="auto" w:fill="7E7E7E"/>
          </w:tcPr>
          <w:p w14:paraId="1DB6E49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 w:type="dxa"/>
            <w:shd w:val="clear" w:color="auto" w:fill="7E7E7E"/>
          </w:tcPr>
          <w:p w14:paraId="0C6CBFEA"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 w:type="dxa"/>
            <w:shd w:val="clear" w:color="auto" w:fill="7E7E7E"/>
          </w:tcPr>
          <w:p w14:paraId="430B30E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42" w:type="dxa"/>
            <w:shd w:val="clear" w:color="auto" w:fill="7E7E7E"/>
          </w:tcPr>
          <w:p w14:paraId="1F60C16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42" w:type="dxa"/>
            <w:shd w:val="clear" w:color="auto" w:fill="7E7E7E"/>
          </w:tcPr>
          <w:p w14:paraId="5DE9377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shd w:val="clear" w:color="auto" w:fill="7E7E7E"/>
          </w:tcPr>
          <w:p w14:paraId="57015A9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shd w:val="clear" w:color="auto" w:fill="7E7E7E"/>
          </w:tcPr>
          <w:p w14:paraId="69FC6F6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shd w:val="clear" w:color="auto" w:fill="7E7E7E"/>
          </w:tcPr>
          <w:p w14:paraId="144B8104"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960" w:type="dxa"/>
          </w:tcPr>
          <w:p w14:paraId="2FA136D1" w14:textId="77777777" w:rsidR="00D774D2" w:rsidRDefault="00D774D2" w:rsidP="00855B62">
            <w:pPr>
              <w:widowControl w:val="0"/>
              <w:pBdr>
                <w:top w:val="nil"/>
                <w:left w:val="nil"/>
                <w:bottom w:val="nil"/>
                <w:right w:val="nil"/>
                <w:between w:val="nil"/>
              </w:pBdr>
              <w:spacing w:after="0" w:line="242" w:lineRule="auto"/>
              <w:rPr>
                <w:rFonts w:ascii="Arial" w:eastAsia="Arial" w:hAnsi="Arial" w:cs="Arial"/>
                <w:color w:val="000000"/>
                <w:sz w:val="18"/>
                <w:szCs w:val="18"/>
              </w:rPr>
            </w:pPr>
            <w:r>
              <w:rPr>
                <w:rFonts w:ascii="Arial" w:eastAsia="Arial" w:hAnsi="Arial" w:cs="Arial"/>
                <w:color w:val="000000"/>
                <w:sz w:val="18"/>
                <w:szCs w:val="18"/>
              </w:rPr>
              <w:t>Lecture and problem based/Student led initiatives, concerns of the lack of medical education curriculum</w:t>
            </w:r>
          </w:p>
        </w:tc>
      </w:tr>
      <w:tr w:rsidR="00D774D2" w14:paraId="3FEBB9FA" w14:textId="77777777" w:rsidTr="00855B62">
        <w:trPr>
          <w:trHeight w:val="433"/>
        </w:trPr>
        <w:tc>
          <w:tcPr>
            <w:tcW w:w="2219" w:type="dxa"/>
          </w:tcPr>
          <w:p w14:paraId="3D3453F0" w14:textId="77777777" w:rsidR="00D774D2" w:rsidRDefault="00D774D2" w:rsidP="00855B62">
            <w:pPr>
              <w:widowControl w:val="0"/>
              <w:pBdr>
                <w:top w:val="nil"/>
                <w:left w:val="nil"/>
                <w:bottom w:val="nil"/>
                <w:right w:val="nil"/>
                <w:between w:val="nil"/>
              </w:pBdr>
              <w:spacing w:after="0" w:line="283" w:lineRule="auto"/>
              <w:rPr>
                <w:rFonts w:ascii="Arial" w:eastAsia="Arial" w:hAnsi="Arial" w:cs="Arial"/>
                <w:color w:val="000000"/>
                <w:sz w:val="18"/>
                <w:szCs w:val="18"/>
              </w:rPr>
            </w:pPr>
            <w:r>
              <w:rPr>
                <w:rFonts w:ascii="Arial" w:eastAsia="Arial" w:hAnsi="Arial" w:cs="Arial"/>
                <w:color w:val="000000"/>
                <w:sz w:val="18"/>
                <w:szCs w:val="18"/>
              </w:rPr>
              <w:t>Lopez-Medina et al., 2022</w:t>
            </w:r>
          </w:p>
        </w:tc>
        <w:tc>
          <w:tcPr>
            <w:tcW w:w="336" w:type="dxa"/>
          </w:tcPr>
          <w:p w14:paraId="1B84E020"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5396FF7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A8BC7CA" wp14:editId="3F7C66ED">
                  <wp:extent cx="205358" cy="140017"/>
                  <wp:effectExtent l="0" t="0" r="0" b="0"/>
                  <wp:docPr id="21190976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62D3823F"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8" w:type="dxa"/>
          </w:tcPr>
          <w:p w14:paraId="67389B0D"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01A13EB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2856412" wp14:editId="725CD570">
                  <wp:extent cx="205358" cy="140017"/>
                  <wp:effectExtent l="0" t="0" r="0" b="0"/>
                  <wp:docPr id="21190976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21EF5855"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761C7FA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E750DCA" wp14:editId="1B9EF200">
                  <wp:extent cx="205358" cy="140017"/>
                  <wp:effectExtent l="0" t="0" r="0" b="0"/>
                  <wp:docPr id="21190976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3E5A4003"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27568B9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BB6A7F7" wp14:editId="695690E2">
                  <wp:extent cx="205359" cy="140017"/>
                  <wp:effectExtent l="0" t="0" r="0" b="0"/>
                  <wp:docPr id="21190976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3E359A76"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297377B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9012C5B" wp14:editId="7D0F7B5E">
                  <wp:extent cx="205359" cy="140017"/>
                  <wp:effectExtent l="0" t="0" r="0" b="0"/>
                  <wp:docPr id="21190976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4DC44899"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7E21FA5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5FCBCF5" wp14:editId="5BE9EDED">
                  <wp:extent cx="205359" cy="140017"/>
                  <wp:effectExtent l="0" t="0" r="0" b="0"/>
                  <wp:docPr id="21190976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788E8106"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0DF8A8B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8597EA8" wp14:editId="5C5CB98A">
                  <wp:extent cx="205359" cy="140017"/>
                  <wp:effectExtent l="0" t="0" r="0" b="0"/>
                  <wp:docPr id="21190976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176D0664"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4C9AED9D"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C46BA0C" wp14:editId="705C532C">
                  <wp:extent cx="205359" cy="140017"/>
                  <wp:effectExtent l="0" t="0" r="0" b="0"/>
                  <wp:docPr id="21190976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6E9A7E38" w14:textId="77777777" w:rsidR="00D774D2" w:rsidRDefault="00D774D2" w:rsidP="00855B62">
            <w:pPr>
              <w:widowControl w:val="0"/>
              <w:pBdr>
                <w:top w:val="nil"/>
                <w:left w:val="nil"/>
                <w:bottom w:val="nil"/>
                <w:right w:val="nil"/>
                <w:between w:val="nil"/>
              </w:pBdr>
              <w:spacing w:before="6" w:after="0" w:line="240" w:lineRule="auto"/>
              <w:rPr>
                <w:rFonts w:ascii="Courier New" w:eastAsia="Courier New" w:hAnsi="Courier New" w:cs="Courier New"/>
                <w:color w:val="000000"/>
                <w:sz w:val="4"/>
                <w:szCs w:val="4"/>
              </w:rPr>
            </w:pPr>
          </w:p>
          <w:p w14:paraId="37E9108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20EF9FB8" wp14:editId="23CF1C81">
                  <wp:extent cx="205359" cy="140017"/>
                  <wp:effectExtent l="0" t="0" r="0" b="0"/>
                  <wp:docPr id="21190976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032C9B6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960" w:type="dxa"/>
          </w:tcPr>
          <w:p w14:paraId="6152C8BC" w14:textId="77777777" w:rsidR="00D774D2" w:rsidRDefault="00D774D2" w:rsidP="00855B62">
            <w:pPr>
              <w:widowControl w:val="0"/>
              <w:pBdr>
                <w:top w:val="nil"/>
                <w:left w:val="nil"/>
                <w:bottom w:val="nil"/>
                <w:right w:val="nil"/>
                <w:between w:val="nil"/>
              </w:pBdr>
              <w:spacing w:after="0" w:line="199" w:lineRule="auto"/>
              <w:rPr>
                <w:rFonts w:ascii="Arial" w:eastAsia="Arial" w:hAnsi="Arial" w:cs="Arial"/>
                <w:color w:val="000000"/>
                <w:sz w:val="18"/>
                <w:szCs w:val="18"/>
              </w:rPr>
            </w:pPr>
            <w:r>
              <w:rPr>
                <w:rFonts w:ascii="Arial" w:eastAsia="Arial" w:hAnsi="Arial" w:cs="Arial"/>
                <w:color w:val="000000"/>
                <w:sz w:val="18"/>
                <w:szCs w:val="18"/>
              </w:rPr>
              <w:t>Scenario based/Demand for low environmental impact healthcare followed intervention</w:t>
            </w:r>
          </w:p>
        </w:tc>
      </w:tr>
      <w:tr w:rsidR="00D774D2" w14:paraId="050F97BD" w14:textId="77777777" w:rsidTr="00855B62">
        <w:trPr>
          <w:trHeight w:val="251"/>
        </w:trPr>
        <w:tc>
          <w:tcPr>
            <w:tcW w:w="2219" w:type="dxa"/>
          </w:tcPr>
          <w:p w14:paraId="514A88F5" w14:textId="77777777" w:rsidR="00D774D2" w:rsidRDefault="00D774D2" w:rsidP="00855B62">
            <w:pPr>
              <w:widowControl w:val="0"/>
              <w:pBdr>
                <w:top w:val="nil"/>
                <w:left w:val="nil"/>
                <w:bottom w:val="nil"/>
                <w:right w:val="nil"/>
                <w:between w:val="nil"/>
              </w:pBdr>
              <w:spacing w:after="0" w:line="283" w:lineRule="auto"/>
              <w:rPr>
                <w:rFonts w:ascii="Arial" w:eastAsia="Arial" w:hAnsi="Arial" w:cs="Arial"/>
                <w:color w:val="000000"/>
                <w:sz w:val="18"/>
                <w:szCs w:val="18"/>
              </w:rPr>
            </w:pPr>
            <w:proofErr w:type="spellStart"/>
            <w:r>
              <w:rPr>
                <w:rFonts w:ascii="Arial" w:eastAsia="Arial" w:hAnsi="Arial" w:cs="Arial"/>
                <w:color w:val="000000"/>
                <w:sz w:val="18"/>
                <w:szCs w:val="18"/>
              </w:rPr>
              <w:t>Jersby</w:t>
            </w:r>
            <w:proofErr w:type="spellEnd"/>
            <w:r>
              <w:rPr>
                <w:rFonts w:ascii="Arial" w:eastAsia="Arial" w:hAnsi="Arial" w:cs="Arial"/>
                <w:color w:val="000000"/>
                <w:sz w:val="18"/>
                <w:szCs w:val="18"/>
              </w:rPr>
              <w:t xml:space="preserve"> and Ridley, 2023</w:t>
            </w:r>
          </w:p>
        </w:tc>
        <w:tc>
          <w:tcPr>
            <w:tcW w:w="336" w:type="dxa"/>
          </w:tcPr>
          <w:p w14:paraId="3374F06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9" w:type="dxa"/>
          </w:tcPr>
          <w:p w14:paraId="283676C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8" w:type="dxa"/>
          </w:tcPr>
          <w:p w14:paraId="4C76A8D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8" w:type="dxa"/>
          </w:tcPr>
          <w:p w14:paraId="7F3770E7"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 w:type="dxa"/>
          </w:tcPr>
          <w:p w14:paraId="0CF34E59"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6D116CB1"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5B853F5A" wp14:editId="21DC4C45">
                  <wp:extent cx="205359" cy="140017"/>
                  <wp:effectExtent l="0" t="0" r="0" b="0"/>
                  <wp:docPr id="21190976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5083C3A0"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42" w:type="dxa"/>
          </w:tcPr>
          <w:p w14:paraId="69F4BEB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42" w:type="dxa"/>
          </w:tcPr>
          <w:p w14:paraId="6D467542"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tcPr>
          <w:p w14:paraId="430D56F1"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4" w:type="dxa"/>
          </w:tcPr>
          <w:p w14:paraId="71CD4007"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6A1E3CA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B66AE1D" wp14:editId="4D32471B">
                  <wp:extent cx="205359" cy="140017"/>
                  <wp:effectExtent l="0" t="0" r="0" b="0"/>
                  <wp:docPr id="21190976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250908DE"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960" w:type="dxa"/>
          </w:tcPr>
          <w:p w14:paraId="66A5E358"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Module based/Aligning quality improvement with sustainability initiatives was useful</w:t>
            </w:r>
          </w:p>
        </w:tc>
      </w:tr>
      <w:tr w:rsidR="00D774D2" w14:paraId="73E8BC0B" w14:textId="77777777" w:rsidTr="00855B62">
        <w:trPr>
          <w:trHeight w:val="260"/>
        </w:trPr>
        <w:tc>
          <w:tcPr>
            <w:tcW w:w="2219" w:type="dxa"/>
          </w:tcPr>
          <w:p w14:paraId="423CEF4C" w14:textId="77777777" w:rsidR="00D774D2" w:rsidRDefault="00D774D2" w:rsidP="00855B62">
            <w:pPr>
              <w:widowControl w:val="0"/>
              <w:pBdr>
                <w:top w:val="nil"/>
                <w:left w:val="nil"/>
                <w:bottom w:val="nil"/>
                <w:right w:val="nil"/>
                <w:between w:val="nil"/>
              </w:pBdr>
              <w:spacing w:after="0" w:line="232" w:lineRule="auto"/>
              <w:rPr>
                <w:rFonts w:ascii="Arial" w:eastAsia="Arial" w:hAnsi="Arial" w:cs="Arial"/>
                <w:color w:val="000000"/>
                <w:sz w:val="23"/>
                <w:szCs w:val="23"/>
                <w:vertAlign w:val="superscript"/>
              </w:rPr>
            </w:pPr>
            <w:r>
              <w:rPr>
                <w:rFonts w:ascii="Arial" w:eastAsia="Arial" w:hAnsi="Arial" w:cs="Arial"/>
                <w:color w:val="000000"/>
                <w:sz w:val="18"/>
                <w:szCs w:val="18"/>
              </w:rPr>
              <w:t>CASCADES, 2023</w:t>
            </w:r>
          </w:p>
        </w:tc>
        <w:tc>
          <w:tcPr>
            <w:tcW w:w="336" w:type="dxa"/>
          </w:tcPr>
          <w:p w14:paraId="36B514F2"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BF155B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CDEB5F8" wp14:editId="26F7B8CC">
                  <wp:extent cx="205358" cy="140017"/>
                  <wp:effectExtent l="0" t="0" r="0" b="0"/>
                  <wp:docPr id="21190976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54712F9B"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153C3204"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8792B73" wp14:editId="2B849D3E">
                  <wp:extent cx="205358" cy="140017"/>
                  <wp:effectExtent l="0" t="0" r="0" b="0"/>
                  <wp:docPr id="21190976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41577BB9"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43251DB"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9910B6C" wp14:editId="6C6FF50A">
                  <wp:extent cx="205358" cy="140017"/>
                  <wp:effectExtent l="0" t="0" r="0" b="0"/>
                  <wp:docPr id="21190976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297B1CBF"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730A8B39"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E18736D" wp14:editId="2B10DA91">
                  <wp:extent cx="205358" cy="140017"/>
                  <wp:effectExtent l="0" t="0" r="0" b="0"/>
                  <wp:docPr id="21190976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768C009D"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 w:type="dxa"/>
          </w:tcPr>
          <w:p w14:paraId="7400916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54D7EF51"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09DA878" wp14:editId="7B54DB7B">
                  <wp:extent cx="205359" cy="140017"/>
                  <wp:effectExtent l="0" t="0" r="0" b="0"/>
                  <wp:docPr id="21190976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7B04E5D7"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05F26D2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0175005D" wp14:editId="009B9AE0">
                  <wp:extent cx="205359" cy="140017"/>
                  <wp:effectExtent l="0" t="0" r="0" b="0"/>
                  <wp:docPr id="21190976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405166E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0DE6671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C91217F" wp14:editId="16BEEB3A">
                  <wp:extent cx="205359" cy="140017"/>
                  <wp:effectExtent l="0" t="0" r="0" b="0"/>
                  <wp:docPr id="21190976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5B0CD044"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159E996C"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552D262" wp14:editId="455DC9ED">
                  <wp:extent cx="205359" cy="140017"/>
                  <wp:effectExtent l="0" t="0" r="0" b="0"/>
                  <wp:docPr id="21190976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00707A1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76094EA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A185826" wp14:editId="52FA757B">
                  <wp:extent cx="205359" cy="140017"/>
                  <wp:effectExtent l="0" t="0" r="0" b="0"/>
                  <wp:docPr id="21190976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5E1B2546"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960" w:type="dxa"/>
          </w:tcPr>
          <w:p w14:paraId="5271D442"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Lecture based/Significant improvement in knowledge in CCHS post intervention</w:t>
            </w:r>
          </w:p>
        </w:tc>
      </w:tr>
      <w:tr w:rsidR="00D774D2" w14:paraId="7F8465FB" w14:textId="77777777" w:rsidTr="00855B62">
        <w:trPr>
          <w:trHeight w:val="319"/>
        </w:trPr>
        <w:tc>
          <w:tcPr>
            <w:tcW w:w="2219" w:type="dxa"/>
          </w:tcPr>
          <w:p w14:paraId="4282EA8E" w14:textId="77777777" w:rsidR="00D774D2" w:rsidRDefault="00D774D2" w:rsidP="00855B62">
            <w:pPr>
              <w:widowControl w:val="0"/>
              <w:pBdr>
                <w:top w:val="nil"/>
                <w:left w:val="nil"/>
                <w:bottom w:val="nil"/>
                <w:right w:val="nil"/>
                <w:between w:val="nil"/>
              </w:pBdr>
              <w:spacing w:after="0" w:line="280" w:lineRule="auto"/>
              <w:rPr>
                <w:rFonts w:ascii="Arial" w:eastAsia="Arial" w:hAnsi="Arial" w:cs="Arial"/>
                <w:color w:val="000000"/>
                <w:sz w:val="18"/>
                <w:szCs w:val="18"/>
              </w:rPr>
            </w:pPr>
            <w:r>
              <w:rPr>
                <w:rFonts w:ascii="Arial" w:eastAsia="Arial" w:hAnsi="Arial" w:cs="Arial"/>
                <w:color w:val="000000"/>
                <w:sz w:val="18"/>
                <w:szCs w:val="18"/>
              </w:rPr>
              <w:t>Demorest et al., 2024</w:t>
            </w:r>
          </w:p>
        </w:tc>
        <w:tc>
          <w:tcPr>
            <w:tcW w:w="336" w:type="dxa"/>
          </w:tcPr>
          <w:p w14:paraId="336D2D77"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7E760CF0"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D79DB0E" wp14:editId="76D58D16">
                  <wp:extent cx="205358" cy="140017"/>
                  <wp:effectExtent l="0" t="0" r="0" b="0"/>
                  <wp:docPr id="21190976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9" w:type="dxa"/>
          </w:tcPr>
          <w:p w14:paraId="11DB43CF"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3C50FF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79927F7F" wp14:editId="04322ABE">
                  <wp:extent cx="205358" cy="140017"/>
                  <wp:effectExtent l="0" t="0" r="0" b="0"/>
                  <wp:docPr id="21190976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5A02B100"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344D3C45"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39E7B64" wp14:editId="41F05FEE">
                  <wp:extent cx="205358" cy="140017"/>
                  <wp:effectExtent l="0" t="0" r="0" b="0"/>
                  <wp:docPr id="21190976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8" w:type="dxa"/>
          </w:tcPr>
          <w:p w14:paraId="120DF2CB"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3C28136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D9CF492" wp14:editId="495F46FA">
                  <wp:extent cx="205358" cy="140017"/>
                  <wp:effectExtent l="0" t="0" r="0" b="0"/>
                  <wp:docPr id="21190976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8" cy="140017"/>
                          </a:xfrm>
                          <a:prstGeom prst="rect">
                            <a:avLst/>
                          </a:prstGeom>
                          <a:ln/>
                        </pic:spPr>
                      </pic:pic>
                    </a:graphicData>
                  </a:graphic>
                </wp:inline>
              </w:drawing>
            </w:r>
          </w:p>
        </w:tc>
        <w:tc>
          <w:tcPr>
            <w:tcW w:w="337" w:type="dxa"/>
          </w:tcPr>
          <w:p w14:paraId="687D8FCA"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340220C2"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732B8AA" wp14:editId="1FE3356A">
                  <wp:extent cx="205359" cy="140017"/>
                  <wp:effectExtent l="0" t="0" r="0" b="0"/>
                  <wp:docPr id="21190976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7" w:type="dxa"/>
          </w:tcPr>
          <w:p w14:paraId="50AF8D4A"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79CC2F6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6A84ED4F" wp14:editId="0890ECAF">
                  <wp:extent cx="205359" cy="140017"/>
                  <wp:effectExtent l="0" t="0" r="0" b="0"/>
                  <wp:docPr id="21190976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2943E60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CDD53F8"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AD4A827" wp14:editId="0B43AAF3">
                  <wp:extent cx="205359" cy="140017"/>
                  <wp:effectExtent l="0" t="0" r="0" b="0"/>
                  <wp:docPr id="21190976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42" w:type="dxa"/>
          </w:tcPr>
          <w:p w14:paraId="41EB235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74B8918E"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3E01EA65" wp14:editId="6A89EE6B">
                  <wp:extent cx="205359" cy="140017"/>
                  <wp:effectExtent l="0" t="0" r="0" b="0"/>
                  <wp:docPr id="21190976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67B4EE91"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233125CA"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488C74E2" wp14:editId="4F6CDF29">
                  <wp:extent cx="205359" cy="140017"/>
                  <wp:effectExtent l="0" t="0" r="0" b="0"/>
                  <wp:docPr id="21190976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2F838C8D"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64B3D2B7"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EBA18AA" wp14:editId="6450F365">
                  <wp:extent cx="205359" cy="140017"/>
                  <wp:effectExtent l="0" t="0" r="0" b="0"/>
                  <wp:docPr id="21190976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334" w:type="dxa"/>
          </w:tcPr>
          <w:p w14:paraId="61A799FC" w14:textId="77777777" w:rsidR="00D774D2" w:rsidRDefault="00D774D2" w:rsidP="00855B62">
            <w:pPr>
              <w:widowControl w:val="0"/>
              <w:pBdr>
                <w:top w:val="nil"/>
                <w:left w:val="nil"/>
                <w:bottom w:val="nil"/>
                <w:right w:val="nil"/>
                <w:between w:val="nil"/>
              </w:pBdr>
              <w:spacing w:before="8" w:after="0" w:line="240" w:lineRule="auto"/>
              <w:rPr>
                <w:rFonts w:ascii="Courier New" w:eastAsia="Courier New" w:hAnsi="Courier New" w:cs="Courier New"/>
                <w:color w:val="000000"/>
                <w:sz w:val="4"/>
                <w:szCs w:val="4"/>
              </w:rPr>
            </w:pPr>
          </w:p>
          <w:p w14:paraId="75CB3AC6" w14:textId="77777777" w:rsidR="00D774D2" w:rsidRDefault="00D774D2" w:rsidP="00855B62">
            <w:pPr>
              <w:widowControl w:val="0"/>
              <w:pBdr>
                <w:top w:val="nil"/>
                <w:left w:val="nil"/>
                <w:bottom w:val="nil"/>
                <w:right w:val="nil"/>
                <w:between w:val="nil"/>
              </w:pBdr>
              <w:spacing w:after="0" w:line="220" w:lineRule="auto"/>
              <w:rPr>
                <w:rFonts w:ascii="Courier New" w:eastAsia="Courier New" w:hAnsi="Courier New" w:cs="Courier New"/>
                <w:color w:val="000000"/>
                <w:sz w:val="20"/>
                <w:szCs w:val="20"/>
              </w:rPr>
            </w:pPr>
            <w:r>
              <w:rPr>
                <w:rFonts w:ascii="Courier New" w:eastAsia="Courier New" w:hAnsi="Courier New" w:cs="Courier New"/>
                <w:noProof/>
                <w:color w:val="000000"/>
                <w:sz w:val="20"/>
                <w:szCs w:val="20"/>
              </w:rPr>
              <w:drawing>
                <wp:inline distT="0" distB="0" distL="0" distR="0" wp14:anchorId="10964808" wp14:editId="70560251">
                  <wp:extent cx="205359" cy="140017"/>
                  <wp:effectExtent l="0" t="0" r="0" b="0"/>
                  <wp:docPr id="21190976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5359" cy="140017"/>
                          </a:xfrm>
                          <a:prstGeom prst="rect">
                            <a:avLst/>
                          </a:prstGeom>
                          <a:ln/>
                        </pic:spPr>
                      </pic:pic>
                    </a:graphicData>
                  </a:graphic>
                </wp:inline>
              </w:drawing>
            </w:r>
          </w:p>
        </w:tc>
        <w:tc>
          <w:tcPr>
            <w:tcW w:w="6960" w:type="dxa"/>
          </w:tcPr>
          <w:p w14:paraId="109AC328" w14:textId="77777777" w:rsidR="00D774D2" w:rsidRDefault="00D774D2" w:rsidP="00855B62">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Lecture and simulation based/Significant development of educators delivering CCHS</w:t>
            </w:r>
          </w:p>
          <w:p w14:paraId="1C3D8783" w14:textId="77777777" w:rsidR="00D774D2" w:rsidRDefault="00D774D2" w:rsidP="00855B62">
            <w:pPr>
              <w:widowControl w:val="0"/>
              <w:pBdr>
                <w:top w:val="nil"/>
                <w:left w:val="nil"/>
                <w:bottom w:val="nil"/>
                <w:right w:val="nil"/>
                <w:between w:val="nil"/>
              </w:pBdr>
              <w:spacing w:after="0" w:line="192" w:lineRule="auto"/>
              <w:rPr>
                <w:rFonts w:ascii="Arial" w:eastAsia="Arial" w:hAnsi="Arial" w:cs="Arial"/>
                <w:color w:val="000000"/>
                <w:sz w:val="18"/>
                <w:szCs w:val="18"/>
              </w:rPr>
            </w:pPr>
            <w:r>
              <w:rPr>
                <w:rFonts w:ascii="Arial" w:eastAsia="Arial" w:hAnsi="Arial" w:cs="Arial"/>
                <w:color w:val="000000"/>
                <w:sz w:val="18"/>
                <w:szCs w:val="18"/>
              </w:rPr>
              <w:t>sessions</w:t>
            </w:r>
          </w:p>
        </w:tc>
      </w:tr>
      <w:tr w:rsidR="00D774D2" w14:paraId="7CCB6961" w14:textId="77777777" w:rsidTr="00855B62">
        <w:trPr>
          <w:trHeight w:val="172"/>
        </w:trPr>
        <w:tc>
          <w:tcPr>
            <w:tcW w:w="2219" w:type="dxa"/>
          </w:tcPr>
          <w:p w14:paraId="154953A2"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Totals</w:t>
            </w:r>
          </w:p>
        </w:tc>
        <w:tc>
          <w:tcPr>
            <w:tcW w:w="336" w:type="dxa"/>
          </w:tcPr>
          <w:p w14:paraId="391A34A9"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18</w:t>
            </w:r>
          </w:p>
        </w:tc>
        <w:tc>
          <w:tcPr>
            <w:tcW w:w="339" w:type="dxa"/>
          </w:tcPr>
          <w:p w14:paraId="3D6303D2"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9</w:t>
            </w:r>
          </w:p>
        </w:tc>
        <w:tc>
          <w:tcPr>
            <w:tcW w:w="338" w:type="dxa"/>
          </w:tcPr>
          <w:p w14:paraId="1A96739F"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14</w:t>
            </w:r>
          </w:p>
        </w:tc>
        <w:tc>
          <w:tcPr>
            <w:tcW w:w="338" w:type="dxa"/>
          </w:tcPr>
          <w:p w14:paraId="18DE568F"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13</w:t>
            </w:r>
          </w:p>
        </w:tc>
        <w:tc>
          <w:tcPr>
            <w:tcW w:w="337" w:type="dxa"/>
          </w:tcPr>
          <w:p w14:paraId="24AB5D7B"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15</w:t>
            </w:r>
          </w:p>
        </w:tc>
        <w:tc>
          <w:tcPr>
            <w:tcW w:w="337" w:type="dxa"/>
          </w:tcPr>
          <w:p w14:paraId="5D2DEDA1"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18</w:t>
            </w:r>
          </w:p>
        </w:tc>
        <w:tc>
          <w:tcPr>
            <w:tcW w:w="342" w:type="dxa"/>
          </w:tcPr>
          <w:p w14:paraId="4602314C"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11</w:t>
            </w:r>
          </w:p>
        </w:tc>
        <w:tc>
          <w:tcPr>
            <w:tcW w:w="342" w:type="dxa"/>
          </w:tcPr>
          <w:p w14:paraId="5D2A1B75"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11</w:t>
            </w:r>
          </w:p>
        </w:tc>
        <w:tc>
          <w:tcPr>
            <w:tcW w:w="334" w:type="dxa"/>
          </w:tcPr>
          <w:p w14:paraId="336C3218"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9</w:t>
            </w:r>
          </w:p>
        </w:tc>
        <w:tc>
          <w:tcPr>
            <w:tcW w:w="334" w:type="dxa"/>
          </w:tcPr>
          <w:p w14:paraId="58CA8D59"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20</w:t>
            </w:r>
          </w:p>
        </w:tc>
        <w:tc>
          <w:tcPr>
            <w:tcW w:w="334" w:type="dxa"/>
          </w:tcPr>
          <w:p w14:paraId="6D9D65DF"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4</w:t>
            </w:r>
          </w:p>
        </w:tc>
        <w:tc>
          <w:tcPr>
            <w:tcW w:w="6960" w:type="dxa"/>
          </w:tcPr>
          <w:p w14:paraId="4A5A1459"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D774D2" w14:paraId="32500006" w14:textId="77777777" w:rsidTr="00855B62">
        <w:trPr>
          <w:cantSplit/>
          <w:trHeight w:val="1261"/>
        </w:trPr>
        <w:tc>
          <w:tcPr>
            <w:tcW w:w="2219" w:type="dxa"/>
          </w:tcPr>
          <w:p w14:paraId="2296A048"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Authors</w:t>
            </w:r>
          </w:p>
        </w:tc>
        <w:tc>
          <w:tcPr>
            <w:tcW w:w="336" w:type="dxa"/>
            <w:textDirection w:val="tbRl"/>
          </w:tcPr>
          <w:p w14:paraId="078FAF52" w14:textId="77777777" w:rsidR="00D774D2" w:rsidRPr="00A368B9"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6"/>
                <w:szCs w:val="16"/>
              </w:rPr>
            </w:pPr>
            <w:r w:rsidRPr="00A368B9">
              <w:rPr>
                <w:rFonts w:ascii="Arial" w:eastAsia="Arial" w:hAnsi="Arial" w:cs="Arial"/>
                <w:color w:val="000000"/>
                <w:sz w:val="16"/>
                <w:szCs w:val="16"/>
              </w:rPr>
              <w:t>Knowledge</w:t>
            </w:r>
          </w:p>
        </w:tc>
        <w:tc>
          <w:tcPr>
            <w:tcW w:w="339" w:type="dxa"/>
            <w:textDirection w:val="tbRl"/>
          </w:tcPr>
          <w:p w14:paraId="2E458301"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Demonstrate</w:t>
            </w:r>
          </w:p>
        </w:tc>
        <w:tc>
          <w:tcPr>
            <w:tcW w:w="338" w:type="dxa"/>
            <w:textDirection w:val="tbRl"/>
          </w:tcPr>
          <w:p w14:paraId="3BBF8944"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Policy</w:t>
            </w:r>
          </w:p>
        </w:tc>
        <w:tc>
          <w:tcPr>
            <w:tcW w:w="338" w:type="dxa"/>
            <w:textDirection w:val="tbRl"/>
          </w:tcPr>
          <w:p w14:paraId="3E01CF9E"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Public Health Practice</w:t>
            </w:r>
          </w:p>
        </w:tc>
        <w:tc>
          <w:tcPr>
            <w:tcW w:w="337" w:type="dxa"/>
            <w:textDirection w:val="tbRl"/>
          </w:tcPr>
          <w:p w14:paraId="6686B909"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Clinical Skills</w:t>
            </w:r>
          </w:p>
        </w:tc>
        <w:tc>
          <w:tcPr>
            <w:tcW w:w="337" w:type="dxa"/>
            <w:textDirection w:val="tbRl"/>
          </w:tcPr>
          <w:p w14:paraId="597589E6"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Knowledge</w:t>
            </w:r>
          </w:p>
        </w:tc>
        <w:tc>
          <w:tcPr>
            <w:tcW w:w="342" w:type="dxa"/>
            <w:textDirection w:val="tbRl"/>
          </w:tcPr>
          <w:p w14:paraId="0D383185"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Upstream Drivers</w:t>
            </w:r>
          </w:p>
        </w:tc>
        <w:tc>
          <w:tcPr>
            <w:tcW w:w="342" w:type="dxa"/>
            <w:textDirection w:val="tbRl"/>
          </w:tcPr>
          <w:p w14:paraId="3FD0838C"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Evaluate</w:t>
            </w:r>
          </w:p>
        </w:tc>
        <w:tc>
          <w:tcPr>
            <w:tcW w:w="334" w:type="dxa"/>
            <w:textDirection w:val="tbRl"/>
          </w:tcPr>
          <w:p w14:paraId="3D536F98"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Risk management</w:t>
            </w:r>
          </w:p>
        </w:tc>
        <w:tc>
          <w:tcPr>
            <w:tcW w:w="334" w:type="dxa"/>
            <w:textDirection w:val="tbRl"/>
          </w:tcPr>
          <w:p w14:paraId="44ECFCF9"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Action</w:t>
            </w:r>
          </w:p>
        </w:tc>
        <w:tc>
          <w:tcPr>
            <w:tcW w:w="334" w:type="dxa"/>
            <w:textDirection w:val="tbRl"/>
          </w:tcPr>
          <w:p w14:paraId="52B1C5BB" w14:textId="77777777" w:rsidR="00D774D2" w:rsidRPr="00F330F5" w:rsidRDefault="00D774D2" w:rsidP="00250179">
            <w:pPr>
              <w:widowControl w:val="0"/>
              <w:pBdr>
                <w:top w:val="nil"/>
                <w:left w:val="nil"/>
                <w:bottom w:val="nil"/>
                <w:right w:val="nil"/>
                <w:between w:val="nil"/>
              </w:pBdr>
              <w:spacing w:after="0" w:line="202" w:lineRule="auto"/>
              <w:ind w:left="113" w:right="113"/>
              <w:contextualSpacing/>
              <w:rPr>
                <w:rFonts w:ascii="Arial" w:eastAsia="Arial" w:hAnsi="Arial" w:cs="Arial"/>
                <w:color w:val="000000"/>
                <w:sz w:val="12"/>
                <w:szCs w:val="12"/>
              </w:rPr>
            </w:pPr>
            <w:r w:rsidRPr="00F330F5">
              <w:rPr>
                <w:rFonts w:ascii="Arial" w:eastAsia="Arial" w:hAnsi="Arial" w:cs="Arial"/>
                <w:color w:val="000000"/>
                <w:sz w:val="12"/>
                <w:szCs w:val="12"/>
              </w:rPr>
              <w:t>Collective Strategies</w:t>
            </w:r>
          </w:p>
        </w:tc>
        <w:tc>
          <w:tcPr>
            <w:tcW w:w="6960" w:type="dxa"/>
          </w:tcPr>
          <w:p w14:paraId="08FB78A5"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18"/>
                <w:szCs w:val="18"/>
              </w:rPr>
              <w:t>Type/Summary</w:t>
            </w:r>
          </w:p>
        </w:tc>
      </w:tr>
      <w:tr w:rsidR="00D774D2" w14:paraId="3262BBCD" w14:textId="77777777" w:rsidTr="00855B62">
        <w:trPr>
          <w:trHeight w:val="295"/>
        </w:trPr>
        <w:tc>
          <w:tcPr>
            <w:tcW w:w="2219" w:type="dxa"/>
          </w:tcPr>
          <w:p w14:paraId="421DB4DB"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6" w:type="dxa"/>
            <w:shd w:val="clear" w:color="auto" w:fill="7E7E7E"/>
          </w:tcPr>
          <w:p w14:paraId="08B004C3"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3375" w:type="dxa"/>
            <w:gridSpan w:val="10"/>
          </w:tcPr>
          <w:p w14:paraId="63B36017" w14:textId="77777777" w:rsidR="00D774D2" w:rsidRDefault="00D774D2" w:rsidP="00855B62">
            <w:pPr>
              <w:widowControl w:val="0"/>
              <w:pBdr>
                <w:top w:val="nil"/>
                <w:left w:val="nil"/>
                <w:bottom w:val="nil"/>
                <w:right w:val="nil"/>
                <w:between w:val="nil"/>
              </w:pBdr>
              <w:spacing w:after="0" w:line="201" w:lineRule="auto"/>
              <w:rPr>
                <w:rFonts w:ascii="Arial" w:eastAsia="Arial" w:hAnsi="Arial" w:cs="Arial"/>
                <w:color w:val="000000"/>
                <w:sz w:val="18"/>
                <w:szCs w:val="18"/>
              </w:rPr>
            </w:pPr>
            <w:r>
              <w:rPr>
                <w:rFonts w:ascii="Arial" w:eastAsia="Arial" w:hAnsi="Arial" w:cs="Arial"/>
                <w:color w:val="000000"/>
                <w:sz w:val="18"/>
                <w:szCs w:val="18"/>
              </w:rPr>
              <w:t>Denotes curriculum was not provided</w:t>
            </w:r>
          </w:p>
        </w:tc>
        <w:tc>
          <w:tcPr>
            <w:tcW w:w="6960" w:type="dxa"/>
          </w:tcPr>
          <w:p w14:paraId="737A357C" w14:textId="77777777" w:rsidR="00D774D2" w:rsidRDefault="00D774D2" w:rsidP="00855B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bl>
    <w:p w14:paraId="10CB74BA" w14:textId="77777777" w:rsidR="00D774D2" w:rsidRDefault="00D774D2" w:rsidP="00D774D2">
      <w:pPr>
        <w:sectPr w:rsidR="00D774D2" w:rsidSect="00D774D2">
          <w:pgSz w:w="15840" w:h="12240" w:orient="landscape"/>
          <w:pgMar w:top="1440" w:right="1440" w:bottom="1440" w:left="1440" w:header="709" w:footer="709" w:gutter="0"/>
          <w:cols w:space="720"/>
        </w:sectPr>
      </w:pPr>
    </w:p>
    <w:p w14:paraId="6849C175" w14:textId="77777777" w:rsidR="00D774D2" w:rsidRDefault="00D774D2" w:rsidP="00D774D2">
      <w:pPr>
        <w:widowControl w:val="0"/>
        <w:pBdr>
          <w:top w:val="nil"/>
          <w:left w:val="nil"/>
          <w:bottom w:val="nil"/>
          <w:right w:val="nil"/>
          <w:between w:val="nil"/>
        </w:pBdr>
        <w:tabs>
          <w:tab w:val="left" w:pos="1440"/>
        </w:tabs>
        <w:spacing w:after="0" w:line="240" w:lineRule="auto"/>
        <w:rPr>
          <w:rFonts w:ascii="Arial" w:eastAsia="Arial" w:hAnsi="Arial" w:cs="Arial"/>
          <w:color w:val="1C1D1E"/>
        </w:rPr>
      </w:pPr>
    </w:p>
    <w:p w14:paraId="708FA70D" w14:textId="77777777" w:rsidR="00D774D2" w:rsidRDefault="00D774D2" w:rsidP="00D774D2">
      <w:pPr>
        <w:spacing w:line="480" w:lineRule="auto"/>
      </w:pPr>
      <w:r>
        <w:t>Of the 30 studies provided in the scoping review only two comprehensively covered climate and health topics outlined within the two frameworks (Table 5). Five studies did not indicate whether any topics were covered, which may have not occurred, or were not reported on. Given the overlap between the frameworks the ‘knowledge’ domain scored 18 for both frameworks with the most frequent domain reported as ‘action’. 15 out of 30 studies reported including the clinical skills domain. This is not surprising given most studies include clinicians in participant type. The ‘policy’ domain was covered in 14 of the studies followed by ‘public health practice’ (n=13), upstream drivers’ (n=11) and ‘evaluate’ (n=11). ‘Demonstrate’ and ‘risk assessment’ each occurred in 9 studies, and the least frequent</w:t>
      </w:r>
      <w:sdt>
        <w:sdtPr>
          <w:tag w:val="goog_rdk_19"/>
          <w:id w:val="-1238020346"/>
        </w:sdtPr>
        <w:sdtContent>
          <w:r>
            <w:t>ly</w:t>
          </w:r>
        </w:sdtContent>
      </w:sdt>
      <w:r>
        <w:t xml:space="preserve"> reported competency was ‘collective strategies’ (n=4).</w:t>
      </w:r>
    </w:p>
    <w:p w14:paraId="5208A019" w14:textId="77777777" w:rsidR="00D774D2" w:rsidRDefault="00D774D2" w:rsidP="00D774D2">
      <w:pPr>
        <w:pStyle w:val="Heading2"/>
      </w:pPr>
      <w:bookmarkStart w:id="55" w:name="_Toc225937175"/>
      <w:r>
        <w:t>Discussion and Review of Research</w:t>
      </w:r>
      <w:bookmarkEnd w:id="55"/>
    </w:p>
    <w:p w14:paraId="2FF2BB05" w14:textId="5EF60EC4" w:rsidR="00D774D2" w:rsidRDefault="00D774D2" w:rsidP="00D774D2">
      <w:pPr>
        <w:spacing w:line="480" w:lineRule="auto"/>
      </w:pPr>
      <w:r>
        <w:t xml:space="preserve">As noted, most articles were focused on interventions occurring at academic institutions (n=25). This may be the result of the volume of opportunities to develop or integrate CCHC within health profession education with academic programs. Also, the demand amongst groups such as medical students is apparent in the literature, which likely has driven change. Politically, there is also pressure for universities to move to more sustainable practices by government, much like healthcare organisations (NHS England, 2025). </w:t>
      </w:r>
      <w:r>
        <w:rPr>
          <w:vertAlign w:val="superscript"/>
        </w:rPr>
        <w:t xml:space="preserve"> </w:t>
      </w:r>
      <w:r>
        <w:t xml:space="preserve">In addition, health organisations or government programs do not necessarily publish data on CCHC interventions. This may be due to a lack of interventions occurring or that organisations are not required to report this information and </w:t>
      </w:r>
      <w:r w:rsidR="005A04F8">
        <w:t xml:space="preserve">may </w:t>
      </w:r>
      <w:r w:rsidR="00824053">
        <w:t>not see</w:t>
      </w:r>
      <w:r>
        <w:t xml:space="preserve"> the value. This lack of sharing presents a potential opportunity to develop a national database within the UK and Canada for CCHC training reports.</w:t>
      </w:r>
    </w:p>
    <w:p w14:paraId="0DFD83CA" w14:textId="77777777" w:rsidR="00D774D2" w:rsidRDefault="00D774D2" w:rsidP="00D774D2">
      <w:pPr>
        <w:spacing w:line="480" w:lineRule="auto"/>
      </w:pPr>
      <w:r>
        <w:rPr>
          <w:color w:val="1C1D1E"/>
        </w:rPr>
        <w:t>Within the studies meeting the inclusion criteria, climate change and health domains and related</w:t>
      </w:r>
      <w:r>
        <w:t xml:space="preserve"> </w:t>
      </w:r>
      <w:r>
        <w:rPr>
          <w:color w:val="1C1D1E"/>
        </w:rPr>
        <w:t>competencies covered within the interventions were quite varied. This may be due to the broad</w:t>
      </w:r>
      <w:r>
        <w:t xml:space="preserve"> </w:t>
      </w:r>
      <w:r>
        <w:rPr>
          <w:color w:val="1C1D1E"/>
        </w:rPr>
        <w:t>nature of subject matter, differing learning objectives of the intervention and the diverse</w:t>
      </w:r>
      <w:r>
        <w:t xml:space="preserve"> </w:t>
      </w:r>
      <w:r>
        <w:rPr>
          <w:color w:val="1C1D1E"/>
        </w:rPr>
        <w:t xml:space="preserve">participant </w:t>
      </w:r>
      <w:r>
        <w:rPr>
          <w:color w:val="1C1D1E"/>
        </w:rPr>
        <w:lastRenderedPageBreak/>
        <w:t>groups within healthcare professionals. However, this uncovers a lack of consistency</w:t>
      </w:r>
      <w:r>
        <w:t xml:space="preserve"> </w:t>
      </w:r>
      <w:r>
        <w:rPr>
          <w:color w:val="1C1D1E"/>
        </w:rPr>
        <w:t>between interventions in higher income countries. Moreover, without a common approach nor</w:t>
      </w:r>
      <w:r>
        <w:t xml:space="preserve"> </w:t>
      </w:r>
      <w:r>
        <w:rPr>
          <w:color w:val="1C1D1E"/>
        </w:rPr>
        <w:t>standard to building competencies for healthcare professionals applying knowledge to action</w:t>
      </w:r>
      <w:r>
        <w:t xml:space="preserve"> </w:t>
      </w:r>
      <w:r>
        <w:rPr>
          <w:color w:val="1C1D1E"/>
        </w:rPr>
        <w:t>within the work environment is quite challenging.</w:t>
      </w:r>
    </w:p>
    <w:p w14:paraId="51B58F1C" w14:textId="02FCFD70" w:rsidR="00D774D2" w:rsidRDefault="009F0ED0" w:rsidP="00D774D2">
      <w:pPr>
        <w:spacing w:line="480" w:lineRule="auto"/>
        <w:rPr>
          <w:color w:val="1C1D1E"/>
        </w:rPr>
      </w:pPr>
      <w:r>
        <w:rPr>
          <w:color w:val="1C1D1E"/>
        </w:rPr>
        <w:t xml:space="preserve"> It is important to factor the</w:t>
      </w:r>
      <w:r w:rsidR="00D774D2">
        <w:rPr>
          <w:color w:val="1C1D1E"/>
        </w:rPr>
        <w:t xml:space="preserve"> availability of evaluations, which were not designed to account for</w:t>
      </w:r>
      <w:r w:rsidR="00D774D2">
        <w:t xml:space="preserve"> </w:t>
      </w:r>
      <w:r w:rsidR="00D774D2">
        <w:rPr>
          <w:color w:val="1C1D1E"/>
        </w:rPr>
        <w:t>whether competency was achieved, in most cases. Evaluations generally were favourable for</w:t>
      </w:r>
      <w:r w:rsidR="00D774D2">
        <w:t xml:space="preserve"> </w:t>
      </w:r>
      <w:r w:rsidR="00D774D2">
        <w:rPr>
          <w:color w:val="1C1D1E"/>
        </w:rPr>
        <w:t>learners and indicated an increase in knowledge on CCHC following the intervention. This may</w:t>
      </w:r>
      <w:r w:rsidR="00D774D2">
        <w:t xml:space="preserve"> </w:t>
      </w:r>
      <w:r w:rsidR="00D774D2">
        <w:rPr>
          <w:color w:val="1C1D1E"/>
        </w:rPr>
        <w:t>be attributable to health professional students being more aware of climate change and health</w:t>
      </w:r>
      <w:r w:rsidR="00D774D2">
        <w:t xml:space="preserve"> </w:t>
      </w:r>
      <w:r w:rsidR="00D774D2">
        <w:rPr>
          <w:color w:val="1C1D1E"/>
        </w:rPr>
        <w:t xml:space="preserve">consequences </w:t>
      </w:r>
      <w:r w:rsidR="00D774D2">
        <w:t>(</w:t>
      </w:r>
      <w:proofErr w:type="spellStart"/>
      <w:r w:rsidR="00D774D2">
        <w:t>Ccami</w:t>
      </w:r>
      <w:proofErr w:type="spellEnd"/>
      <w:r w:rsidR="00D774D2">
        <w:t xml:space="preserve">-Bernal, et al., 2024) </w:t>
      </w:r>
      <w:r w:rsidR="00D774D2">
        <w:rPr>
          <w:color w:val="1C1D1E"/>
        </w:rPr>
        <w:t>and their interest in the subject. In some interventions, participation was</w:t>
      </w:r>
      <w:r w:rsidR="00D774D2">
        <w:t xml:space="preserve"> </w:t>
      </w:r>
      <w:r w:rsidR="00D774D2">
        <w:rPr>
          <w:color w:val="1C1D1E"/>
        </w:rPr>
        <w:t>voluntary. For example, healthcare professionals choosing to take an elective course on CCHC or participating in a sustainability intervention that was not a job requirement.</w:t>
      </w:r>
    </w:p>
    <w:p w14:paraId="7279DC25" w14:textId="479FE811" w:rsidR="009F0ED0" w:rsidRDefault="009F0ED0" w:rsidP="00D774D2">
      <w:pPr>
        <w:spacing w:line="480" w:lineRule="auto"/>
      </w:pPr>
      <w:r>
        <w:rPr>
          <w:color w:val="1C1D1E"/>
        </w:rPr>
        <w:t xml:space="preserve">There was a general absence of evaluation frameworks provided within the studies. Studies noted approaches to evaluation that occurred pre and post intervention. The approaches were predominantly </w:t>
      </w:r>
      <w:proofErr w:type="spellStart"/>
      <w:r>
        <w:rPr>
          <w:color w:val="1C1D1E"/>
        </w:rPr>
        <w:t>self reported</w:t>
      </w:r>
      <w:proofErr w:type="spellEnd"/>
      <w:r>
        <w:rPr>
          <w:color w:val="1C1D1E"/>
        </w:rPr>
        <w:t xml:space="preserve"> and measured leaner attitudes, awareness, confidence and competence. When considering Kirkpatrick’s Evaluation Framework (Kirkpatrick, 2010; as cited in Rouse, 2011) only Aronsson, et al. (2020), Grouse and Richardson (2016), and Lopez-Medina et al (2022) indicated a level of behaviour or change within a practice (level 3). The remaining studies’ evaluations evidenced reaction or learning (level 1-2), while no studies indicated evaluations achieving results (level 4). </w:t>
      </w:r>
    </w:p>
    <w:p w14:paraId="3D3FFDE3" w14:textId="77777777" w:rsidR="00D774D2" w:rsidRDefault="00D774D2" w:rsidP="00D774D2">
      <w:pPr>
        <w:spacing w:line="480" w:lineRule="auto"/>
      </w:pPr>
      <w:r>
        <w:t xml:space="preserve">Several interventions utilized on-line modules as thy occurred during COVID-19. As discussed, in the previous section, there has been a gradual shift to online learning platforms, especially in the academic setting. Online learning platforms can increase the ability for health professionals to enrol. This accounts for the lack of organisational opportunities and those offered through </w:t>
      </w:r>
      <w:r>
        <w:lastRenderedPageBreak/>
        <w:t>continuing education. Coincident</w:t>
      </w:r>
      <w:sdt>
        <w:sdtPr>
          <w:tag w:val="goog_rdk_20"/>
          <w:id w:val="-2030719948"/>
        </w:sdtPr>
        <w:sdtContent>
          <w:r>
            <w:t>al</w:t>
          </w:r>
        </w:sdtContent>
      </w:sdt>
      <w:r>
        <w:t>ly, this also minimizes travel and offsets healthcare’s carbon emissions.</w:t>
      </w:r>
    </w:p>
    <w:p w14:paraId="5AFBC9B3" w14:textId="77777777" w:rsidR="00D774D2" w:rsidRDefault="00D774D2" w:rsidP="00D774D2">
      <w:pPr>
        <w:spacing w:line="480" w:lineRule="auto"/>
      </w:pPr>
      <w:r>
        <w:t>To gain traction in health professional competence there are two approaches that need to work in conjunction with one another. The first is having CCHC built into programs that train healthcare professionals. This approach has been advocated by students, and many academic disciplines have begun to integrate this content into established curriculum. However, there is little consistency in the topics covered. How well health professionals are educated and trained in CCHC is dependent on where their training is conducted. Secondly, competencies can be offered through continuing education initiatives. Continuing education is vital, much like in any career</w:t>
      </w:r>
      <w:r>
        <w:rPr>
          <w:vertAlign w:val="superscript"/>
        </w:rPr>
        <w:t xml:space="preserve"> </w:t>
      </w:r>
      <w:r>
        <w:t>(Institute of Medicine, 2003), to enhancing healthcare professional knowledge and skills. This is dependent on the ability for health professionals to attend CCHC training, organisational support, and perceived value of the training.</w:t>
      </w:r>
    </w:p>
    <w:p w14:paraId="0875C8E0" w14:textId="107F8465" w:rsidR="00D774D2" w:rsidRDefault="00D774D2" w:rsidP="00D774D2">
      <w:pPr>
        <w:spacing w:line="480" w:lineRule="auto"/>
      </w:pPr>
      <w:r>
        <w:t xml:space="preserve">Results from this scoping review indicate a need for further research on the extent of organisational CCHC initiatives and those specific to leaders. This is evidenced by CCHC content specific to leadership </w:t>
      </w:r>
      <w:sdt>
        <w:sdtPr>
          <w:tag w:val="goog_rdk_21"/>
          <w:id w:val="416332197"/>
        </w:sdtPr>
        <w:sdtContent>
          <w:r>
            <w:t xml:space="preserve">that </w:t>
          </w:r>
        </w:sdtContent>
      </w:sdt>
      <w:r>
        <w:t xml:space="preserve">was vaguely addressed in the literature. While literature has conveyed the importance of health professionals in the community (Meagan, et al., 2023) relating to climate change, health leaders within organisations are largely ignored. </w:t>
      </w:r>
      <w:r w:rsidR="00F86105">
        <w:t xml:space="preserve">This is further evidence of a gap and lack of integration of a systems leadership approach to initiatives. </w:t>
      </w:r>
      <w:r>
        <w:t xml:space="preserve">Another opportunity for further inquiry is more attention being paid to leadership skills within framework domains. Emphasizing this is the absence of training that provides leadership skills required for competence to managing climate change within health organisations. This includes strategic guidance for health leaders in readying organisations for climate change (preparedness, mitigation, and adaption) and clearer direction on managing climate emergencies. This presents an opportunity for </w:t>
      </w:r>
      <w:r>
        <w:lastRenderedPageBreak/>
        <w:t>further study and highlights a current gap. There is a clear need for further inquiry into this phenomenon.</w:t>
      </w:r>
    </w:p>
    <w:p w14:paraId="29A7DB9E" w14:textId="77777777" w:rsidR="00D774D2" w:rsidRDefault="00D774D2" w:rsidP="00D774D2">
      <w:pPr>
        <w:pStyle w:val="Heading2"/>
      </w:pPr>
      <w:bookmarkStart w:id="56" w:name="_Toc225937176"/>
      <w:r>
        <w:t>Chapter Summary</w:t>
      </w:r>
      <w:bookmarkEnd w:id="56"/>
    </w:p>
    <w:p w14:paraId="27A1169D" w14:textId="77777777" w:rsidR="00D774D2" w:rsidRDefault="00D774D2" w:rsidP="00D774D2">
      <w:pPr>
        <w:pBdr>
          <w:top w:val="nil"/>
          <w:left w:val="nil"/>
          <w:bottom w:val="nil"/>
          <w:right w:val="nil"/>
          <w:between w:val="nil"/>
        </w:pBdr>
        <w:spacing w:after="0" w:line="480" w:lineRule="auto"/>
        <w:rPr>
          <w:color w:val="000000"/>
        </w:rPr>
      </w:pPr>
      <w:r>
        <w:rPr>
          <w:color w:val="000000"/>
        </w:rPr>
        <w:t>Research efforts to date on the state of health professional climate change and health</w:t>
      </w:r>
    </w:p>
    <w:p w14:paraId="69ED532F" w14:textId="77777777" w:rsidR="00D774D2" w:rsidRDefault="00D774D2" w:rsidP="00D774D2">
      <w:pPr>
        <w:pBdr>
          <w:top w:val="nil"/>
          <w:left w:val="nil"/>
          <w:bottom w:val="nil"/>
          <w:right w:val="nil"/>
          <w:between w:val="nil"/>
        </w:pBdr>
        <w:spacing w:after="0" w:line="480" w:lineRule="auto"/>
        <w:rPr>
          <w:color w:val="000000"/>
        </w:rPr>
      </w:pPr>
      <w:r>
        <w:rPr>
          <w:color w:val="000000"/>
        </w:rPr>
        <w:t>curriculum and continuing education, are prevalent, however limited attention has been paid to</w:t>
      </w:r>
    </w:p>
    <w:p w14:paraId="509D1D39" w14:textId="77777777" w:rsidR="00D774D2" w:rsidRDefault="00D774D2" w:rsidP="00D774D2">
      <w:pPr>
        <w:pBdr>
          <w:top w:val="nil"/>
          <w:left w:val="nil"/>
          <w:bottom w:val="nil"/>
          <w:right w:val="nil"/>
          <w:between w:val="nil"/>
        </w:pBdr>
        <w:spacing w:after="0" w:line="480" w:lineRule="auto"/>
        <w:rPr>
          <w:color w:val="000000"/>
        </w:rPr>
      </w:pPr>
      <w:r>
        <w:rPr>
          <w:color w:val="000000"/>
        </w:rPr>
        <w:t>mapping competency frameworks within training interventions. To remedy this, a scoping review was designed with two objectives: 1) to understand the extent and type of evidence in relation to climate change training and education interventions targeted at health professionals and leaders in primary studies; 2) to determine if climate and health competencies have been integrated into these interventions. In line with the greater research inquiry, this scoping review looked at health</w:t>
      </w:r>
    </w:p>
    <w:p w14:paraId="3676E3CE" w14:textId="77777777" w:rsidR="00D774D2" w:rsidRDefault="00D774D2" w:rsidP="00D774D2">
      <w:pPr>
        <w:pBdr>
          <w:top w:val="nil"/>
          <w:left w:val="nil"/>
          <w:bottom w:val="nil"/>
          <w:right w:val="nil"/>
          <w:between w:val="nil"/>
        </w:pBdr>
        <w:spacing w:after="0" w:line="480" w:lineRule="auto"/>
        <w:rPr>
          <w:color w:val="000000"/>
        </w:rPr>
      </w:pPr>
      <w:r>
        <w:rPr>
          <w:color w:val="000000"/>
        </w:rPr>
        <w:t>professionals in high income countries who were exposed to training and education interventions in primary research since 2015. A search of the electronic databases was undertaken including Ovid Medline (including Medline-in-process), Embase and CINAHL. In addition, reference searching and citation mining, grey literature searching and contacting experts in the field strategies were utilized. Searching occurred from March to June 2024 and was limited to studies published in the English language.</w:t>
      </w:r>
    </w:p>
    <w:p w14:paraId="0A0E3659" w14:textId="7A7EB159" w:rsidR="00D774D2" w:rsidRDefault="00B41254" w:rsidP="00D774D2">
      <w:pPr>
        <w:pBdr>
          <w:top w:val="nil"/>
          <w:left w:val="nil"/>
          <w:bottom w:val="nil"/>
          <w:right w:val="nil"/>
          <w:between w:val="nil"/>
        </w:pBdr>
        <w:spacing w:after="0" w:line="480" w:lineRule="auto"/>
        <w:rPr>
          <w:color w:val="000000"/>
        </w:rPr>
      </w:pPr>
      <w:r>
        <w:t>The scoping review search commenced in April with the write up and other aspect</w:t>
      </w:r>
      <w:sdt>
        <w:sdtPr>
          <w:tag w:val="goog_rdk_105"/>
          <w:id w:val="-499810869"/>
        </w:sdtPr>
        <w:sdtContent>
          <w:r>
            <w:t>s</w:t>
          </w:r>
        </w:sdtContent>
      </w:sdt>
      <w:r>
        <w:t xml:space="preserve"> of the review of literature taking place over 2024. An additional literature review was conducted in early 2025 that focused primarily on scoping and systematic reviews to identify similar studies. </w:t>
      </w:r>
      <w:r w:rsidR="00D774D2">
        <w:rPr>
          <w:color w:val="000000"/>
        </w:rPr>
        <w:t>In total 8936 articles were screened from academic databases and of those 30 titles were</w:t>
      </w:r>
    </w:p>
    <w:p w14:paraId="5E47A602" w14:textId="77777777" w:rsidR="00D774D2" w:rsidRDefault="00D774D2" w:rsidP="00D774D2">
      <w:pPr>
        <w:pBdr>
          <w:top w:val="nil"/>
          <w:left w:val="nil"/>
          <w:bottom w:val="nil"/>
          <w:right w:val="nil"/>
          <w:between w:val="nil"/>
        </w:pBdr>
        <w:spacing w:after="0" w:line="480" w:lineRule="auto"/>
        <w:rPr>
          <w:color w:val="000000"/>
        </w:rPr>
      </w:pPr>
      <w:r>
        <w:rPr>
          <w:color w:val="000000"/>
        </w:rPr>
        <w:t>relevant and included in the review. 83% occurred in an academic institution and 23% were</w:t>
      </w:r>
    </w:p>
    <w:p w14:paraId="7DB884F9" w14:textId="77777777" w:rsidR="00D774D2" w:rsidRDefault="00D774D2" w:rsidP="00D774D2">
      <w:pPr>
        <w:pBdr>
          <w:top w:val="nil"/>
          <w:left w:val="nil"/>
          <w:bottom w:val="nil"/>
          <w:right w:val="nil"/>
          <w:between w:val="nil"/>
        </w:pBdr>
        <w:spacing w:after="0" w:line="480" w:lineRule="auto"/>
        <w:rPr>
          <w:color w:val="000000"/>
        </w:rPr>
      </w:pPr>
      <w:r>
        <w:rPr>
          <w:color w:val="000000"/>
        </w:rPr>
        <w:t>limited to a one-day session. Outcome measures were reported in 23 studies. In total only 7% of</w:t>
      </w:r>
    </w:p>
    <w:p w14:paraId="2AD23407" w14:textId="77777777" w:rsidR="00D774D2" w:rsidRDefault="00D774D2" w:rsidP="00D774D2">
      <w:pPr>
        <w:pBdr>
          <w:top w:val="nil"/>
          <w:left w:val="nil"/>
          <w:bottom w:val="nil"/>
          <w:right w:val="nil"/>
          <w:between w:val="nil"/>
        </w:pBdr>
        <w:spacing w:after="0" w:line="480" w:lineRule="auto"/>
        <w:rPr>
          <w:color w:val="000000"/>
        </w:rPr>
      </w:pPr>
      <w:r>
        <w:rPr>
          <w:color w:val="000000"/>
        </w:rPr>
        <w:t>studies were comprehensive and met the competencies provided in the applicable climate</w:t>
      </w:r>
    </w:p>
    <w:p w14:paraId="5D22B5DA" w14:textId="77777777" w:rsidR="00D774D2" w:rsidRDefault="00D774D2" w:rsidP="00D774D2">
      <w:pPr>
        <w:pBdr>
          <w:top w:val="nil"/>
          <w:left w:val="nil"/>
          <w:bottom w:val="nil"/>
          <w:right w:val="nil"/>
          <w:between w:val="nil"/>
        </w:pBdr>
        <w:spacing w:after="0" w:line="480" w:lineRule="auto"/>
        <w:rPr>
          <w:color w:val="000000"/>
        </w:rPr>
      </w:pPr>
      <w:r>
        <w:rPr>
          <w:color w:val="000000"/>
        </w:rPr>
        <w:t>change and health frameworks in higher income countries. Climate change and health</w:t>
      </w:r>
    </w:p>
    <w:p w14:paraId="17A746B6" w14:textId="77777777" w:rsidR="00D774D2" w:rsidRDefault="00D774D2" w:rsidP="00D774D2">
      <w:pPr>
        <w:pBdr>
          <w:top w:val="nil"/>
          <w:left w:val="nil"/>
          <w:bottom w:val="nil"/>
          <w:right w:val="nil"/>
          <w:between w:val="nil"/>
        </w:pBdr>
        <w:spacing w:after="0" w:line="480" w:lineRule="auto"/>
        <w:rPr>
          <w:color w:val="000000"/>
        </w:rPr>
      </w:pPr>
      <w:r>
        <w:rPr>
          <w:color w:val="000000"/>
        </w:rPr>
        <w:lastRenderedPageBreak/>
        <w:t xml:space="preserve">education varies across continuing professional development and university curriculum for health professionals. The next chapter will consider this review of research in the context of the study’s methodological approach. </w:t>
      </w:r>
    </w:p>
    <w:p w14:paraId="075077C8" w14:textId="77777777" w:rsidR="00D774D2" w:rsidRDefault="00D774D2" w:rsidP="00D774D2"/>
    <w:p w14:paraId="6FF603C8" w14:textId="77777777" w:rsidR="00D8283E" w:rsidRDefault="00D8283E" w:rsidP="00D774D2"/>
    <w:p w14:paraId="206957B4" w14:textId="77777777" w:rsidR="00D8283E" w:rsidRDefault="00D8283E" w:rsidP="00D774D2"/>
    <w:p w14:paraId="68989CB3" w14:textId="77777777" w:rsidR="00824053" w:rsidRDefault="00824053" w:rsidP="00D774D2"/>
    <w:p w14:paraId="0D5734B8" w14:textId="77777777" w:rsidR="00824053" w:rsidRDefault="00824053" w:rsidP="00D774D2"/>
    <w:p w14:paraId="185C7016" w14:textId="77777777" w:rsidR="00824053" w:rsidRDefault="00824053" w:rsidP="00D774D2"/>
    <w:p w14:paraId="41AD0201" w14:textId="77777777" w:rsidR="00824053" w:rsidRDefault="00824053" w:rsidP="00D774D2"/>
    <w:p w14:paraId="2543B865" w14:textId="77777777" w:rsidR="00824053" w:rsidRDefault="00824053" w:rsidP="00D774D2"/>
    <w:p w14:paraId="1FD7AF35" w14:textId="77777777" w:rsidR="00824053" w:rsidRDefault="00824053" w:rsidP="00D774D2"/>
    <w:p w14:paraId="530CAA41" w14:textId="77777777" w:rsidR="00824053" w:rsidRDefault="00824053" w:rsidP="00D774D2"/>
    <w:p w14:paraId="33E82984" w14:textId="77777777" w:rsidR="00824053" w:rsidRDefault="00824053" w:rsidP="00D774D2"/>
    <w:p w14:paraId="0C6D6BF0" w14:textId="77777777" w:rsidR="00824053" w:rsidRDefault="00824053" w:rsidP="00D774D2"/>
    <w:p w14:paraId="1664F480" w14:textId="77777777" w:rsidR="00824053" w:rsidRDefault="00824053" w:rsidP="00D774D2"/>
    <w:p w14:paraId="595867B7" w14:textId="77777777" w:rsidR="00824053" w:rsidRDefault="00824053" w:rsidP="00D774D2"/>
    <w:p w14:paraId="3B32B32E" w14:textId="77777777" w:rsidR="00824053" w:rsidRDefault="00824053" w:rsidP="00D774D2"/>
    <w:p w14:paraId="58B4B9BE" w14:textId="77777777" w:rsidR="00D8283E" w:rsidRDefault="00D8283E" w:rsidP="00D774D2"/>
    <w:p w14:paraId="12B11961" w14:textId="77777777" w:rsidR="00D8283E" w:rsidRDefault="00D8283E" w:rsidP="00D774D2"/>
    <w:p w14:paraId="199E79CC" w14:textId="77777777" w:rsidR="00D8283E" w:rsidRDefault="00D8283E" w:rsidP="00D774D2"/>
    <w:p w14:paraId="5E8AAEFD" w14:textId="77777777" w:rsidR="00D8283E" w:rsidRDefault="00D8283E" w:rsidP="00D774D2"/>
    <w:p w14:paraId="1419E237" w14:textId="77777777" w:rsidR="00D8283E" w:rsidRDefault="00D8283E" w:rsidP="00D774D2"/>
    <w:p w14:paraId="07A72386" w14:textId="77777777" w:rsidR="00D8283E" w:rsidRDefault="00D8283E" w:rsidP="00D774D2"/>
    <w:p w14:paraId="1195CDF5" w14:textId="77777777" w:rsidR="006C17FF" w:rsidRDefault="006C17FF" w:rsidP="006C17FF">
      <w:pPr>
        <w:pStyle w:val="Heading1"/>
      </w:pPr>
      <w:bookmarkStart w:id="57" w:name="_Toc225937177"/>
      <w:r>
        <w:lastRenderedPageBreak/>
        <w:t>CHAPTER III: RESEARCH METHODOLOGY</w:t>
      </w:r>
      <w:bookmarkEnd w:id="57"/>
    </w:p>
    <w:p w14:paraId="3B0AE3C8" w14:textId="77777777" w:rsidR="006C17FF" w:rsidRDefault="006C17FF" w:rsidP="006C17FF">
      <w:pPr>
        <w:pStyle w:val="Heading2"/>
      </w:pPr>
      <w:bookmarkStart w:id="58" w:name="_Toc225937178"/>
      <w:r>
        <w:t>Introduction</w:t>
      </w:r>
      <w:bookmarkEnd w:id="58"/>
    </w:p>
    <w:p w14:paraId="2BD136D7" w14:textId="77777777" w:rsidR="006C17FF" w:rsidRDefault="00000000" w:rsidP="006C17FF">
      <w:pPr>
        <w:spacing w:line="480" w:lineRule="auto"/>
      </w:pPr>
      <w:sdt>
        <w:sdtPr>
          <w:tag w:val="goog_rdk_15"/>
          <w:id w:val="-498318532"/>
        </w:sdtPr>
        <w:sdtContent>
          <w:r w:rsidR="006C17FF">
            <w:t>The first phase of this study included a scoping review of</w:t>
          </w:r>
          <w:sdt>
            <w:sdtPr>
              <w:tag w:val="goog_rdk_1"/>
              <w:id w:val="-676197792"/>
            </w:sdtPr>
            <w:sdtContent>
              <w:r w:rsidR="006C17FF">
                <w:t xml:space="preserve"> published academic</w:t>
              </w:r>
            </w:sdtContent>
          </w:sdt>
          <w:r w:rsidR="006C17FF">
            <w:t xml:space="preserve"> literature and relevant grey literature. The scoping review was important to both review the </w:t>
          </w:r>
          <w:sdt>
            <w:sdtPr>
              <w:tag w:val="goog_rdk_2"/>
              <w:id w:val="-594623200"/>
            </w:sdtPr>
            <w:sdtContent>
              <w:r w:rsidR="006C17FF">
                <w:t xml:space="preserve">available </w:t>
              </w:r>
            </w:sdtContent>
          </w:sdt>
          <w:r w:rsidR="006C17FF">
            <w:t xml:space="preserve">literature </w:t>
          </w:r>
          <w:sdt>
            <w:sdtPr>
              <w:tag w:val="goog_rdk_3"/>
              <w:id w:val="1983740449"/>
            </w:sdtPr>
            <w:sdtContent>
              <w:r w:rsidR="006C17FF">
                <w:t xml:space="preserve">base </w:t>
              </w:r>
            </w:sdtContent>
          </w:sdt>
          <w:r w:rsidR="006C17FF">
            <w:t xml:space="preserve">and </w:t>
          </w:r>
          <w:sdt>
            <w:sdtPr>
              <w:tag w:val="goog_rdk_4"/>
              <w:id w:val="126351858"/>
            </w:sdtPr>
            <w:sdtContent>
              <w:r w:rsidR="006C17FF">
                <w:t xml:space="preserve">to </w:t>
              </w:r>
            </w:sdtContent>
          </w:sdt>
          <w:r w:rsidR="006C17FF">
            <w:t xml:space="preserve">determine the </w:t>
          </w:r>
          <w:sdt>
            <w:sdtPr>
              <w:tag w:val="goog_rdk_5"/>
              <w:id w:val="-1564954626"/>
            </w:sdtPr>
            <w:sdtContent>
              <w:r w:rsidR="006C17FF">
                <w:t xml:space="preserve">nature </w:t>
              </w:r>
            </w:sdtContent>
          </w:sdt>
          <w:sdt>
            <w:sdtPr>
              <w:tag w:val="goog_rdk_6"/>
              <w:id w:val="-689731023"/>
            </w:sdtPr>
            <w:sdtContent>
              <w:r w:rsidR="006C17FF">
                <w:t xml:space="preserve">and coverage </w:t>
              </w:r>
            </w:sdtContent>
          </w:sdt>
          <w:r w:rsidR="006C17FF">
            <w:t xml:space="preserve">of </w:t>
          </w:r>
          <w:sdt>
            <w:sdtPr>
              <w:tag w:val="goog_rdk_7"/>
              <w:id w:val="1532998511"/>
            </w:sdtPr>
            <w:sdtContent>
              <w:r w:rsidR="006C17FF">
                <w:t xml:space="preserve">content in relation to </w:t>
              </w:r>
            </w:sdtContent>
          </w:sdt>
          <w:sdt>
            <w:sdtPr>
              <w:tag w:val="goog_rdk_8"/>
              <w:id w:val="241590232"/>
            </w:sdtPr>
            <w:sdtContent>
              <w:sdt>
                <w:sdtPr>
                  <w:tag w:val="goog_rdk_9"/>
                  <w:id w:val="612200312"/>
                </w:sdtPr>
                <w:sdtContent/>
              </w:sdt>
            </w:sdtContent>
          </w:sdt>
          <w:r w:rsidR="006C17FF">
            <w:t xml:space="preserve">leadership competencies </w:t>
          </w:r>
          <w:sdt>
            <w:sdtPr>
              <w:tag w:val="goog_rdk_10"/>
              <w:id w:val="1220662654"/>
            </w:sdtPr>
            <w:sdtContent>
              <w:r w:rsidR="006C17FF">
                <w:t>in</w:t>
              </w:r>
            </w:sdtContent>
          </w:sdt>
          <w:sdt>
            <w:sdtPr>
              <w:tag w:val="goog_rdk_11"/>
              <w:id w:val="1215513656"/>
            </w:sdtPr>
            <w:sdtContent>
              <w:r w:rsidR="006C17FF">
                <w:t xml:space="preserve"> </w:t>
              </w:r>
            </w:sdtContent>
          </w:sdt>
          <w:r w:rsidR="006C17FF">
            <w:t xml:space="preserve">climate change and health. This was reflective of one of the objectives in </w:t>
          </w:r>
          <w:sdt>
            <w:sdtPr>
              <w:tag w:val="goog_rdk_13"/>
              <w:id w:val="292405629"/>
            </w:sdtPr>
            <w:sdtContent>
              <w:r w:rsidR="006C17FF">
                <w:t xml:space="preserve">the </w:t>
              </w:r>
            </w:sdtContent>
          </w:sdt>
          <w:r w:rsidR="006C17FF">
            <w:t>scoping review, which was to determine current evidence prior to initiating the study design.</w:t>
          </w:r>
        </w:sdtContent>
      </w:sdt>
    </w:p>
    <w:p w14:paraId="14319F04" w14:textId="2F4925AF" w:rsidR="006C17FF" w:rsidRDefault="00000000" w:rsidP="006C17FF">
      <w:pPr>
        <w:spacing w:line="480" w:lineRule="auto"/>
      </w:pPr>
      <w:sdt>
        <w:sdtPr>
          <w:tag w:val="goog_rdk_30"/>
          <w:id w:val="455540174"/>
        </w:sdtPr>
        <w:sdtContent>
          <w:r w:rsidR="006C17FF">
            <w:t xml:space="preserve"> The second phase of the study considered</w:t>
          </w:r>
          <w:sdt>
            <w:sdtPr>
              <w:tag w:val="goog_rdk_16"/>
              <w:id w:val="-637987173"/>
            </w:sdtPr>
            <w:sdtContent>
              <w:r w:rsidR="006C17FF">
                <w:t xml:space="preserve"> various </w:t>
              </w:r>
            </w:sdtContent>
          </w:sdt>
          <w:r w:rsidR="006C17FF">
            <w:t>research techniques and landed on using a quantitative method</w:t>
          </w:r>
          <w:sdt>
            <w:sdtPr>
              <w:tag w:val="goog_rdk_18"/>
              <w:id w:val="1616105816"/>
            </w:sdtPr>
            <w:sdtContent>
              <w:sdt>
                <w:sdtPr>
                  <w:tag w:val="goog_rdk_19"/>
                  <w:id w:val="1947583109"/>
                </w:sdtPr>
                <w:sdtContent/>
              </w:sdt>
              <w:sdt>
                <w:sdtPr>
                  <w:tag w:val="goog_rdk_20"/>
                  <w:id w:val="-1714474971"/>
                </w:sdtPr>
                <w:sdtContent/>
              </w:sdt>
              <w:r w:rsidR="006C17FF">
                <w:t xml:space="preserve"> to address </w:t>
              </w:r>
            </w:sdtContent>
          </w:sdt>
          <w:r w:rsidR="006C17FF">
            <w:t xml:space="preserve"> the research objectives, which include determining the extent of climate change and health competency and capacity amongst leaders. The method chosen was a survey questionnaire for data collection. The questionnaire was designed and included competencies from frameworks previously developed and assessed in the review of literature for suitability.</w:t>
          </w:r>
          <w:sdt>
            <w:sdtPr>
              <w:tag w:val="goog_rdk_22"/>
              <w:id w:val="-863235679"/>
            </w:sdtPr>
            <w:sdtContent>
              <w:r w:rsidR="006C17FF">
                <w:t xml:space="preserve"> </w:t>
              </w:r>
              <w:sdt>
                <w:sdtPr>
                  <w:tag w:val="goog_rdk_23"/>
                  <w:id w:val="17308949"/>
                </w:sdtPr>
                <w:sdtContent>
                  <w:r w:rsidR="006C17FF">
                    <w:t>Prior to data collection, ethical approval through the University of Sheffield was sought and received</w:t>
                  </w:r>
                </w:sdtContent>
              </w:sdt>
            </w:sdtContent>
          </w:sdt>
          <w:sdt>
            <w:sdtPr>
              <w:tag w:val="goog_rdk_24"/>
              <w:id w:val="-1490893357"/>
            </w:sdtPr>
            <w:sdtContent>
              <w:sdt>
                <w:sdtPr>
                  <w:tag w:val="goog_rdk_25"/>
                  <w:id w:val="-473782749"/>
                </w:sdtPr>
                <w:sdtContent>
                  <w:r w:rsidR="006C17FF">
                    <w:t xml:space="preserve"> </w:t>
                  </w:r>
                </w:sdtContent>
              </w:sdt>
              <w:r w:rsidR="00866C85">
                <w:t>(Reference Number 066874)</w:t>
              </w:r>
            </w:sdtContent>
          </w:sdt>
          <w:sdt>
            <w:sdtPr>
              <w:tag w:val="goog_rdk_28"/>
              <w:id w:val="2784169"/>
            </w:sdtPr>
            <w:sdtContent>
              <w:sdt>
                <w:sdtPr>
                  <w:tag w:val="goog_rdk_29"/>
                  <w:id w:val="-691409953"/>
                </w:sdtPr>
                <w:sdtContent>
                  <w:r w:rsidR="006C17FF">
                    <w:t xml:space="preserve">. </w:t>
                  </w:r>
                </w:sdtContent>
              </w:sdt>
            </w:sdtContent>
          </w:sdt>
        </w:sdtContent>
      </w:sdt>
    </w:p>
    <w:p w14:paraId="4EAE05D0" w14:textId="275BCAC9" w:rsidR="006C17FF" w:rsidRDefault="006C17FF" w:rsidP="006C17FF">
      <w:pPr>
        <w:spacing w:line="480" w:lineRule="auto"/>
      </w:pPr>
      <w:r>
        <w:t xml:space="preserve"> The survey was distributed</w:t>
      </w:r>
      <w:sdt>
        <w:sdtPr>
          <w:tag w:val="goog_rdk_31"/>
          <w:id w:val="-1571149595"/>
        </w:sdtPr>
        <w:sdtContent>
          <w:r>
            <w:t xml:space="preserve"> electronically via email</w:t>
          </w:r>
        </w:sdtContent>
      </w:sdt>
      <w:r>
        <w:t xml:space="preserve"> and targeted h</w:t>
      </w:r>
      <w:sdt>
        <w:sdtPr>
          <w:tag w:val="goog_rdk_32"/>
          <w:id w:val="-1911291082"/>
        </w:sdtPr>
        <w:sdtContent/>
      </w:sdt>
      <w:r>
        <w:t>ealth leaders</w:t>
      </w:r>
      <w:sdt>
        <w:sdtPr>
          <w:tag w:val="goog_rdk_33"/>
          <w:id w:val="-768893496"/>
        </w:sdtPr>
        <w:sdtContent>
          <w:r>
            <w:t xml:space="preserve"> </w:t>
          </w:r>
        </w:sdtContent>
      </w:sdt>
      <w:r>
        <w:t xml:space="preserve"> in the UK and Canada. Health leaders are defined as those through levels of seniority within health organisations. This include</w:t>
      </w:r>
      <w:r w:rsidR="00E47475">
        <w:t>d</w:t>
      </w:r>
      <w:r>
        <w:t xml:space="preserve"> levels such as below managerial, managerial, director or program administrator, and executive, organisational or trust administrator. The survey used a purposive sampling strategy that as Palinkas et al. (2016) suggest, were designed to illuminate both similarities and differences within the sample size. An additional technique, snowball sampling, was utilized for further penetration of the survey within the target population.</w:t>
      </w:r>
      <w:r w:rsidR="00E47475">
        <w:t xml:space="preserve"> It is estimated that the survey was distributed to over one thousand health leaders, however based on snowball sampling and social media campaigns an exact number is not known.</w:t>
      </w:r>
    </w:p>
    <w:p w14:paraId="0521E098" w14:textId="1DED390B" w:rsidR="006C17FF" w:rsidRDefault="00000000" w:rsidP="006C17FF">
      <w:pPr>
        <w:spacing w:line="480" w:lineRule="auto"/>
      </w:pPr>
      <w:sdt>
        <w:sdtPr>
          <w:tag w:val="goog_rdk_34"/>
          <w:id w:val="-1521515602"/>
        </w:sdtPr>
        <w:sdtContent/>
      </w:sdt>
      <w:r w:rsidR="006C17FF">
        <w:t xml:space="preserve">This research methodology draws from a </w:t>
      </w:r>
      <w:sdt>
        <w:sdtPr>
          <w:tag w:val="goog_rdk_35"/>
          <w:id w:val="202272566"/>
        </w:sdtPr>
        <w:sdtContent/>
      </w:sdt>
      <w:r w:rsidR="006C17FF">
        <w:t>nest</w:t>
      </w:r>
      <w:sdt>
        <w:sdtPr>
          <w:tag w:val="goog_rdk_36"/>
          <w:id w:val="1011406831"/>
        </w:sdtPr>
        <w:sdtContent>
          <w:r w:rsidR="006C17FF">
            <w:t>ed</w:t>
          </w:r>
        </w:sdtContent>
      </w:sdt>
      <w:r w:rsidR="006C17FF">
        <w:t xml:space="preserve"> research design model (</w:t>
      </w:r>
      <w:proofErr w:type="spellStart"/>
      <w:r w:rsidR="006C17FF">
        <w:t>Kagioglou</w:t>
      </w:r>
      <w:proofErr w:type="spellEnd"/>
      <w:r w:rsidR="006C17FF">
        <w:t>, et al., 2020 as cited in Gamage, 2025)</w:t>
      </w:r>
      <w:r w:rsidR="00E02055">
        <w:t>,</w:t>
      </w:r>
      <w:r w:rsidR="006C17FF">
        <w:t xml:space="preserve"> </w:t>
      </w:r>
      <w:r w:rsidR="00E02055">
        <w:t xml:space="preserve">which </w:t>
      </w:r>
      <w:r w:rsidR="006C17FF">
        <w:t xml:space="preserve">embeds research techniques in the research approach that itself is </w:t>
      </w:r>
      <w:sdt>
        <w:sdtPr>
          <w:tag w:val="goog_rdk_37"/>
          <w:id w:val="-506878297"/>
        </w:sdtPr>
        <w:sdtContent>
          <w:r w:rsidR="00E02055">
            <w:t>informed by a</w:t>
          </w:r>
        </w:sdtContent>
      </w:sdt>
      <w:r w:rsidR="006C17FF">
        <w:t xml:space="preserve"> research philosophy of pragmatism </w:t>
      </w:r>
      <w:r w:rsidR="00E02055">
        <w:t xml:space="preserve">including </w:t>
      </w:r>
      <w:r w:rsidR="006C17FF">
        <w:t xml:space="preserve">the mono method quantitative approach. Nested in the quantitative approach is a survey method to collected data and perform analysis. The research philosophy is </w:t>
      </w:r>
      <w:r w:rsidR="00E02055">
        <w:t>p</w:t>
      </w:r>
      <w:r w:rsidR="006C17FF">
        <w:t xml:space="preserve">ragmatic </w:t>
      </w:r>
      <w:r w:rsidR="00E02055">
        <w:t xml:space="preserve">that </w:t>
      </w:r>
      <w:r w:rsidR="006C17FF">
        <w:t>guide</w:t>
      </w:r>
      <w:r w:rsidR="00E02055">
        <w:t>s</w:t>
      </w:r>
      <w:r w:rsidR="006C17FF">
        <w:t xml:space="preserve"> this research</w:t>
      </w:r>
      <w:r w:rsidR="00E02055">
        <w:t xml:space="preserve">. </w:t>
      </w:r>
      <w:r w:rsidR="00824053">
        <w:t>Furthermore, the</w:t>
      </w:r>
      <w:r w:rsidR="006C17FF">
        <w:t xml:space="preserve"> research attempts to </w:t>
      </w:r>
      <w:sdt>
        <w:sdtPr>
          <w:tag w:val="goog_rdk_39"/>
          <w:id w:val="-962289594"/>
        </w:sdtPr>
        <w:sdtContent>
          <w:sdt>
            <w:sdtPr>
              <w:tag w:val="goog_rdk_40"/>
              <w:id w:val="-843320919"/>
            </w:sdtPr>
            <w:sdtContent>
              <w:r w:rsidR="006C17FF">
                <w:t>address</w:t>
              </w:r>
            </w:sdtContent>
          </w:sdt>
        </w:sdtContent>
      </w:sdt>
      <w:r w:rsidR="006C17FF">
        <w:t xml:space="preserve"> the practical implications of climate change and health leadership education. As </w:t>
      </w:r>
      <w:proofErr w:type="spellStart"/>
      <w:r w:rsidR="006C17FF">
        <w:t>Allemeng</w:t>
      </w:r>
      <w:proofErr w:type="spellEnd"/>
      <w:r w:rsidR="006C17FF">
        <w:t xml:space="preserve"> et al. (2022) point out the research aligns with providing actionable findings that are applicable to health care organizations </w:t>
      </w:r>
      <w:sdt>
        <w:sdtPr>
          <w:tag w:val="goog_rdk_44"/>
          <w:id w:val="294767586"/>
        </w:sdtPr>
        <w:sdtContent>
          <w:r w:rsidR="006C17FF">
            <w:t xml:space="preserve">in the </w:t>
          </w:r>
        </w:sdtContent>
      </w:sdt>
      <w:r w:rsidR="006C17FF">
        <w:t xml:space="preserve"> “real world setting”.</w:t>
      </w:r>
    </w:p>
    <w:p w14:paraId="7FB1ED7F" w14:textId="77777777" w:rsidR="006C17FF" w:rsidRDefault="006C17FF" w:rsidP="006C17FF">
      <w:pPr>
        <w:pStyle w:val="Heading2"/>
      </w:pPr>
      <w:bookmarkStart w:id="59" w:name="_Toc225937179"/>
      <w:r>
        <w:t>Research Design</w:t>
      </w:r>
      <w:bookmarkEnd w:id="59"/>
    </w:p>
    <w:p w14:paraId="2AC67F44" w14:textId="3E210172" w:rsidR="006C17FF" w:rsidRPr="00D8283E" w:rsidRDefault="006C17FF" w:rsidP="00D8283E">
      <w:pPr>
        <w:pStyle w:val="Heading3"/>
      </w:pPr>
      <w:bookmarkStart w:id="60" w:name="_Toc225937180"/>
      <w:r>
        <w:t>Philosophical underpinning</w:t>
      </w:r>
      <w:bookmarkEnd w:id="60"/>
    </w:p>
    <w:p w14:paraId="1C0D13D8" w14:textId="77777777" w:rsidR="006C17FF" w:rsidRDefault="006C17FF" w:rsidP="006C17FF">
      <w:pPr>
        <w:spacing w:line="480" w:lineRule="auto"/>
      </w:pPr>
      <w:r>
        <w:t>Providing a paradigm of research i</w:t>
      </w:r>
      <w:sdt>
        <w:sdtPr>
          <w:tag w:val="goog_rdk_46"/>
          <w:id w:val="-796011080"/>
        </w:sdtPr>
        <w:sdtContent>
          <w:r>
            <w:t>s</w:t>
          </w:r>
        </w:sdtContent>
      </w:sdt>
      <w:r>
        <w:t xml:space="preserve"> important for the researcher and those receiving the knowledge. In the context of research, a paradigm has been defined to design research based on a set of beliefs and principles- or worldview (</w:t>
      </w:r>
      <w:proofErr w:type="spellStart"/>
      <w:r>
        <w:t>Riazi</w:t>
      </w:r>
      <w:proofErr w:type="spellEnd"/>
      <w:r>
        <w:t xml:space="preserve"> and </w:t>
      </w:r>
      <w:proofErr w:type="spellStart"/>
      <w:r>
        <w:t>Candlin</w:t>
      </w:r>
      <w:proofErr w:type="spellEnd"/>
      <w:r>
        <w:t>, 2014). As explained by Shannon-Baker (2023), research becomes more ‘credible, transparent, and trustworthy’ when philosophical underpinnings are clear. Considering the phenomenon of study and methods being utilized, the philosophical underpinning guiding the research is from the pragmatic tradition. This will allow for the experiential aspects of the health leader’s experience to be shared and allows for micro and macro level discourse (Kaushik and Walsh, 2019).</w:t>
      </w:r>
    </w:p>
    <w:p w14:paraId="3CBF0B87" w14:textId="77777777" w:rsidR="006C17FF" w:rsidRDefault="006C17FF" w:rsidP="006C17FF">
      <w:pPr>
        <w:spacing w:line="480" w:lineRule="auto"/>
      </w:pPr>
      <w:r>
        <w:t xml:space="preserve">Pragmatism, however, is not without its detractors. Criticism has been made about its lack of clarity for both conducting and evaluating research (Hampson and McKinley, 2023). While this is a valid position, the MPhil study and research are rooted in health education and leadership. Moreover, this study asks leaders to indicate their levels of competence, including </w:t>
      </w:r>
      <w:sdt>
        <w:sdtPr>
          <w:tag w:val="goog_rdk_48"/>
          <w:id w:val="-817495475"/>
          <w:showingPlcHdr/>
        </w:sdtPr>
        <w:sdtContent>
          <w:r>
            <w:t xml:space="preserve">     </w:t>
          </w:r>
        </w:sdtContent>
      </w:sdt>
      <w:r>
        <w:t>their</w:t>
      </w:r>
      <w:sdt>
        <w:sdtPr>
          <w:tag w:val="goog_rdk_49"/>
          <w:id w:val="396906162"/>
        </w:sdtPr>
        <w:sdtContent>
          <w:r>
            <w:t xml:space="preserve"> perceived</w:t>
          </w:r>
        </w:sdtContent>
      </w:sdt>
      <w:r>
        <w:t xml:space="preserve"> </w:t>
      </w:r>
      <w:sdt>
        <w:sdtPr>
          <w:tag w:val="goog_rdk_50"/>
          <w:id w:val="1423100416"/>
        </w:sdtPr>
        <w:sdtContent/>
      </w:sdt>
      <w:r>
        <w:t xml:space="preserve">capacity, time and ability to achieve competence, on topics within climate change and health. Therein lies why this philosophical approach is valid. Much like leadership to emerging </w:t>
      </w:r>
      <w:r>
        <w:lastRenderedPageBreak/>
        <w:t xml:space="preserve">health threats, the research design itself is practical, contextually responsive, and consequential (Datta 1997, as cited by Greene and </w:t>
      </w:r>
      <w:proofErr w:type="spellStart"/>
      <w:r>
        <w:t>Caracelli</w:t>
      </w:r>
      <w:proofErr w:type="spellEnd"/>
      <w:r>
        <w:t xml:space="preserve">, 2003). To put in other words, the design mirrors the dynamic nature of health leadership and builds in action-oriented research to assist leaders with practical implications. </w:t>
      </w:r>
    </w:p>
    <w:p w14:paraId="082A0D84" w14:textId="3A97217B" w:rsidR="006C17FF" w:rsidRDefault="006C17FF" w:rsidP="006C17FF">
      <w:pPr>
        <w:spacing w:line="480" w:lineRule="auto"/>
      </w:pPr>
      <w:r>
        <w:t xml:space="preserve">This stance is a likely outcome of the practical nature of managing climate change and how health systems are designed to ‘manage chaos’. </w:t>
      </w:r>
      <w:sdt>
        <w:sdtPr>
          <w:tag w:val="goog_rdk_51"/>
          <w:id w:val="1368973871"/>
        </w:sdtPr>
        <w:sdtContent>
          <w:sdt>
            <w:sdtPr>
              <w:tag w:val="goog_rdk_52"/>
              <w:id w:val="-2049160752"/>
            </w:sdtPr>
            <w:sdtContent/>
          </w:sdt>
          <w:sdt>
            <w:sdtPr>
              <w:tag w:val="goog_rdk_53"/>
              <w:id w:val="-992749858"/>
            </w:sdtPr>
            <w:sdtContent/>
          </w:sdt>
          <w:r>
            <w:t xml:space="preserve">Thinking reflexively, </w:t>
          </w:r>
        </w:sdtContent>
      </w:sdt>
      <w:sdt>
        <w:sdtPr>
          <w:tag w:val="goog_rdk_55"/>
          <w:id w:val="-697845483"/>
        </w:sdtPr>
        <w:sdtContent>
          <w:r>
            <w:t>i</w:t>
          </w:r>
        </w:sdtContent>
      </w:sdt>
      <w:r>
        <w:t xml:space="preserve">n the researcher’s experience </w:t>
      </w:r>
      <w:sdt>
        <w:sdtPr>
          <w:tag w:val="goog_rdk_56"/>
          <w:id w:val="826686553"/>
        </w:sdtPr>
        <w:sdtContent>
          <w:r>
            <w:t xml:space="preserve">as a health emergency manager, </w:t>
          </w:r>
        </w:sdtContent>
      </w:sdt>
      <w:r>
        <w:t>health leaders are practical, and rational beings however need to see the value when asking for their time. This informs the design of the research but also, its outcomes (</w:t>
      </w:r>
      <w:proofErr w:type="spellStart"/>
      <w:r>
        <w:t>ie</w:t>
      </w:r>
      <w:proofErr w:type="spellEnd"/>
      <w:r>
        <w:t xml:space="preserve">. </w:t>
      </w:r>
      <w:sdt>
        <w:sdtPr>
          <w:tag w:val="goog_rdk_57"/>
          <w:id w:val="43726826"/>
        </w:sdtPr>
        <w:sdtContent>
          <w:r>
            <w:t>k</w:t>
          </w:r>
        </w:sdtContent>
      </w:sdt>
      <w:r>
        <w:t xml:space="preserve">nowledge translation and dissemination events. This prompted the use of a reflexive method, </w:t>
      </w:r>
      <w:r w:rsidR="00824053">
        <w:t>for</w:t>
      </w:r>
      <w:r>
        <w:t xml:space="preserve"> the researcher to be aware of pre-conceived notions and biases related to work conducted professionally (Alvesson &amp; </w:t>
      </w:r>
      <w:proofErr w:type="spellStart"/>
      <w:r>
        <w:t>Skoldberg</w:t>
      </w:r>
      <w:proofErr w:type="spellEnd"/>
      <w:r>
        <w:t xml:space="preserve">, 2018). Therein lies a difficulty for the researcher working within the field of climate change, notably the disaster management aspect. Employing a method such as a survey questionnaire allowed the researcher to maintain distance from the respondents, in comparison to an interview approach. A reflexive approach was considered extensively to how questions were asked and the question selection. </w:t>
      </w:r>
    </w:p>
    <w:p w14:paraId="505541C4" w14:textId="6519008E" w:rsidR="006C17FF" w:rsidRPr="00383C58" w:rsidRDefault="006C17FF" w:rsidP="006C17FF">
      <w:pPr>
        <w:spacing w:line="480" w:lineRule="auto"/>
      </w:pPr>
      <w:r>
        <w:t>The research considered questions in the context of why the study was being done and its importance. Embedded in this consideration was a respect for the time of the respondents. The researcher gave attention to the importance of this research and how it situates the perspective of the health leader and highlights the need for further education. The reflexive approach also brings attention to how to frame the methods for use within a professional context. The professional experience of the research</w:t>
      </w:r>
      <w:r w:rsidR="00E47475">
        <w:t>er</w:t>
      </w:r>
      <w:r>
        <w:t xml:space="preserve"> adds value to this research; however, attention was paid to biases and bringing an inquisitive approach to the research.   </w:t>
      </w:r>
    </w:p>
    <w:p w14:paraId="71C8DA9C" w14:textId="77777777" w:rsidR="006C17FF" w:rsidRDefault="006C17FF" w:rsidP="006C17FF">
      <w:pPr>
        <w:spacing w:line="480" w:lineRule="auto"/>
      </w:pPr>
    </w:p>
    <w:p w14:paraId="41778DC8" w14:textId="77777777" w:rsidR="006C17FF" w:rsidRDefault="006C17FF" w:rsidP="006C17FF">
      <w:pPr>
        <w:pStyle w:val="Heading3"/>
      </w:pPr>
      <w:bookmarkStart w:id="61" w:name="_Toc225937181"/>
      <w:r>
        <w:lastRenderedPageBreak/>
        <w:t>Defining Quantitative Methods</w:t>
      </w:r>
      <w:bookmarkEnd w:id="61"/>
    </w:p>
    <w:p w14:paraId="2286F5EB" w14:textId="516D2521" w:rsidR="006C17FF" w:rsidRDefault="006C17FF" w:rsidP="006C17FF">
      <w:pPr>
        <w:spacing w:line="480" w:lineRule="auto"/>
      </w:pPr>
      <w:r>
        <w:t xml:space="preserve">Quantitative methods are those that pertain to the collection and analysis using numerical data (Gay, Mills, &amp; </w:t>
      </w:r>
      <w:proofErr w:type="spellStart"/>
      <w:r>
        <w:t>Airasain</w:t>
      </w:r>
      <w:proofErr w:type="spellEnd"/>
      <w:r>
        <w:t>, 2009). These methods provide a vehicle to test objective theories through measurements of how variables are related (Creswell &amp; Creswell, 2018). Quantitative research is conducted under a belief that there is a single reality</w:t>
      </w:r>
      <w:r w:rsidR="00E47475">
        <w:t>, or one objective truth</w:t>
      </w:r>
      <w:r>
        <w:t>, and the world can be explained factually (Fraenkel, Wallen, &amp; Hyun, 2012). Once numbered data is collected through quantitative methods it then can be analysed through procedures that are statistical (Creswell &amp; Creswell, 2018). Simply put</w:t>
      </w:r>
      <w:sdt>
        <w:sdtPr>
          <w:tag w:val="goog_rdk_61"/>
          <w:id w:val="815757257"/>
        </w:sdtPr>
        <w:sdtContent>
          <w:r>
            <w:t>,</w:t>
          </w:r>
        </w:sdtContent>
      </w:sdt>
      <w:r>
        <w:t xml:space="preserve"> quantitative research can be explained through the interpretation of numbers and how they relate.</w:t>
      </w:r>
    </w:p>
    <w:p w14:paraId="2E94FE0E" w14:textId="1B922BBE" w:rsidR="006C17FF" w:rsidRDefault="006C17FF" w:rsidP="006C17FF">
      <w:pPr>
        <w:spacing w:line="480" w:lineRule="auto"/>
      </w:pPr>
      <w:r>
        <w:t xml:space="preserve">Quantitative approaches, used in this study, differs from qualitative methods and mixed method approaches. Qualitative research explores the world through data typically derived from participant’s setting and interpreting the data through inductively analysing data (Creswell and Creswell, 2018). Several words have been used to express the meaning of mixed methods, which include: ‘integrating’, ‘synthesis’, ‘qualitative and quantitative methods’, and ‘multimethod’, to name a few (Creswell &amp; </w:t>
      </w:r>
      <w:proofErr w:type="spellStart"/>
      <w:r>
        <w:t>Crewell</w:t>
      </w:r>
      <w:proofErr w:type="spellEnd"/>
      <w:r>
        <w:t xml:space="preserve">, 2018). While terms for this approach are multitudinous, it is commonly termed as </w:t>
      </w:r>
      <w:sdt>
        <w:sdtPr>
          <w:tag w:val="goog_rdk_63"/>
          <w:id w:val="-56494529"/>
        </w:sdtPr>
        <w:sdtContent/>
      </w:sdt>
      <w:r>
        <w:t>‘mixed methods’ (</w:t>
      </w:r>
      <w:proofErr w:type="spellStart"/>
      <w:r>
        <w:t>Tashakkori</w:t>
      </w:r>
      <w:proofErr w:type="spellEnd"/>
      <w:r>
        <w:t xml:space="preserve"> &amp; Teddlie, 2010). </w:t>
      </w:r>
    </w:p>
    <w:p w14:paraId="24E33614" w14:textId="77777777" w:rsidR="006C17FF" w:rsidRDefault="006C17FF" w:rsidP="006C17FF">
      <w:pPr>
        <w:spacing w:line="480" w:lineRule="auto"/>
      </w:pPr>
      <w:r>
        <w:t xml:space="preserve">Foundationally, mixed methods are taken by researchers that wish to collect and analyze qualitative and quantitative research (Creswell and Plano Clark, 2011, as cited in Creswell and </w:t>
      </w:r>
      <w:proofErr w:type="spellStart"/>
      <w:r>
        <w:t>Cresewell</w:t>
      </w:r>
      <w:proofErr w:type="spellEnd"/>
      <w:r>
        <w:t xml:space="preserve">, 2018). Shorten and Smith (2017), add to this and explain that the two approaches are integrated, not independently examined qualitatively nor </w:t>
      </w:r>
      <w:sdt>
        <w:sdtPr>
          <w:tag w:val="goog_rdk_64"/>
          <w:id w:val="-1603965253"/>
        </w:sdtPr>
        <w:sdtContent>
          <w:sdt>
            <w:sdtPr>
              <w:tag w:val="goog_rdk_65"/>
              <w:id w:val="-271128939"/>
            </w:sdtPr>
            <w:sdtContent>
              <w:r>
                <w:t>quantitatively</w:t>
              </w:r>
            </w:sdtContent>
          </w:sdt>
        </w:sdtContent>
      </w:sdt>
      <w:r>
        <w:t>, in each of the collection, analysis, and interpretation phases of research. This is completed at the appropriate stage of the process (</w:t>
      </w:r>
      <w:proofErr w:type="spellStart"/>
      <w:r>
        <w:t>Ivankova</w:t>
      </w:r>
      <w:proofErr w:type="spellEnd"/>
      <w:r>
        <w:t xml:space="preserve">, 2006), depending on the type of mixed method design (Creswell and Creswell, 2018). The phases of research are performed rigorously for both data types to ensure an evaluation </w:t>
      </w:r>
      <w:r>
        <w:lastRenderedPageBreak/>
        <w:t xml:space="preserve">of quality (Harrison, et al., 2020). Integral to this is the research question that determines whether to use a mixed methods approach, which ultimately a strictly quantitative method was utilized. </w:t>
      </w:r>
    </w:p>
    <w:p w14:paraId="3B9E72AF" w14:textId="77777777" w:rsidR="006C17FF" w:rsidRDefault="006C17FF" w:rsidP="006C17FF">
      <w:pPr>
        <w:spacing w:line="480" w:lineRule="auto"/>
      </w:pPr>
      <w:r>
        <w:t xml:space="preserve">Researchers have much to consider when deciding on a research approach. As described by Lim (2024) there are four aspects to the motivations of quantitative research which include necessity, importance, relevance and urgency. Based on the research questions, timescale and motivations for conducting this research, it was felt that quantitative methods were the most appropriate approach based on the nested model (Gamage, 2025). </w:t>
      </w:r>
    </w:p>
    <w:p w14:paraId="48A2801C" w14:textId="77777777" w:rsidR="006C17FF" w:rsidRDefault="006C17FF" w:rsidP="006C17FF">
      <w:pPr>
        <w:pStyle w:val="Heading3"/>
      </w:pPr>
      <w:bookmarkStart w:id="62" w:name="_Toc225937182"/>
      <w:r>
        <w:t>Alternate designs</w:t>
      </w:r>
      <w:bookmarkEnd w:id="62"/>
    </w:p>
    <w:p w14:paraId="1D199887" w14:textId="67D5CFD3" w:rsidR="006C17FF" w:rsidRDefault="006C17FF" w:rsidP="006C17FF">
      <w:pPr>
        <w:spacing w:line="480" w:lineRule="auto"/>
        <w:rPr>
          <w:color w:val="222222"/>
          <w:highlight w:val="white"/>
        </w:rPr>
      </w:pPr>
      <w:r>
        <w:rPr>
          <w:color w:val="222222"/>
          <w:highlight w:val="white"/>
        </w:rPr>
        <w:t>Explanatory sequential design was reviewed comprehensively prior to taking a quantitative approach as part of the original PhD study inquiry</w:t>
      </w:r>
      <w:r w:rsidR="00B41254">
        <w:rPr>
          <w:color w:val="222222"/>
          <w:highlight w:val="white"/>
        </w:rPr>
        <w:t>, prior to a downgrade</w:t>
      </w:r>
      <w:r>
        <w:rPr>
          <w:color w:val="222222"/>
          <w:highlight w:val="white"/>
        </w:rPr>
        <w:t xml:space="preserve">. However, as the timescale of studies for the research shifted to meet the requirements of a MPhil, it was decided to focus on one phase of the mixed methods. The key feature of the explanatory sequential design was to integrate the data for a more in-depth interpretation. </w:t>
      </w:r>
      <w:r>
        <w:t xml:space="preserve">Interviews were planned, as part of the mixed methods design, and would have followed the survey. </w:t>
      </w:r>
    </w:p>
    <w:p w14:paraId="79FD2B29" w14:textId="7926E6DC" w:rsidR="006C17FF" w:rsidRPr="001B7423" w:rsidRDefault="006C17FF" w:rsidP="006C17FF">
      <w:pPr>
        <w:pStyle w:val="Heading3"/>
      </w:pPr>
      <w:bookmarkStart w:id="63" w:name="_Toc225937183"/>
      <w:r>
        <w:t>Figure 2: Alternative Mixed Methods Approach (Explanatory Sequential Design)</w:t>
      </w:r>
      <w:bookmarkEnd w:id="63"/>
    </w:p>
    <w:p w14:paraId="006DC5F9" w14:textId="77777777" w:rsidR="006C17FF" w:rsidRDefault="006C17FF" w:rsidP="006C17FF">
      <w:pPr>
        <w:spacing w:line="480" w:lineRule="auto"/>
      </w:pPr>
      <w:r>
        <w:rPr>
          <w:noProof/>
        </w:rPr>
        <w:drawing>
          <wp:inline distT="0" distB="0" distL="0" distR="0" wp14:anchorId="7EEFFE2E" wp14:editId="57F73567">
            <wp:extent cx="5943600" cy="1247775"/>
            <wp:effectExtent l="0" t="0" r="0" b="0"/>
            <wp:docPr id="6" name="image1.png" descr="A diagram of a job interview&#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a job interview&#10;&#10;AI-generated content may be incorrect."/>
                    <pic:cNvPicPr preferRelativeResize="0"/>
                  </pic:nvPicPr>
                  <pic:blipFill>
                    <a:blip r:embed="rId13"/>
                    <a:srcRect/>
                    <a:stretch>
                      <a:fillRect/>
                    </a:stretch>
                  </pic:blipFill>
                  <pic:spPr>
                    <a:xfrm>
                      <a:off x="0" y="0"/>
                      <a:ext cx="5943600" cy="1247775"/>
                    </a:xfrm>
                    <a:prstGeom prst="rect">
                      <a:avLst/>
                    </a:prstGeom>
                    <a:ln/>
                  </pic:spPr>
                </pic:pic>
              </a:graphicData>
            </a:graphic>
          </wp:inline>
        </w:drawing>
      </w:r>
    </w:p>
    <w:p w14:paraId="0E50A186" w14:textId="77777777" w:rsidR="006C17FF" w:rsidRDefault="006C17FF" w:rsidP="006C17FF">
      <w:pPr>
        <w:spacing w:line="480" w:lineRule="auto"/>
      </w:pPr>
      <w:r>
        <w:t xml:space="preserve">This </w:t>
      </w:r>
      <w:sdt>
        <w:sdtPr>
          <w:tag w:val="goog_rdk_78"/>
          <w:id w:val="-469021124"/>
        </w:sdtPr>
        <w:sdtContent>
          <w:r>
            <w:t xml:space="preserve">version of the study </w:t>
          </w:r>
        </w:sdtContent>
      </w:sdt>
      <w:r>
        <w:t xml:space="preserve">would have mapped out the main constructs between the data sets which are covered in the following table. While additional constructs would have been explored, this provides several connecting constructs within the mixed methods design that would have been </w:t>
      </w:r>
      <w:r>
        <w:lastRenderedPageBreak/>
        <w:t>considered in the integration of the data. This integration would have been considered in the interview design, which would have followed analysis of results from the survey.</w:t>
      </w:r>
    </w:p>
    <w:p w14:paraId="465150C5" w14:textId="096EA1BE" w:rsidR="006C17FF" w:rsidRDefault="006C17FF" w:rsidP="006C17FF">
      <w:pPr>
        <w:pStyle w:val="Heading3"/>
      </w:pPr>
      <w:bookmarkStart w:id="64" w:name="_Toc225937184"/>
      <w:r>
        <w:t>Table 6 Quantitative and Qualitative Constructs</w:t>
      </w:r>
      <w:bookmarkEnd w:id="64"/>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6C17FF" w14:paraId="323152F7" w14:textId="77777777" w:rsidTr="00855B62">
        <w:tc>
          <w:tcPr>
            <w:tcW w:w="4675" w:type="dxa"/>
          </w:tcPr>
          <w:p w14:paraId="389478A9" w14:textId="77777777" w:rsidR="006C17FF" w:rsidRDefault="006C17FF" w:rsidP="00855B62">
            <w:r>
              <w:t>Quantitative Construct</w:t>
            </w:r>
          </w:p>
        </w:tc>
        <w:tc>
          <w:tcPr>
            <w:tcW w:w="4675" w:type="dxa"/>
          </w:tcPr>
          <w:p w14:paraId="32E5BA85" w14:textId="77777777" w:rsidR="006C17FF" w:rsidRDefault="006C17FF" w:rsidP="00855B62">
            <w:r>
              <w:t xml:space="preserve">Qualitative Construct </w:t>
            </w:r>
          </w:p>
        </w:tc>
      </w:tr>
      <w:tr w:rsidR="006C17FF" w14:paraId="51ED2AEA" w14:textId="77777777" w:rsidTr="00855B62">
        <w:tc>
          <w:tcPr>
            <w:tcW w:w="4675" w:type="dxa"/>
          </w:tcPr>
          <w:p w14:paraId="29488E9F" w14:textId="77777777" w:rsidR="006C17FF" w:rsidRDefault="006C17FF" w:rsidP="00855B62">
            <w:r>
              <w:t>Education levels in CCHC</w:t>
            </w:r>
          </w:p>
        </w:tc>
        <w:tc>
          <w:tcPr>
            <w:tcW w:w="4675" w:type="dxa"/>
          </w:tcPr>
          <w:p w14:paraId="5F9428C6" w14:textId="77777777" w:rsidR="006C17FF" w:rsidRDefault="006C17FF" w:rsidP="00855B62">
            <w:r>
              <w:t>Relevancy and value of education opportunities for leaders</w:t>
            </w:r>
          </w:p>
        </w:tc>
      </w:tr>
      <w:tr w:rsidR="006C17FF" w14:paraId="3AE54753" w14:textId="77777777" w:rsidTr="00855B62">
        <w:tc>
          <w:tcPr>
            <w:tcW w:w="4675" w:type="dxa"/>
          </w:tcPr>
          <w:p w14:paraId="12943DEF" w14:textId="77777777" w:rsidR="006C17FF" w:rsidRDefault="006C17FF" w:rsidP="00855B62">
            <w:r>
              <w:t>Competencies</w:t>
            </w:r>
          </w:p>
        </w:tc>
        <w:tc>
          <w:tcPr>
            <w:tcW w:w="4675" w:type="dxa"/>
          </w:tcPr>
          <w:p w14:paraId="5C18B504" w14:textId="77777777" w:rsidR="006C17FF" w:rsidRDefault="006C17FF" w:rsidP="00855B62">
            <w:r>
              <w:t>Are these required for leaders, which are of more value</w:t>
            </w:r>
          </w:p>
        </w:tc>
      </w:tr>
      <w:tr w:rsidR="006C17FF" w14:paraId="710A6C91" w14:textId="77777777" w:rsidTr="00855B62">
        <w:tc>
          <w:tcPr>
            <w:tcW w:w="4675" w:type="dxa"/>
          </w:tcPr>
          <w:p w14:paraId="08EE1213" w14:textId="77777777" w:rsidR="006C17FF" w:rsidRDefault="006C17FF" w:rsidP="00855B62">
            <w:r>
              <w:t xml:space="preserve">Capacity </w:t>
            </w:r>
          </w:p>
        </w:tc>
        <w:tc>
          <w:tcPr>
            <w:tcW w:w="4675" w:type="dxa"/>
          </w:tcPr>
          <w:p w14:paraId="30380AFE" w14:textId="77777777" w:rsidR="006C17FF" w:rsidRDefault="006C17FF" w:rsidP="00855B62">
            <w:r>
              <w:t>What are limiting factors in ability to participate/ what have organizations done to enable education for health professionals</w:t>
            </w:r>
          </w:p>
        </w:tc>
      </w:tr>
    </w:tbl>
    <w:p w14:paraId="37F3DCA7" w14:textId="77777777" w:rsidR="006C17FF" w:rsidRDefault="006C17FF" w:rsidP="006C17FF">
      <w:pPr>
        <w:spacing w:line="480" w:lineRule="auto"/>
      </w:pPr>
    </w:p>
    <w:p w14:paraId="2164D4C0" w14:textId="77777777" w:rsidR="006C17FF" w:rsidRDefault="006C17FF" w:rsidP="006C17FF">
      <w:pPr>
        <w:pStyle w:val="Heading3"/>
      </w:pPr>
      <w:bookmarkStart w:id="65" w:name="_Toc225937185"/>
      <w:r>
        <w:t>Research Questions</w:t>
      </w:r>
      <w:bookmarkEnd w:id="65"/>
    </w:p>
    <w:p w14:paraId="34429AAC" w14:textId="227FB82A" w:rsidR="006C17FF" w:rsidRDefault="006C17FF" w:rsidP="006C17FF">
      <w:pPr>
        <w:spacing w:line="480" w:lineRule="auto"/>
      </w:pPr>
      <w:r>
        <w:t xml:space="preserve">As noted in the first chapter the research question guiding the </w:t>
      </w:r>
      <w:r w:rsidR="00B41254">
        <w:t xml:space="preserve">MPhil </w:t>
      </w:r>
      <w:r>
        <w:t xml:space="preserve">study is: are health leaders educated and trained, </w:t>
      </w:r>
      <w:r w:rsidR="00137CA1">
        <w:t>do they have capacity and are they competent</w:t>
      </w:r>
      <w:r w:rsidR="003F7E14">
        <w:t xml:space="preserve"> through self-assessment</w:t>
      </w:r>
      <w:r w:rsidR="00137CA1">
        <w:t>.</w:t>
      </w:r>
      <w:r>
        <w:t>? The primary question is designed to reveal the current state of these phenomena through the lens of the health leader. From this question the research then asks to what extent climate change and health education and training are available for health professionals. Furthermore, if it is indeed available is the training unique to health leaders or is it general in nature to those functioning as health professionals.</w:t>
      </w:r>
    </w:p>
    <w:p w14:paraId="7A3498EA" w14:textId="77777777" w:rsidR="006C17FF" w:rsidRDefault="006C17FF" w:rsidP="006C17FF">
      <w:pPr>
        <w:pStyle w:val="Heading2"/>
      </w:pPr>
      <w:bookmarkStart w:id="66" w:name="_Toc225937186"/>
      <w:r>
        <w:t>Study design</w:t>
      </w:r>
      <w:bookmarkEnd w:id="66"/>
    </w:p>
    <w:p w14:paraId="4EDB4071" w14:textId="00C8CDC1" w:rsidR="006C17FF" w:rsidRDefault="006C17FF" w:rsidP="006C17FF">
      <w:pPr>
        <w:spacing w:line="480" w:lineRule="auto"/>
      </w:pPr>
      <w:r>
        <w:t xml:space="preserve">This study includes </w:t>
      </w:r>
      <w:r w:rsidR="003B1AEF">
        <w:t>2</w:t>
      </w:r>
      <w:r>
        <w:t xml:space="preserve"> main phases to meet the requirements of a Master of Philosophy degree at the University of Sheffield. The first is a </w:t>
      </w:r>
      <w:r w:rsidR="003B1AEF">
        <w:t>phase included a</w:t>
      </w:r>
      <w:r>
        <w:t xml:space="preserve"> review of literature that is provided in chapter 2. The second </w:t>
      </w:r>
      <w:r w:rsidR="003B1AEF">
        <w:t>phase</w:t>
      </w:r>
      <w:r>
        <w:t xml:space="preserve"> </w:t>
      </w:r>
      <w:r w:rsidR="003B1AEF">
        <w:t xml:space="preserve">are </w:t>
      </w:r>
      <w:r>
        <w:t xml:space="preserve">the components of the study which includes the methods, </w:t>
      </w:r>
      <w:r w:rsidR="003B1AEF">
        <w:t xml:space="preserve">survey </w:t>
      </w:r>
      <w:r>
        <w:t xml:space="preserve">data collection and data analysis. As discussed in the introductory chapter the translation of research and knowledge dissemination is a key objective of the study. Sharing the findings to those </w:t>
      </w:r>
      <w:r>
        <w:lastRenderedPageBreak/>
        <w:t xml:space="preserve">in a practical setting constitutes the </w:t>
      </w:r>
      <w:r w:rsidR="003B1AEF">
        <w:t xml:space="preserve">final objective </w:t>
      </w:r>
      <w:r>
        <w:t xml:space="preserve">of this study. Considering the work of Gamage (2025), the research technique used within quantitative methods is a survey. </w:t>
      </w:r>
    </w:p>
    <w:p w14:paraId="4C441D92" w14:textId="328A0675" w:rsidR="006C17FF" w:rsidRDefault="003B1AEF" w:rsidP="006C17FF">
      <w:pPr>
        <w:pStyle w:val="Heading3"/>
      </w:pPr>
      <w:bookmarkStart w:id="67" w:name="_Toc225937187"/>
      <w:r>
        <w:t>Phase 1</w:t>
      </w:r>
      <w:r w:rsidR="006C17FF">
        <w:t>: Scoping review of literature</w:t>
      </w:r>
      <w:bookmarkEnd w:id="67"/>
    </w:p>
    <w:p w14:paraId="6C2F40CE" w14:textId="0AB9CEBC" w:rsidR="006C17FF" w:rsidRDefault="006C17FF" w:rsidP="006C17FF">
      <w:pPr>
        <w:spacing w:line="480" w:lineRule="auto"/>
      </w:pPr>
      <w:r>
        <w:t>During the immediate phase of the research a scoping literature was conducted on 3 databases with a search protocol developed. Search terms included subject headings and free-text terms such as climate change/ climate change mitigation and competencies/abilities/qualities and categories of health professional/ leader plus synonyms combined with like search terms. The search was limited to high income countries with publicly funded health organisations for relevance. Results were considered over the</w:t>
      </w:r>
      <w:sdt>
        <w:sdtPr>
          <w:tag w:val="goog_rdk_89"/>
          <w:id w:val="-1284696008"/>
        </w:sdtPr>
        <w:sdtContent/>
      </w:sdt>
      <w:r>
        <w:t xml:space="preserve"> past 9 years, which includes sources looking at leadership to COVID-19. Studies published since 2015 allowed to focus on those that were released post Paris agreement that led to a “call to action on climate and health” (</w:t>
      </w:r>
      <w:proofErr w:type="spellStart"/>
      <w:r>
        <w:t>Maibach</w:t>
      </w:r>
      <w:proofErr w:type="spellEnd"/>
      <w:r>
        <w:t xml:space="preserve">, 2021), as outlined in the previous chapter. Grey literature was also identified through the scoping review including relevant documents (policy, framework, training courses, </w:t>
      </w:r>
      <w:r w:rsidR="00824053">
        <w:t>etc.</w:t>
      </w:r>
      <w:r>
        <w:t>) in Canadian and UK health organisations. In addition, conference proceedings, interviews, were searched and government documents reviewed via google and google scholar.</w:t>
      </w:r>
    </w:p>
    <w:p w14:paraId="6BD605B6" w14:textId="77777777" w:rsidR="006C17FF" w:rsidRDefault="006C17FF" w:rsidP="006C17FF">
      <w:pPr>
        <w:spacing w:line="480" w:lineRule="auto"/>
      </w:pPr>
      <w:r>
        <w:t>One of the pitfalls common when conducting systematic literature reviews is the allocation of time. A project management approach was used to complete this exercise with defined objectives, milestones and timescales. In addition, feedback was obtained on the search protocol from research design experts at the University of Sheffield. Another challenge was retrieving grey literature, which can be difficult to locate as health organisations do not often share publicly. One strategy used to mitigate this challenge was to leverage professional network for documents and provide a letter for organisational approach with the intent of the grey literature review and to provide a secure data management plan. Unfortunately, limited literature was received, which was discussed in the above chapter.</w:t>
      </w:r>
    </w:p>
    <w:p w14:paraId="0CA60018" w14:textId="742689D3" w:rsidR="006C17FF" w:rsidRDefault="006C17FF" w:rsidP="006C17FF">
      <w:pPr>
        <w:pStyle w:val="Heading3"/>
      </w:pPr>
      <w:bookmarkStart w:id="68" w:name="_Toc225937188"/>
      <w:r>
        <w:lastRenderedPageBreak/>
        <w:t xml:space="preserve">Phase </w:t>
      </w:r>
      <w:r w:rsidR="003B1AEF">
        <w:t>2</w:t>
      </w:r>
      <w:r>
        <w:t xml:space="preserve"> Health Leader Survey</w:t>
      </w:r>
      <w:bookmarkEnd w:id="68"/>
    </w:p>
    <w:p w14:paraId="575E5EA0" w14:textId="77777777" w:rsidR="006C17FF" w:rsidRDefault="006C17FF" w:rsidP="006C17FF">
      <w:pPr>
        <w:pStyle w:val="Heading3"/>
      </w:pPr>
      <w:bookmarkStart w:id="69" w:name="_Toc225937189"/>
      <w:r>
        <w:t>Setting</w:t>
      </w:r>
      <w:bookmarkEnd w:id="69"/>
    </w:p>
    <w:p w14:paraId="5A610C05" w14:textId="4E88D4CC" w:rsidR="006C17FF" w:rsidRDefault="006C17FF" w:rsidP="006C17FF">
      <w:pPr>
        <w:spacing w:line="480" w:lineRule="auto"/>
      </w:pPr>
      <w:r>
        <w:t>The research targeted a variety of settings within the health system where health leaders’ function. Due</w:t>
      </w:r>
      <w:sdt>
        <w:sdtPr>
          <w:tag w:val="goog_rdk_90"/>
          <w:id w:val="2146317928"/>
        </w:sdtPr>
        <w:sdtContent>
          <w:r>
            <w:t xml:space="preserve"> to</w:t>
          </w:r>
        </w:sdtContent>
      </w:sdt>
      <w:r>
        <w:t xml:space="preserve"> the blended settings and complexities within multiple countr</w:t>
      </w:r>
      <w:sdt>
        <w:sdtPr>
          <w:tag w:val="goog_rdk_91"/>
          <w:id w:val="8953229"/>
        </w:sdtPr>
        <w:sdtContent>
          <w:r>
            <w:t>ies’</w:t>
          </w:r>
        </w:sdtContent>
      </w:sdt>
      <w:sdt>
        <w:sdtPr>
          <w:tag w:val="goog_rdk_93"/>
          <w:id w:val="922351943"/>
        </w:sdtPr>
        <w:sdtContent>
          <w:r>
            <w:t xml:space="preserve">, Canada, and the United Kingdom (UK), </w:t>
          </w:r>
        </w:sdtContent>
      </w:sdt>
      <w:r>
        <w:t>health system</w:t>
      </w:r>
      <w:sdt>
        <w:sdtPr>
          <w:tag w:val="goog_rdk_94"/>
          <w:id w:val="-284695058"/>
        </w:sdtPr>
        <w:sdtContent>
          <w:r>
            <w:t>s</w:t>
          </w:r>
        </w:sdtContent>
      </w:sdt>
      <w:r>
        <w:t>, those who identified as leaders in a health organisation were targeted. To account for the reality that not all health leaders identify as belonging to a health organisation, terminology in the survey was used such as ‘employer’ that carries out a function within the health system</w:t>
      </w:r>
      <w:r w:rsidR="00B41254">
        <w:t>. In total, 67 surveys were completed, however Qualtrics identified one response as likely generated from a bot and was removed</w:t>
      </w:r>
      <w:r>
        <w:t xml:space="preserve">. </w:t>
      </w:r>
      <w:sdt>
        <w:sdtPr>
          <w:tag w:val="goog_rdk_95"/>
          <w:id w:val="-1210004331"/>
        </w:sdtPr>
        <w:sdtContent>
          <w:r>
            <w:t xml:space="preserve">N=3 </w:t>
          </w:r>
        </w:sdtContent>
      </w:sdt>
      <w:bookmarkStart w:id="70" w:name="_Hlk225600577"/>
      <w:sdt>
        <w:sdtPr>
          <w:tag w:val="goog_rdk_96"/>
          <w:id w:val="-613827833"/>
        </w:sdtPr>
        <w:sdtContent>
          <w:sdt>
            <w:sdtPr>
              <w:tag w:val="goog_rdk_97"/>
              <w:id w:val="1027525915"/>
            </w:sdtPr>
            <w:sdtContent/>
          </w:sdt>
        </w:sdtContent>
      </w:sdt>
      <w:r>
        <w:t>respondents indicated that their employer was not based in Canada nor the UK</w:t>
      </w:r>
      <w:r w:rsidR="00B41254">
        <w:t xml:space="preserve"> or</w:t>
      </w:r>
      <w:r>
        <w:t xml:space="preserve"> that their employer did not have a function within the health system and were excluded from the study. </w:t>
      </w:r>
      <w:bookmarkEnd w:id="70"/>
      <w:r>
        <w:t>For the purposes of this research project the setting was defined as those working in corporate or administrative, hospital or acute, or community-based settings.</w:t>
      </w:r>
    </w:p>
    <w:p w14:paraId="58170B3C" w14:textId="1D933370" w:rsidR="006C17FF" w:rsidRDefault="006C17FF" w:rsidP="006C17FF">
      <w:pPr>
        <w:spacing w:line="480" w:lineRule="auto"/>
      </w:pPr>
      <w:r>
        <w:t xml:space="preserve">One potential challenge was identified prior to the launch of the survey and included the current organisational and workforce </w:t>
      </w:r>
      <w:sdt>
        <w:sdtPr>
          <w:tag w:val="goog_rdk_99"/>
          <w:id w:val="164278963"/>
        </w:sdtPr>
        <w:sdtContent/>
      </w:sdt>
      <w:r>
        <w:t xml:space="preserve">changes resulting in layoffs to administrative levels in the health sector, both in Canada and the UK. Public announcements over 2025 noted rapid shifts in workforce priorities. This meant that administrative type jobs and structures were under review. </w:t>
      </w:r>
      <w:sdt>
        <w:sdtPr>
          <w:tag w:val="goog_rdk_100"/>
          <w:id w:val="1441078469"/>
        </w:sdtPr>
        <w:sdtContent/>
      </w:sdt>
      <w:r>
        <w:t xml:space="preserve">In </w:t>
      </w:r>
      <w:sdt>
        <w:sdtPr>
          <w:tag w:val="goog_rdk_101"/>
          <w:id w:val="-1372614228"/>
        </w:sdtPr>
        <w:sdtContent>
          <w:r>
            <w:t xml:space="preserve">the Canadian province of British Columbia (BC) </w:t>
          </w:r>
        </w:sdtContent>
      </w:sdt>
      <w:sdt>
        <w:sdtPr>
          <w:tag w:val="goog_rdk_102"/>
          <w:id w:val="1168354895"/>
        </w:sdtPr>
        <w:sdtContent>
          <w:sdt>
            <w:sdtPr>
              <w:tag w:val="goog_rdk_103"/>
              <w:id w:val="625742316"/>
            </w:sdtPr>
            <w:sdtContent/>
          </w:sdt>
        </w:sdtContent>
      </w:sdt>
      <w:r>
        <w:t xml:space="preserve">alone, hundreds of </w:t>
      </w:r>
      <w:r w:rsidR="00906651">
        <w:t>‘</w:t>
      </w:r>
      <w:r w:rsidR="00824053">
        <w:t>manager</w:t>
      </w:r>
      <w:r>
        <w:t xml:space="preserve"> and above</w:t>
      </w:r>
      <w:r w:rsidR="00906651">
        <w:t>’</w:t>
      </w:r>
      <w:r>
        <w:t xml:space="preserve"> jobs within the health sector were eliminated. A similar reality unfolded in the UK with the abolition of The National Health Service England and merger of functions into the Department of Health and Social Care. This reform also led to aspects of the NHS functions moving to more regional bodies, which contrasted with BC where reform efforts focused on consolidation of departments and services. This led to concern about the timing of the survey. After reflection it was decided to proceed. The thought process was that the survey allowed those in their position an opportunity to </w:t>
      </w:r>
      <w:r>
        <w:lastRenderedPageBreak/>
        <w:t xml:space="preserve">share their perspective. Although it was an uncertain time, the material was unrelated to the health system reviews within both countries. </w:t>
      </w:r>
    </w:p>
    <w:p w14:paraId="0716DA76" w14:textId="77777777" w:rsidR="006C17FF" w:rsidRDefault="006C17FF" w:rsidP="006C17FF">
      <w:pPr>
        <w:pStyle w:val="Heading3"/>
      </w:pPr>
      <w:bookmarkStart w:id="71" w:name="_Toc225937190"/>
      <w:r>
        <w:t>Timeframe</w:t>
      </w:r>
      <w:bookmarkEnd w:id="71"/>
    </w:p>
    <w:p w14:paraId="12C7964B" w14:textId="0EA1A09F" w:rsidR="006C17FF" w:rsidRDefault="006C17FF" w:rsidP="006C17FF">
      <w:pPr>
        <w:spacing w:line="480" w:lineRule="auto"/>
      </w:pPr>
      <w:r>
        <w:t>The first phase of the study began in March of 2024 with the drafting of a scoping review protocol. The protocol was reviewed by the supervisory team and information specialist at the University of Sheffield. The project plan was revised following a successful confirmation review in November of 2024. Ethical approval of the project was provided in April of 2025.</w:t>
      </w:r>
    </w:p>
    <w:p w14:paraId="0DDD8248" w14:textId="77777777" w:rsidR="006C17FF" w:rsidRDefault="006C17FF" w:rsidP="006C17FF">
      <w:pPr>
        <w:spacing w:line="480" w:lineRule="auto"/>
      </w:pPr>
      <w:r>
        <w:t xml:space="preserve"> The survey was built over October and November of 2025 through multiple rounds of review by the researcher and supervisor team. Once the survey was completed a participant information sheet was updated along with the consent form. The survey was then manually entered into Qualtrics and testing of the tool followed. Once the survey was ready for launch the communications plan was reviewed with the supervisory team. As noted above, one of the challenges with the survey launch was that it occurred through the holiday season, where many health leaders are on vacation for periods of time from December 21</w:t>
      </w:r>
      <w:r w:rsidRPr="00364192">
        <w:rPr>
          <w:vertAlign w:val="superscript"/>
        </w:rPr>
        <w:t>st</w:t>
      </w:r>
      <w:r>
        <w:t xml:space="preserve"> to January the 4</w:t>
      </w:r>
      <w:r w:rsidRPr="00364192">
        <w:rPr>
          <w:vertAlign w:val="superscript"/>
        </w:rPr>
        <w:t>th</w:t>
      </w:r>
      <w:r>
        <w:t xml:space="preserve"> and may not be reading emails. The approach was adjusted to include a second communications campaign after monitoring responses over the last half of the month in December</w:t>
      </w:r>
      <w:sdt>
        <w:sdtPr>
          <w:tag w:val="goog_rdk_107"/>
          <w:id w:val="1972357520"/>
        </w:sdtPr>
        <w:sdtContent>
          <w:r>
            <w:t xml:space="preserve"> 2025</w:t>
          </w:r>
        </w:sdtContent>
      </w:sdt>
      <w:r>
        <w:t>. The survey was closed in late January</w:t>
      </w:r>
      <w:sdt>
        <w:sdtPr>
          <w:tag w:val="goog_rdk_108"/>
          <w:id w:val="557873762"/>
        </w:sdtPr>
        <w:sdtContent>
          <w:r>
            <w:t xml:space="preserve"> 2026</w:t>
          </w:r>
        </w:sdtContent>
      </w:sdt>
      <w:r>
        <w:t>, and data was then reviewed. The data was then analysed over the month of February</w:t>
      </w:r>
      <w:sdt>
        <w:sdtPr>
          <w:tag w:val="goog_rdk_113"/>
          <w:id w:val="242728046"/>
        </w:sdtPr>
        <w:sdtContent>
          <w:r>
            <w:t xml:space="preserve"> 2026</w:t>
          </w:r>
        </w:sdtContent>
      </w:sdt>
      <w:r>
        <w:t xml:space="preserve">. </w:t>
      </w:r>
    </w:p>
    <w:p w14:paraId="05DBBF21" w14:textId="77777777" w:rsidR="006C17FF" w:rsidRDefault="006C17FF" w:rsidP="006C17FF">
      <w:pPr>
        <w:pStyle w:val="Heading3"/>
      </w:pPr>
      <w:bookmarkStart w:id="72" w:name="_Toc225937191"/>
      <w:r>
        <w:t>Characteristics of population</w:t>
      </w:r>
      <w:bookmarkEnd w:id="72"/>
    </w:p>
    <w:p w14:paraId="5A400697" w14:textId="77777777" w:rsidR="006C17FF" w:rsidRDefault="006C17FF" w:rsidP="006C17FF">
      <w:pPr>
        <w:spacing w:line="480" w:lineRule="auto"/>
      </w:pPr>
      <w:r>
        <w:t xml:space="preserve">The survey was designed to include </w:t>
      </w:r>
      <w:proofErr w:type="spellStart"/>
      <w:r>
        <w:t>self identified</w:t>
      </w:r>
      <w:proofErr w:type="spellEnd"/>
      <w:r>
        <w:t xml:space="preserve"> health leaders. This included those with administrative duties at the organisational or system level. Types of positions were identified as those with titles such as directors, administrators, vice presidents, and senior leaders at a strategic level. In the demographic section of the survey, those that identified as not having any type of leadership function were omitted from continuing through the survey. The rationale was to </w:t>
      </w:r>
      <w:r>
        <w:lastRenderedPageBreak/>
        <w:t xml:space="preserve">target those in leadership roles, specifically at the strategic level and responsible for direction of the organisation or system. </w:t>
      </w:r>
    </w:p>
    <w:p w14:paraId="6549B222" w14:textId="77777777" w:rsidR="006C17FF" w:rsidRDefault="006C17FF" w:rsidP="006C17FF">
      <w:pPr>
        <w:pStyle w:val="Heading3"/>
      </w:pPr>
      <w:bookmarkStart w:id="73" w:name="_Toc225937192"/>
      <w:r>
        <w:t>Selection of subjects</w:t>
      </w:r>
      <w:bookmarkEnd w:id="73"/>
    </w:p>
    <w:p w14:paraId="5743B60A" w14:textId="77777777" w:rsidR="006C17FF" w:rsidRDefault="006C17FF" w:rsidP="006C17FF">
      <w:pPr>
        <w:spacing w:line="480" w:lineRule="auto"/>
      </w:pPr>
      <w:r>
        <w:t>Data was obtained electronically and through the online platform Qualtrics. No data collection was conducted in person and there was no risk to personal safety.</w:t>
      </w:r>
      <w:r>
        <w:rPr>
          <w:rFonts w:ascii="NimbusSans-Regular" w:eastAsia="NimbusSans-Regular" w:hAnsi="NimbusSans-Regular" w:cs="NimbusSans-Regular"/>
          <w:color w:val="333333"/>
          <w:sz w:val="17"/>
          <w:szCs w:val="17"/>
        </w:rPr>
        <w:t xml:space="preserve"> </w:t>
      </w:r>
      <w:r>
        <w:t>Once the survey was finalized, a</w:t>
      </w:r>
      <w:sdt>
        <w:sdtPr>
          <w:tag w:val="goog_rdk_114"/>
          <w:id w:val="-1026761306"/>
        </w:sdtPr>
        <w:sdtContent>
          <w:r>
            <w:t>n</w:t>
          </w:r>
        </w:sdtContent>
      </w:sdt>
      <w:r>
        <w:t xml:space="preserve"> expression of interest email was sent to those within the distribution networks. In addition, the survey was shared via social media through the professional network site LinkedIn. The survey screened participants to determine whether selection criteria was met (i</w:t>
      </w:r>
      <w:sdt>
        <w:sdtPr>
          <w:tag w:val="goog_rdk_115"/>
          <w:id w:val="-1285481069"/>
        </w:sdtPr>
        <w:sdtContent>
          <w:r>
            <w:t>.</w:t>
          </w:r>
        </w:sdtContent>
      </w:sdt>
      <w:r>
        <w:t>e. those with appropriate experience and roles in healthcare).</w:t>
      </w:r>
    </w:p>
    <w:p w14:paraId="5BAB88DB" w14:textId="77777777" w:rsidR="006C17FF" w:rsidRDefault="006C17FF" w:rsidP="006C17FF">
      <w:pPr>
        <w:pStyle w:val="Heading2"/>
      </w:pPr>
      <w:bookmarkStart w:id="74" w:name="_Toc225937193"/>
      <w:r>
        <w:t>Ethics statement</w:t>
      </w:r>
      <w:bookmarkEnd w:id="74"/>
    </w:p>
    <w:p w14:paraId="5EAE10A0" w14:textId="77777777" w:rsidR="006C17FF" w:rsidRDefault="006C17FF" w:rsidP="006C17FF">
      <w:pPr>
        <w:spacing w:line="480" w:lineRule="auto"/>
      </w:pPr>
      <w:r>
        <w:t xml:space="preserve">This research was conducted with a focus on ethical vigilance, or in other words the methods considered worthiness of the topic of inquiry. Furthermore, it was considered if the subject was of value to respondents and valued the time dedicated by the participants. As pointed out by Foster (2022) pragmatism asks the research to reflect upon whether the </w:t>
      </w:r>
      <w:sdt>
        <w:sdtPr>
          <w:tag w:val="goog_rdk_116"/>
          <w:id w:val="-1860489102"/>
        </w:sdtPr>
        <w:sdtContent/>
      </w:sdt>
      <w:r>
        <w:t xml:space="preserve">methods </w:t>
      </w:r>
      <w:sdt>
        <w:sdtPr>
          <w:tag w:val="goog_rdk_117"/>
          <w:id w:val="-1042878743"/>
        </w:sdtPr>
        <w:sdtContent>
          <w:r>
            <w:t>are suitable</w:t>
          </w:r>
        </w:sdtContent>
      </w:sdt>
      <w:sdt>
        <w:sdtPr>
          <w:tag w:val="goog_rdk_118"/>
          <w:id w:val="-1058301649"/>
          <w:showingPlcHdr/>
        </w:sdtPr>
        <w:sdtContent>
          <w:r>
            <w:t xml:space="preserve">     </w:t>
          </w:r>
        </w:sdtContent>
      </w:sdt>
      <w:r>
        <w:t xml:space="preserve"> for the respondents and researchers collective time and effort while considering the utility of the research. Climate change has a dramatic impact on human health and thus on the health system. Those working across the health system are asked to manage related impacts, and those in leadership positions have the added burden to lead organisations through the multi-faceted impacts. As this research provides practical implications that strategies can be developed it was determined that the topic of inquiry and methods chosen were worthy of the time and effort to contribute.</w:t>
      </w:r>
    </w:p>
    <w:p w14:paraId="56C0A683" w14:textId="5590A92B" w:rsidR="006C17FF" w:rsidRDefault="006C17FF" w:rsidP="006C17FF">
      <w:pPr>
        <w:spacing w:line="480" w:lineRule="auto"/>
      </w:pPr>
      <w:r>
        <w:t xml:space="preserve">The University of Sheffield's consent form template was adapted and used in this study. The information sheet and consent form provided information on what the study was about, what participants were asked to do and how the information will be used, including forthcoming </w:t>
      </w:r>
      <w:r>
        <w:lastRenderedPageBreak/>
        <w:t>publications. Consent was obtained for the survey phases of the project (</w:t>
      </w:r>
      <w:proofErr w:type="spellStart"/>
      <w:r>
        <w:t>Illing</w:t>
      </w:r>
      <w:proofErr w:type="spellEnd"/>
      <w:r>
        <w:t>, 2013) through a sign off statement embedded in the questionnaire. However, as survey submissions were anonymous once they were received, they were unable to be retracted, should the participant have requested their survey be omitted. It</w:t>
      </w:r>
      <w:sdt>
        <w:sdtPr>
          <w:tag w:val="goog_rdk_119"/>
          <w:id w:val="-1577412616"/>
        </w:sdtPr>
        <w:sdtContent>
          <w:r>
            <w:t xml:space="preserve"> i</w:t>
          </w:r>
        </w:sdtContent>
      </w:sdt>
      <w:r>
        <w:t xml:space="preserve">s important to point out that during the data collection phase, no participant requested their response be omitted. A statement was noted in the survey opening disclaimer and submission acceptance was required to complete the survey. Anonymity was maintained during the quantitative phase of the project; no personnel identifiers were collected as noted in the Data Management Plan. The online survey </w:t>
      </w:r>
      <w:r w:rsidR="00B41254">
        <w:t>designed to factor in the time spent</w:t>
      </w:r>
      <w:r>
        <w:t xml:space="preserve"> </w:t>
      </w:r>
      <w:sdt>
        <w:sdtPr>
          <w:tag w:val="goog_rdk_121"/>
          <w:id w:val="-1840852175"/>
        </w:sdtPr>
        <w:sdtContent>
          <w:r>
            <w:t>on</w:t>
          </w:r>
        </w:sdtContent>
      </w:sdt>
      <w:r>
        <w:t xml:space="preserve"> a computer or on a device (less than thirty minutes)</w:t>
      </w:r>
      <w:r w:rsidR="00B41254">
        <w:t xml:space="preserve"> out of respect for </w:t>
      </w:r>
      <w:proofErr w:type="gramStart"/>
      <w:r w:rsidR="00B41254">
        <w:t>participants</w:t>
      </w:r>
      <w:proofErr w:type="gramEnd"/>
      <w:r w:rsidR="00B41254">
        <w:t xml:space="preserve"> time</w:t>
      </w:r>
      <w:r>
        <w:t>. Working on a computer is a common activity for those in leadership roles within the healthcare system that are targeted for participation.</w:t>
      </w:r>
    </w:p>
    <w:p w14:paraId="37C0C802" w14:textId="08C11BF2" w:rsidR="006C17FF" w:rsidRDefault="006C17FF" w:rsidP="006C17FF">
      <w:pPr>
        <w:spacing w:line="480" w:lineRule="auto"/>
      </w:pPr>
      <w:r>
        <w:t xml:space="preserve">Participants were asked to provide demographic information from the organisation they were representing, but no specifics requested.  A data capture form </w:t>
      </w:r>
      <w:sdt>
        <w:sdtPr>
          <w:tag w:val="goog_rdk_123"/>
          <w:id w:val="605194918"/>
        </w:sdtPr>
        <w:sdtContent>
          <w:r>
            <w:t>was</w:t>
          </w:r>
        </w:sdtContent>
      </w:sdt>
      <w:r>
        <w:t xml:space="preserve"> used that </w:t>
      </w:r>
      <w:sdt>
        <w:sdtPr>
          <w:tag w:val="goog_rdk_125"/>
          <w:id w:val="1982861127"/>
        </w:sdtPr>
        <w:sdtContent>
          <w:r>
            <w:t>was</w:t>
          </w:r>
        </w:sdtContent>
      </w:sdt>
      <w:r>
        <w:t xml:space="preserve"> separate from the questionnaire to maintain anonymity. If participants did not provide consent they could not progress through the survey, and the entry was deleted from the data set. In some cases, the respondent was not suitable for the survey by indicating that they did not meet the inclusion criteria or </w:t>
      </w:r>
      <w:sdt>
        <w:sdtPr>
          <w:tag w:val="goog_rdk_140"/>
          <w:id w:val="1055663448"/>
        </w:sdtPr>
        <w:sdtContent>
          <w:r>
            <w:t xml:space="preserve">were </w:t>
          </w:r>
        </w:sdtContent>
      </w:sdt>
      <w:r>
        <w:t xml:space="preserve">located in a country other than the UK or Canada and were asked to leave the survey.  </w:t>
      </w:r>
    </w:p>
    <w:p w14:paraId="79C5B516" w14:textId="29CE8AF0" w:rsidR="006C17FF" w:rsidRDefault="006C17FF" w:rsidP="006C17FF">
      <w:pPr>
        <w:spacing w:line="480" w:lineRule="auto"/>
      </w:pPr>
      <w:r>
        <w:t>Ethical approval for the project was gained through the University of Sheffield on April 28</w:t>
      </w:r>
      <w:r>
        <w:rPr>
          <w:vertAlign w:val="superscript"/>
        </w:rPr>
        <w:t>th</w:t>
      </w:r>
      <w:r>
        <w:t>, 2025, through the School of Medicine and Population Health. The registration number is 220197601 and the participant information sheet and consent form were included in the approval. The study primarily took place from Canada with data being gathered and stored on the University of Sheffield’s secure servers within google drive. The researcher potentially will travel to the UK for NHS Trust knowledge dissemination events in the future, but travel was not conducted through the course of the research phase.</w:t>
      </w:r>
    </w:p>
    <w:p w14:paraId="30C10E52" w14:textId="4CA7C43C" w:rsidR="006C17FF" w:rsidRDefault="006C17FF" w:rsidP="006C17FF">
      <w:pPr>
        <w:spacing w:line="480" w:lineRule="auto"/>
      </w:pPr>
      <w:r>
        <w:lastRenderedPageBreak/>
        <w:t>While t</w:t>
      </w:r>
      <w:sdt>
        <w:sdtPr>
          <w:tag w:val="goog_rdk_143"/>
          <w:id w:val="332167116"/>
        </w:sdtPr>
        <w:sdtContent>
          <w:r>
            <w:t>he</w:t>
          </w:r>
        </w:sdtContent>
      </w:sdt>
      <w:r>
        <w:t xml:space="preserve"> topic of climate change is still sensitive in some areas of the world, within healthcare it is a common topic and </w:t>
      </w:r>
      <w:sdt>
        <w:sdtPr>
          <w:tag w:val="goog_rdk_145"/>
          <w:id w:val="-1832920672"/>
        </w:sdtPr>
        <w:sdtContent/>
      </w:sdt>
      <w:r>
        <w:t>climate change policy is openly discussed in the UK and Canada. Questions around climate change policy or views of the scientific basis of climate change were not addressed within the survey, as they were unrelated to the study. Given that participants were not considered vulnerable persons and the topics are not overly sensitive, the participants</w:t>
      </w:r>
      <w:sdt>
        <w:sdtPr>
          <w:tag w:val="goog_rdk_146"/>
          <w:id w:val="2024070626"/>
        </w:sdtPr>
        <w:sdtContent>
          <w:r>
            <w:t>’</w:t>
          </w:r>
        </w:sdtContent>
      </w:sdt>
      <w:r>
        <w:t xml:space="preserve"> exposure to risk was deemed as minimal. The researcher did not have any position of power over the respondents and was unaware of respondents that had completed the survey. The researcher did share the survey with colleagues in the British Columbian health system; however, made it clear through correspondence that any participation was not a requirement or condition of employment.</w:t>
      </w:r>
    </w:p>
    <w:p w14:paraId="794F270B" w14:textId="77777777" w:rsidR="006C17FF" w:rsidRPr="001B7423" w:rsidRDefault="00000000" w:rsidP="006C17FF">
      <w:pPr>
        <w:rPr>
          <w:rStyle w:val="Heading3Char"/>
        </w:rPr>
      </w:pPr>
      <w:sdt>
        <w:sdtPr>
          <w:rPr>
            <w:rFonts w:eastAsiaTheme="majorEastAsia" w:cstheme="majorBidi"/>
            <w:color w:val="0F4761" w:themeColor="accent1" w:themeShade="BF"/>
            <w:sz w:val="28"/>
            <w:szCs w:val="28"/>
          </w:rPr>
          <w:tag w:val="goog_rdk_148"/>
          <w:id w:val="-1122147577"/>
        </w:sdtPr>
        <w:sdtEndPr>
          <w:rPr>
            <w:rFonts w:eastAsiaTheme="minorHAnsi" w:cstheme="minorBidi"/>
            <w:color w:val="auto"/>
            <w:sz w:val="22"/>
            <w:szCs w:val="22"/>
          </w:rPr>
        </w:sdtEndPr>
        <w:sdtContent/>
      </w:sdt>
      <w:r w:rsidR="006C17FF" w:rsidRPr="001B7423">
        <w:rPr>
          <w:rStyle w:val="Heading3Char"/>
        </w:rPr>
        <w:t>The Researcher’s Position</w:t>
      </w:r>
    </w:p>
    <w:p w14:paraId="6C99C73B" w14:textId="35C3CD8C" w:rsidR="006C17FF" w:rsidRDefault="006C17FF" w:rsidP="006C17FF">
      <w:pPr>
        <w:spacing w:line="480" w:lineRule="auto"/>
      </w:pPr>
      <w:r>
        <w:t xml:space="preserve">While the quantitative element of this research is less subjective, bias is still intertwined within the process (Olmos-Vega, 2022). Drawing </w:t>
      </w:r>
      <w:r w:rsidR="00CF7DD9">
        <w:t xml:space="preserve">further </w:t>
      </w:r>
      <w:r>
        <w:t>from Olmos-Vega’s (2022) definition</w:t>
      </w:r>
      <w:sdt>
        <w:sdtPr>
          <w:tag w:val="goog_rdk_149"/>
          <w:id w:val="2040447571"/>
        </w:sdtPr>
        <w:sdtContent>
          <w:r>
            <w:t>,</w:t>
          </w:r>
        </w:sdtContent>
      </w:sdt>
      <w:r>
        <w:t xml:space="preserve"> reflexivity is a continuous practice of considering how a researcher’s subjectivity relates to the research process. Attention was paid to the researcher’s experiences in the healthcare sector as a health leader in crisis management and the personal impacts of climate change influenced emergencies and other types of emergencies the professional capacity. It was also considered how connections with health leaders and experience of working within the health system have created personal biases. These include the researcher’s paradigm that leaders in healthcare are reactive, short sighted and focused on maintaining day to day operations. This of course is not always the case. There are many types of leaders in the health system, and many the researcher has not been exposed to. </w:t>
      </w:r>
    </w:p>
    <w:p w14:paraId="627D148C" w14:textId="77777777" w:rsidR="006C17FF" w:rsidRDefault="006C17FF" w:rsidP="006C17FF">
      <w:pPr>
        <w:spacing w:line="480" w:lineRule="auto"/>
      </w:pPr>
      <w:r>
        <w:t xml:space="preserve">This is important to capture along the research process and was critical in designing surveys, through data analysis and when making inferences on the data itself. It was important to have an awareness of this bias and understand ethical implications of asking questions that may be slanted based on bias. Assisting with this was the creation of a narrative autobiography (Ellis, 2004; </w:t>
      </w:r>
      <w:r>
        <w:lastRenderedPageBreak/>
        <w:t>as cited in Olmos-Vega, 2022) where biases were considered in each phase of the research. The researcher is also passionate about climate change and health, having seen firsthand the effects of wildfires, floods, and poor air quality on communities. It was important to temper this and bring more of an observational lens, as opposed to providing solutions in the immediate term with attention being paid to tangible practices (Olmos-Vega, 2022).</w:t>
      </w:r>
    </w:p>
    <w:p w14:paraId="738A3146" w14:textId="77777777" w:rsidR="006C17FF" w:rsidRDefault="006C17FF" w:rsidP="006C17FF">
      <w:pPr>
        <w:pStyle w:val="Heading2"/>
      </w:pPr>
      <w:bookmarkStart w:id="75" w:name="_Toc225937194"/>
      <w:r>
        <w:t>Data Collection</w:t>
      </w:r>
      <w:bookmarkEnd w:id="75"/>
      <w:r>
        <w:t xml:space="preserve"> </w:t>
      </w:r>
    </w:p>
    <w:p w14:paraId="17913248" w14:textId="0FEF6FA2" w:rsidR="006C17FF" w:rsidRDefault="006C17FF" w:rsidP="006C17FF">
      <w:pPr>
        <w:spacing w:line="480" w:lineRule="auto"/>
      </w:pPr>
      <w:r>
        <w:t>The survey was opened on December 12</w:t>
      </w:r>
      <w:r>
        <w:rPr>
          <w:vertAlign w:val="superscript"/>
        </w:rPr>
        <w:t>th</w:t>
      </w:r>
      <w:r>
        <w:t xml:space="preserve">, </w:t>
      </w:r>
      <w:r w:rsidR="00906651">
        <w:t>2025,</w:t>
      </w:r>
      <w:r>
        <w:t xml:space="preserve"> by way of a communications campaign. The survey was shared via professional networks, a Canadian university and government collaborative (CASCADES), and through the </w:t>
      </w:r>
      <w:sdt>
        <w:sdtPr>
          <w:tag w:val="goog_rdk_150"/>
          <w:id w:val="187206732"/>
        </w:sdtPr>
        <w:sdtContent/>
      </w:sdt>
      <w:r>
        <w:t>UK Health Security Agency colleagues. Those that had received the survey were asked to share within their networks. Response rates remained low (n=27) over the holiday period in late December</w:t>
      </w:r>
      <w:sdt>
        <w:sdtPr>
          <w:tag w:val="goog_rdk_151"/>
          <w:id w:val="-946010124"/>
        </w:sdtPr>
        <w:sdtContent>
          <w:r>
            <w:t xml:space="preserve"> 2025</w:t>
          </w:r>
        </w:sdtContent>
      </w:sdt>
      <w:r>
        <w:t>. Additional</w:t>
      </w:r>
      <w:sdt>
        <w:sdtPr>
          <w:tag w:val="goog_rdk_152"/>
          <w:id w:val="-188089117"/>
        </w:sdtPr>
        <w:sdtContent>
          <w:r>
            <w:t>ly</w:t>
          </w:r>
        </w:sdtContent>
      </w:sdt>
      <w:r>
        <w:t xml:space="preserve">, networks including the Disaster Risk Research Network (University of British Columbia), Greener NHS (UK), and the Canadian Association of Public Health Professionals were approached to further share the survey. </w:t>
      </w:r>
    </w:p>
    <w:p w14:paraId="3842C4B4" w14:textId="77777777" w:rsidR="006C17FF" w:rsidRDefault="006C17FF" w:rsidP="006C17FF">
      <w:pPr>
        <w:spacing w:line="480" w:lineRule="auto"/>
      </w:pPr>
      <w:r>
        <w:t>It was assumed that the holiday period would be challenging. This led to the decision to start a second communications reach out. Keeping the survey open for a longer duration and repeated messages helped with initial lower response rates. In total the survey was shared on two separate occasions on the LinkedIn social media site through a post made by the researcher. The Greener NHS network sent a bulletin to members across Northeast and the Yorkshire region during the second campaign. Several colleagues on the LinkedIn platform then shared the post within their professional networks. The survey was closed on January 27</w:t>
      </w:r>
      <w:r>
        <w:rPr>
          <w:vertAlign w:val="superscript"/>
        </w:rPr>
        <w:t>th</w:t>
      </w:r>
      <w:r>
        <w:t>, 2026, after a 6-week timeframe with 67 completed responses. The limited sample size was then considered and altered the approach from the perspective of data analysis- more complex statistical testing was not conducted.</w:t>
      </w:r>
    </w:p>
    <w:p w14:paraId="74811158" w14:textId="06ED9DE7" w:rsidR="006C17FF" w:rsidRDefault="006C17FF" w:rsidP="006C17FF">
      <w:pPr>
        <w:spacing w:line="480" w:lineRule="auto"/>
      </w:pPr>
      <w:r>
        <w:lastRenderedPageBreak/>
        <w:t>Within this 6-week period the Canadian College of Health Leaders (CCHL) was approached and asked to share the survey with approximately 4000 members through a newsletter and email. This promotion of the survey however was noted as having a cost that the researcher was unable to cover. Response rates however from the UK were not expected, given the varying approach to survey dissemination (snowball sampling and email distribution lists including leaders). This simply meant that the population size was unknown for both the UK and Canadian contingents of the survey, and it would be difficult to report response rates.</w:t>
      </w:r>
    </w:p>
    <w:p w14:paraId="168342A6" w14:textId="77777777" w:rsidR="006C17FF" w:rsidRDefault="006C17FF" w:rsidP="006C17FF">
      <w:pPr>
        <w:spacing w:line="480" w:lineRule="auto"/>
      </w:pPr>
      <w:r>
        <w:t xml:space="preserve">The survey was electronically available through an embedded link in emails and LinkedIn posts. Once the link was accessed respondents gained immediate entry into the survey via Qualtrics. Data was held securely on the University of Sheffield server and stored and accessed through the University’s Virtual Private Network with multi-factor authentication. More specifically, on the </w:t>
      </w:r>
      <w:sdt>
        <w:sdtPr>
          <w:tag w:val="goog_rdk_156"/>
          <w:id w:val="-1872049683"/>
        </w:sdtPr>
        <w:sdtContent>
          <w:r>
            <w:t xml:space="preserve">University </w:t>
          </w:r>
        </w:sdtContent>
      </w:sdt>
      <w:r>
        <w:t>‘X-Drive’ as outlined in the Data Management Plan. The data collected from healthcare representatives would not have privacy nor legal implications as they will be anonymous.</w:t>
      </w:r>
    </w:p>
    <w:p w14:paraId="44A0A083" w14:textId="77777777" w:rsidR="006C17FF" w:rsidRDefault="006C17FF" w:rsidP="006C17FF">
      <w:pPr>
        <w:pStyle w:val="Heading2"/>
      </w:pPr>
      <w:bookmarkStart w:id="76" w:name="_Toc225937195"/>
      <w:r>
        <w:t>Data Analysis</w:t>
      </w:r>
      <w:bookmarkEnd w:id="76"/>
    </w:p>
    <w:p w14:paraId="613AA2FF" w14:textId="77777777" w:rsidR="006C17FF" w:rsidRDefault="006C17FF" w:rsidP="006C17FF">
      <w:pPr>
        <w:spacing w:line="480" w:lineRule="auto"/>
      </w:pPr>
      <w:r>
        <w:t xml:space="preserve">Once the survey was closed, data analysis began through the University of Sheffield’s Qualtrics account. Qualtrics was accessed through the researcher’s personal computer on the windows platform. Data was cleaned and unfinished results were removed from the data set. It was noted that there was a level of variation in the number of responses to the segments of the survey. For example, questions in the demographic segment ranged from 62-66 responses. In the climate change education and health segment of the survey responses dropped to 60 across the segment questions. The competency scoring segment of the survey had 53 total responses and the final section </w:t>
      </w:r>
      <w:sdt>
        <w:sdtPr>
          <w:tag w:val="goog_rdk_157"/>
          <w:id w:val="1901814326"/>
        </w:sdtPr>
        <w:sdtContent>
          <w:sdt>
            <w:sdtPr>
              <w:tag w:val="goog_rdk_158"/>
              <w:id w:val="390215779"/>
            </w:sdtPr>
            <w:sdtContent>
              <w:r>
                <w:t>had</w:t>
              </w:r>
            </w:sdtContent>
          </w:sdt>
        </w:sdtContent>
      </w:sdt>
      <w:r>
        <w:t xml:space="preserve"> between 47-51 total responses to the topics in the </w:t>
      </w:r>
      <w:proofErr w:type="spellStart"/>
      <w:r>
        <w:t>self rated</w:t>
      </w:r>
      <w:proofErr w:type="spellEnd"/>
      <w:r>
        <w:t xml:space="preserve"> scale.</w:t>
      </w:r>
    </w:p>
    <w:p w14:paraId="218BEF93" w14:textId="77777777" w:rsidR="006C17FF" w:rsidRDefault="006C17FF" w:rsidP="006C17FF">
      <w:pPr>
        <w:pStyle w:val="Heading3"/>
      </w:pPr>
      <w:bookmarkStart w:id="77" w:name="_Toc225937196"/>
      <w:r>
        <w:lastRenderedPageBreak/>
        <w:t>Quantitative</w:t>
      </w:r>
      <w:bookmarkEnd w:id="77"/>
    </w:p>
    <w:p w14:paraId="10729334" w14:textId="40BD30B9" w:rsidR="006C17FF" w:rsidRDefault="006C17FF" w:rsidP="006C17FF">
      <w:pPr>
        <w:spacing w:line="480" w:lineRule="auto"/>
      </w:pPr>
      <w:r>
        <w:t xml:space="preserve">A descriptive </w:t>
      </w:r>
      <w:sdt>
        <w:sdtPr>
          <w:tag w:val="goog_rdk_161"/>
          <w:id w:val="516703722"/>
        </w:sdtPr>
        <w:sdtContent>
          <w:r>
            <w:t xml:space="preserve">statistics </w:t>
          </w:r>
        </w:sdtContent>
      </w:sdt>
      <w:r>
        <w:t>approach was used which includes measures of central tendency and measures of dispersion (George and Mallery, 2024). More specifically</w:t>
      </w:r>
      <w:r w:rsidR="00B41254">
        <w:t>,</w:t>
      </w:r>
      <w:r>
        <w:t xml:space="preserve"> measures of central tendency included mean and </w:t>
      </w:r>
      <w:r w:rsidR="00906651">
        <w:t>median,</w:t>
      </w:r>
      <w:r>
        <w:t xml:space="preserve"> and measures of dispersion included standard deviation and range. This approach was applied to demographic, climate change and health education, and </w:t>
      </w:r>
      <w:proofErr w:type="spellStart"/>
      <w:r>
        <w:t>self rated</w:t>
      </w:r>
      <w:proofErr w:type="spellEnd"/>
      <w:r>
        <w:t xml:space="preserve"> scales for competency and capacity. This approach considered the limitations of the sample size for more complex analysis. Had the sample size been larger a correlation analysis using Pearson’s and Spearman’s correlation tests (Schober et al., 2018) would have been completed. In addition, tests of differences (Pocock, 2006) including Chi-square, </w:t>
      </w:r>
      <w:r>
        <w:rPr>
          <w:i/>
          <w:iCs/>
        </w:rPr>
        <w:t>t</w:t>
      </w:r>
      <w:r>
        <w:t xml:space="preserve">-test and analysis of variance (ANOVA) were considered for this study. </w:t>
      </w:r>
    </w:p>
    <w:p w14:paraId="1685D93B" w14:textId="77777777" w:rsidR="006C17FF" w:rsidRDefault="00000000" w:rsidP="006C17FF">
      <w:pPr>
        <w:spacing w:line="480" w:lineRule="auto"/>
      </w:pPr>
      <w:sdt>
        <w:sdtPr>
          <w:tag w:val="goog_rdk_162"/>
          <w:id w:val="1231823830"/>
        </w:sdtPr>
        <w:sdtContent/>
      </w:sdt>
      <w:r w:rsidR="006C17FF">
        <w:t xml:space="preserve">Cross tabulations were then used to describe the mean scores between groups. This subgroup analysis was carried out by first identifying unique groups within the data set. The first group was those in the UK and in Canada. Any respondent indicating ‘other’ category was excluded from this data set. Comparative analysis was divided into demographics, climate change and health education and competency and capacity scores. A similar approach was then taken for level of seniority. </w:t>
      </w:r>
      <w:r w:rsidR="006C17FF" w:rsidRPr="00364192">
        <w:t xml:space="preserve">To study the potential effect of level of seniority, the dataset was stratified into two groups - senior leaders and leaders, and a second group of managers, administrators and lower level of staff groups. </w:t>
      </w:r>
      <w:r w:rsidR="006C17FF">
        <w:t xml:space="preserve">Having </w:t>
      </w:r>
      <w:r w:rsidR="006C17FF" w:rsidRPr="00364192">
        <w:t>2 strata</w:t>
      </w:r>
      <w:r w:rsidR="006C17FF">
        <w:t xml:space="preserve"> was justified</w:t>
      </w:r>
      <w:r w:rsidR="006C17FF" w:rsidRPr="00364192">
        <w:t xml:space="preserve"> on the basis that the small number of respondents precluded greater stratification.</w:t>
      </w:r>
      <w:r w:rsidR="006C17FF">
        <w:t xml:space="preserve"> Those at a frontline and manager level were grouped together into a ‘manager and below’ category. Respondents in a director, administrative, executive or governing position were combined into a ‘director and above’ category. Role setting was then selected as the categories and cross tabulated with the four survey segments. </w:t>
      </w:r>
    </w:p>
    <w:p w14:paraId="27EB6DC6" w14:textId="77777777" w:rsidR="006C17FF" w:rsidRDefault="006C17FF" w:rsidP="006C17FF">
      <w:pPr>
        <w:pStyle w:val="Heading2"/>
      </w:pPr>
      <w:bookmarkStart w:id="78" w:name="_Toc225937197"/>
      <w:r>
        <w:lastRenderedPageBreak/>
        <w:t>Chapter Summary</w:t>
      </w:r>
      <w:bookmarkEnd w:id="78"/>
    </w:p>
    <w:p w14:paraId="0DDF0765" w14:textId="442C8F5A" w:rsidR="006C17FF" w:rsidRDefault="006C17FF" w:rsidP="006C17FF">
      <w:pPr>
        <w:spacing w:line="480" w:lineRule="auto"/>
      </w:pPr>
      <w:r>
        <w:t xml:space="preserve">The research project included </w:t>
      </w:r>
      <w:r w:rsidR="003B1AEF">
        <w:t>2</w:t>
      </w:r>
      <w:r>
        <w:t xml:space="preserve"> phases, a review of literature and a survey drawing from quantitative methods. Philosophical underpinnings were considered, and the pragmatic tradition of research serves as the foundation of this research.  It was determined, based on the project’s timescale, research question and practical nature of the study that quantitative methods were most suitable as a research approach. This was largely based on the notion that this research is very much designed to provide insights to health organisations on the value of leader education and strategies on how this can be accomplished. Alternative designs for the research including explanatory and exploratory sequential designs were considered, however based on timescale were not purs</w:t>
      </w:r>
      <w:sdt>
        <w:sdtPr>
          <w:tag w:val="goog_rdk_164"/>
          <w:id w:val="-458142219"/>
        </w:sdtPr>
        <w:sdtContent>
          <w:r>
            <w:t>u</w:t>
          </w:r>
        </w:sdtContent>
      </w:sdt>
      <w:r>
        <w:t xml:space="preserve">ed. Ethical approval was provided by the </w:t>
      </w:r>
      <w:sdt>
        <w:sdtPr>
          <w:tag w:val="goog_rdk_166"/>
          <w:id w:val="1506037125"/>
        </w:sdtPr>
        <w:sdtContent>
          <w:r>
            <w:t>U</w:t>
          </w:r>
        </w:sdtContent>
      </w:sdt>
      <w:r>
        <w:t xml:space="preserve">niversity of Sheffield. </w:t>
      </w:r>
    </w:p>
    <w:p w14:paraId="402B6597" w14:textId="0346DFD4" w:rsidR="006C17FF" w:rsidRDefault="006C17FF" w:rsidP="006C17FF">
      <w:pPr>
        <w:spacing w:line="480" w:lineRule="auto"/>
      </w:pPr>
      <w:r>
        <w:t xml:space="preserve">Purposive and snowball sampling methods were used, and the survey was open for approximately 6 weeks. Primary strategies for distribution of the survey included through direct email to health leaders, through newsletters and bulletins and the social media platform LinkedIn. The quantitative analysis for this study included descriptive statistics through measures of central tendency and measures of dispersion, which are further explored in the next chapter. Limitations of the data analysis were encountered due to lower-than-expected response rates. </w:t>
      </w:r>
      <w:r w:rsidR="003B1AEF">
        <w:t xml:space="preserve">The </w:t>
      </w:r>
      <w:r>
        <w:t xml:space="preserve">  research </w:t>
      </w:r>
      <w:r w:rsidR="003B1AEF">
        <w:t xml:space="preserve">outcomes will be </w:t>
      </w:r>
      <w:r>
        <w:t>share</w:t>
      </w:r>
      <w:r w:rsidR="003B1AEF">
        <w:t>d</w:t>
      </w:r>
      <w:r>
        <w:t xml:space="preserve"> knowledge with health leadership in the UK and Canada</w:t>
      </w:r>
      <w:r w:rsidR="003B1AEF">
        <w:t>, as the final objective</w:t>
      </w:r>
      <w:r>
        <w:t>. The next chapter will present the findings of the research, drawing from methods outlined above.</w:t>
      </w:r>
    </w:p>
    <w:p w14:paraId="5BE518A9" w14:textId="77777777" w:rsidR="006C17FF" w:rsidRDefault="006C17FF" w:rsidP="006C17FF"/>
    <w:p w14:paraId="53DE9298" w14:textId="77777777" w:rsidR="006C17FF" w:rsidRDefault="006C17FF" w:rsidP="006C17FF">
      <w:pPr>
        <w:rPr>
          <w:b/>
          <w:bCs/>
        </w:rPr>
      </w:pPr>
    </w:p>
    <w:p w14:paraId="1CAABE9E" w14:textId="77777777" w:rsidR="006C17FF" w:rsidRDefault="006C17FF" w:rsidP="006C17FF">
      <w:pPr>
        <w:pStyle w:val="Heading1"/>
      </w:pPr>
      <w:bookmarkStart w:id="79" w:name="_Toc225937198"/>
      <w:r>
        <w:lastRenderedPageBreak/>
        <w:t>CHAPTER IV: PRESENTATION OF RESEARCH</w:t>
      </w:r>
      <w:bookmarkEnd w:id="79"/>
    </w:p>
    <w:p w14:paraId="5D5F6E5E" w14:textId="77777777" w:rsidR="006C17FF" w:rsidRDefault="006C17FF" w:rsidP="006C17FF">
      <w:pPr>
        <w:pStyle w:val="Heading2"/>
      </w:pPr>
      <w:bookmarkStart w:id="80" w:name="_Toc225937199"/>
      <w:r>
        <w:t>Introduction</w:t>
      </w:r>
      <w:bookmarkEnd w:id="80"/>
    </w:p>
    <w:p w14:paraId="3119E41E" w14:textId="44D55351" w:rsidR="006C17FF" w:rsidRDefault="006C17FF" w:rsidP="006C17FF">
      <w:pPr>
        <w:spacing w:line="480" w:lineRule="auto"/>
      </w:pPr>
      <w:r>
        <w:t xml:space="preserve">Following the methods section, the presentation of research provides the findings of the survey that was distributed to health leaders in the UK and Canada. The findings are first presented as general descriptive statistics tables across the four segments of the survey. </w:t>
      </w:r>
      <w:sdt>
        <w:sdtPr>
          <w:tag w:val="goog_rdk_11"/>
          <w:id w:val="1851147969"/>
        </w:sdtPr>
        <w:sdtContent>
          <w:r>
            <w:t xml:space="preserve">Segment 1, </w:t>
          </w:r>
          <w:sdt>
            <w:sdtPr>
              <w:tag w:val="goog_rdk_12"/>
              <w:id w:val="2097890483"/>
            </w:sdtPr>
            <w:sdtContent>
              <w:r>
                <w:t xml:space="preserve">respondents were asked demographic based questions. Segment 2, statements were posed related to the respondent’s organisation and climate change and health education. </w:t>
              </w:r>
              <w:r w:rsidR="00F91188">
                <w:t>Segment 3</w:t>
              </w:r>
              <w:r>
                <w:t xml:space="preserve"> included a self-reported scale designed to measure competence to topics within health and climate change. Segment 4 included a capacity scale which measured the ability of respondents to gain competence over the same set of topics. </w:t>
              </w:r>
            </w:sdtContent>
          </w:sdt>
        </w:sdtContent>
      </w:sdt>
    </w:p>
    <w:p w14:paraId="49510FD1" w14:textId="77777777" w:rsidR="006C17FF" w:rsidRDefault="006C17FF" w:rsidP="006C17FF">
      <w:pPr>
        <w:spacing w:line="480" w:lineRule="auto"/>
      </w:pPr>
      <w:r>
        <w:t xml:space="preserve">Secondly, a comparative analysis follows with a brief discussion using mean scores through cross tabulation. </w:t>
      </w:r>
      <w:sdt>
        <w:sdtPr>
          <w:tag w:val="goog_rdk_13"/>
          <w:id w:val="-1177687252"/>
        </w:sdtPr>
        <w:sdtContent>
          <w:r>
            <w:t>Analysis by c</w:t>
          </w:r>
        </w:sdtContent>
      </w:sdt>
      <w:r>
        <w:t>ountry of employment</w:t>
      </w:r>
      <w:sdt>
        <w:sdtPr>
          <w:tag w:val="goog_rdk_15"/>
          <w:id w:val="-1859649408"/>
        </w:sdtPr>
        <w:sdtContent>
          <w:r>
            <w:t xml:space="preserve"> of respondents</w:t>
          </w:r>
        </w:sdtContent>
      </w:sdt>
      <w:r>
        <w:t xml:space="preserve"> is first presented</w:t>
      </w:r>
      <w:sdt>
        <w:sdtPr>
          <w:tag w:val="goog_rdk_16"/>
          <w:id w:val="-1073854713"/>
        </w:sdtPr>
        <w:sdtContent>
          <w:r>
            <w:t>. This</w:t>
          </w:r>
        </w:sdtContent>
      </w:sdt>
      <w:r>
        <w:t xml:space="preserve"> includes a comparative analysis </w:t>
      </w:r>
      <w:sdt>
        <w:sdtPr>
          <w:tag w:val="goog_rdk_18"/>
          <w:id w:val="-1086414705"/>
        </w:sdtPr>
        <w:sdtContent>
          <w:r>
            <w:t xml:space="preserve">by </w:t>
          </w:r>
        </w:sdtContent>
      </w:sdt>
      <w:r>
        <w:t xml:space="preserve">organisation </w:t>
      </w:r>
      <w:sdt>
        <w:sdtPr>
          <w:tag w:val="goog_rdk_20"/>
          <w:id w:val="1772302136"/>
        </w:sdtPr>
        <w:sdtContent>
          <w:r>
            <w:t xml:space="preserve">type, </w:t>
          </w:r>
        </w:sdtContent>
      </w:sdt>
      <w:r>
        <w:t>climate and health education questions</w:t>
      </w:r>
      <w:sdt>
        <w:sdtPr>
          <w:tag w:val="goog_rdk_22"/>
          <w:id w:val="-856937259"/>
        </w:sdtPr>
        <w:sdtContent>
          <w:r>
            <w:t>,</w:t>
          </w:r>
        </w:sdtContent>
      </w:sdt>
      <w:r>
        <w:t xml:space="preserve"> and </w:t>
      </w:r>
      <w:sdt>
        <w:sdtPr>
          <w:tag w:val="goog_rdk_23"/>
          <w:id w:val="1494054315"/>
        </w:sdtPr>
        <w:sdtContent>
          <w:sdt>
            <w:sdtPr>
              <w:tag w:val="goog_rdk_24"/>
              <w:id w:val="-782795402"/>
            </w:sdtPr>
            <w:sdtContent>
              <w:r>
                <w:t>self-report</w:t>
              </w:r>
            </w:sdtContent>
          </w:sdt>
        </w:sdtContent>
      </w:sdt>
      <w:sdt>
        <w:sdtPr>
          <w:tag w:val="goog_rdk_25"/>
          <w:id w:val="1980155799"/>
        </w:sdtPr>
        <w:sdtContent>
          <w:sdt>
            <w:sdtPr>
              <w:tag w:val="goog_rdk_26"/>
              <w:id w:val="1310902472"/>
              <w:showingPlcHdr/>
            </w:sdtPr>
            <w:sdtContent>
              <w:r>
                <w:t xml:space="preserve">     </w:t>
              </w:r>
            </w:sdtContent>
          </w:sdt>
        </w:sdtContent>
      </w:sdt>
      <w:sdt>
        <w:sdtPr>
          <w:tag w:val="goog_rdk_27"/>
          <w:id w:val="-2029495455"/>
        </w:sdtPr>
        <w:sdtContent>
          <w:r>
            <w:t xml:space="preserve">ed </w:t>
          </w:r>
        </w:sdtContent>
      </w:sdt>
      <w:r>
        <w:t xml:space="preserve">competency and capacity scores. This </w:t>
      </w:r>
      <w:sdt>
        <w:sdtPr>
          <w:tag w:val="goog_rdk_29"/>
          <w:id w:val="-1584996128"/>
        </w:sdtPr>
        <w:sdtContent>
          <w:r>
            <w:t>section</w:t>
          </w:r>
        </w:sdtContent>
      </w:sdt>
      <w:r>
        <w:t xml:space="preserve"> also included </w:t>
      </w:r>
      <w:sdt>
        <w:sdtPr>
          <w:tag w:val="goog_rdk_31"/>
          <w:id w:val="1581101916"/>
        </w:sdtPr>
        <w:sdtContent>
          <w:r>
            <w:t>subgroup analysis by</w:t>
          </w:r>
        </w:sdtContent>
      </w:sdt>
      <w:r>
        <w:t xml:space="preserve"> </w:t>
      </w:r>
      <w:sdt>
        <w:sdtPr>
          <w:tag w:val="goog_rdk_33"/>
          <w:id w:val="148923779"/>
        </w:sdtPr>
        <w:sdtContent>
          <w:r>
            <w:t>seniority-level of respondents, grouped</w:t>
          </w:r>
        </w:sdtContent>
      </w:sdt>
      <w:r>
        <w:t xml:space="preserve">  as ‘manager and below’ and ‘director and above’. Finally, </w:t>
      </w:r>
      <w:sdt>
        <w:sdtPr>
          <w:tag w:val="goog_rdk_38"/>
          <w:id w:val="1031307545"/>
        </w:sdtPr>
        <w:sdtContent>
          <w:r>
            <w:t xml:space="preserve">the data is analysed by </w:t>
          </w:r>
        </w:sdtContent>
      </w:sdt>
      <w:r>
        <w:t>respondent</w:t>
      </w:r>
      <w:sdt>
        <w:sdtPr>
          <w:tag w:val="goog_rdk_39"/>
          <w:id w:val="341111590"/>
        </w:sdtPr>
        <w:sdtContent>
          <w:r>
            <w:t>s</w:t>
          </w:r>
        </w:sdtContent>
      </w:sdt>
      <w:r>
        <w:t xml:space="preserve">’ role setting (community, hospital </w:t>
      </w:r>
      <w:sdt>
        <w:sdtPr>
          <w:tag w:val="goog_rdk_41"/>
          <w:id w:val="191710855"/>
        </w:sdtPr>
        <w:sdtContent>
          <w:r>
            <w:t>or</w:t>
          </w:r>
        </w:sdtContent>
      </w:sdt>
      <w:r>
        <w:t xml:space="preserve"> corporate/administrative).</w:t>
      </w:r>
    </w:p>
    <w:p w14:paraId="6D6C7372" w14:textId="670A20DE" w:rsidR="00C5745A" w:rsidRDefault="00C5745A" w:rsidP="00C5745A">
      <w:pPr>
        <w:spacing w:after="0" w:line="480" w:lineRule="auto"/>
      </w:pPr>
      <w:r>
        <w:t>During the analysis, this study draws on a pragmatic philosophical approach. This allows to focus findings into practical solutions for healthcare organisation (</w:t>
      </w:r>
      <w:proofErr w:type="spellStart"/>
      <w:r>
        <w:t>Ramanadha</w:t>
      </w:r>
      <w:proofErr w:type="spellEnd"/>
      <w:r>
        <w:t xml:space="preserve">, et al., 2021) and specifically to provide guidance to health leaders as expanded upon in Chapter V. </w:t>
      </w:r>
      <w:r w:rsidR="00EF0589">
        <w:t xml:space="preserve">A limitation of this analysis is the use of descriptive statistics from </w:t>
      </w:r>
      <w:proofErr w:type="spellStart"/>
      <w:r w:rsidR="00EF0589">
        <w:t>self reported</w:t>
      </w:r>
      <w:proofErr w:type="spellEnd"/>
      <w:r w:rsidR="00EF0589">
        <w:t xml:space="preserve"> surveys. Furthermore, the findings are subjective and are framed to be observational, as opposed to statistically significant. This is largely due to the feasibility challenges encountered during this study (</w:t>
      </w:r>
      <w:proofErr w:type="spellStart"/>
      <w:r w:rsidR="00EF0589">
        <w:t>ie</w:t>
      </w:r>
      <w:proofErr w:type="spellEnd"/>
      <w:r w:rsidR="00EF0589">
        <w:t xml:space="preserve">. Shortened time </w:t>
      </w:r>
      <w:r w:rsidR="00EF0589">
        <w:lastRenderedPageBreak/>
        <w:t xml:space="preserve">scale and single methodological approach). A discussion of future research in the next chapter explores alternative methods, which would allow for more rigorous analysis. </w:t>
      </w:r>
    </w:p>
    <w:p w14:paraId="7DA60374" w14:textId="77777777" w:rsidR="00292C93" w:rsidRDefault="00292C93" w:rsidP="006C17FF">
      <w:pPr>
        <w:spacing w:line="480" w:lineRule="auto"/>
      </w:pPr>
    </w:p>
    <w:p w14:paraId="45D89240" w14:textId="77777777" w:rsidR="006C17FF" w:rsidRDefault="006C17FF" w:rsidP="006C17FF">
      <w:pPr>
        <w:pStyle w:val="Heading2"/>
      </w:pPr>
      <w:bookmarkStart w:id="81" w:name="_Toc225937200"/>
      <w:r>
        <w:t>Findings</w:t>
      </w:r>
      <w:bookmarkEnd w:id="81"/>
    </w:p>
    <w:bookmarkStart w:id="82" w:name="_Toc225937201" w:displacedByCustomXml="next"/>
    <w:sdt>
      <w:sdtPr>
        <w:tag w:val="goog_rdk_4"/>
        <w:id w:val="306737219"/>
      </w:sdtPr>
      <w:sdtContent>
        <w:p w14:paraId="206F8C7A" w14:textId="77777777" w:rsidR="006C17FF" w:rsidRPr="00015EFF" w:rsidRDefault="00000000" w:rsidP="006C17FF">
          <w:pPr>
            <w:pStyle w:val="Heading2"/>
          </w:pPr>
          <w:sdt>
            <w:sdtPr>
              <w:tag w:val="goog_rdk_3"/>
              <w:id w:val="1929270710"/>
            </w:sdtPr>
            <w:sdtContent>
              <w:r w:rsidR="006C17FF" w:rsidRPr="003A2FDA">
                <w:rPr>
                  <w:rStyle w:val="Heading3Char"/>
                </w:rPr>
                <w:t>Demographics</w:t>
              </w:r>
            </w:sdtContent>
          </w:sdt>
        </w:p>
      </w:sdtContent>
    </w:sdt>
    <w:bookmarkEnd w:id="82" w:displacedByCustomXml="prev"/>
    <w:p w14:paraId="726CD505" w14:textId="77777777" w:rsidR="006C17FF" w:rsidRDefault="006C17FF" w:rsidP="006C17FF"/>
    <w:p w14:paraId="54352391" w14:textId="2E345292" w:rsidR="006C17FF" w:rsidRPr="0061158A" w:rsidRDefault="006C17FF" w:rsidP="006C17FF">
      <w:pPr>
        <w:spacing w:line="480" w:lineRule="auto"/>
        <w:rPr>
          <w:lang w:val="en-US"/>
        </w:rPr>
      </w:pPr>
      <w:r>
        <w:t xml:space="preserve">Following the data collection period, </w:t>
      </w:r>
      <w:sdt>
        <w:sdtPr>
          <w:tag w:val="goog_rdk_5"/>
          <w:id w:val="1321321648"/>
        </w:sdtPr>
        <w:sdtContent/>
      </w:sdt>
      <w:r>
        <w:t>67 participants had</w:t>
      </w:r>
      <w:r w:rsidR="00EF0589">
        <w:t xml:space="preserve"> attempted</w:t>
      </w:r>
      <w:r>
        <w:t xml:space="preserve"> the survey; however, one was excluded as it was flagged in Qualtrics as a potential bot </w:t>
      </w:r>
      <w:r w:rsidR="00EF0589">
        <w:t xml:space="preserve">and </w:t>
      </w:r>
      <w:r>
        <w:t xml:space="preserve">was </w:t>
      </w:r>
      <w:r w:rsidR="00EF0589">
        <w:t xml:space="preserve">deemed </w:t>
      </w:r>
      <w:r>
        <w:t xml:space="preserve">incomplete. Of the 66 respondents 3 surveys were incomplete as the respondents did not meet the inclusion criteria. More specifically, </w:t>
      </w:r>
      <w:sdt>
        <w:sdtPr>
          <w:tag w:val="goog_rdk_96"/>
          <w:id w:val="-1425648251"/>
        </w:sdtPr>
        <w:sdtContent>
          <w:sdt>
            <w:sdtPr>
              <w:tag w:val="goog_rdk_97"/>
              <w:id w:val="485517542"/>
            </w:sdtPr>
            <w:sdtContent/>
          </w:sdt>
          <w:r>
            <w:t xml:space="preserve">one </w:t>
          </w:r>
        </w:sdtContent>
      </w:sdt>
      <w:r>
        <w:t>respondent indicated that their employer was not based in Canada nor the UK. In addition, 2 respondents indicated that their employer did not have a function within the health system and were excluded from the study.</w:t>
      </w:r>
      <w:r w:rsidR="00EF0589">
        <w:t xml:space="preserve"> Survey responses fluctuate across sections of the survey. </w:t>
      </w:r>
    </w:p>
    <w:p w14:paraId="15A24A2B" w14:textId="018F4915" w:rsidR="006C17FF" w:rsidRDefault="00F91188" w:rsidP="006C17FF">
      <w:pPr>
        <w:spacing w:line="480" w:lineRule="auto"/>
      </w:pPr>
      <w:r>
        <w:t>Sixty-three</w:t>
      </w:r>
      <w:r w:rsidR="006C17FF">
        <w:t xml:space="preserve"> respondents indicated their employer location with 20 responses being collected from those in Canada (31.7%) while 43 surveys were completed by those indicating their employer provided services in the UK (68.3%). Respondents were then asked in which setting their primary duties </w:t>
      </w:r>
      <w:r w:rsidR="006C17FF" w:rsidRPr="00FD1774">
        <w:t>are c</w:t>
      </w:r>
      <w:sdt>
        <w:sdtPr>
          <w:tag w:val="goog_rdk_7"/>
          <w:id w:val="-1994771138"/>
        </w:sdtPr>
        <w:sdtContent>
          <w:r w:rsidR="006C17FF" w:rsidRPr="00FD1774">
            <w:t xml:space="preserve">arried out (Table </w:t>
          </w:r>
          <w:r w:rsidR="00FD1774" w:rsidRPr="00FD1774">
            <w:t>7</w:t>
          </w:r>
          <w:r w:rsidR="006C17FF" w:rsidRPr="00FD1774">
            <w:t>)</w:t>
          </w:r>
        </w:sdtContent>
      </w:sdt>
      <w:r w:rsidR="006C17FF">
        <w:t xml:space="preserve">. </w:t>
      </w:r>
      <w:sdt>
        <w:sdtPr>
          <w:tag w:val="goog_rdk_8"/>
          <w:id w:val="-1158906552"/>
        </w:sdtPr>
        <w:sdtContent>
          <w:sdt>
            <w:sdtPr>
              <w:tag w:val="goog_rdk_9"/>
              <w:id w:val="1850499393"/>
            </w:sdtPr>
            <w:sdtContent>
              <w:r w:rsidR="006C17FF">
                <w:t xml:space="preserve">When asked to describe their employer (Table </w:t>
              </w:r>
              <w:r w:rsidR="00FD1774">
                <w:t>8</w:t>
              </w:r>
              <w:r w:rsidR="006C17FF">
                <w:t xml:space="preserve">) the majority (69.2%) were those providing health services directly in a variety of settings. </w:t>
              </w:r>
            </w:sdtContent>
          </w:sdt>
        </w:sdtContent>
      </w:sdt>
      <w:r w:rsidR="006C17FF" w:rsidRPr="00C921A8">
        <w:t xml:space="preserve"> </w:t>
      </w:r>
      <w:r w:rsidR="006C17FF">
        <w:t>Of the 62 responses provided</w:t>
      </w:r>
      <w:sdt>
        <w:sdtPr>
          <w:tag w:val="goog_rdk_55"/>
          <w:id w:val="-1936431573"/>
        </w:sdtPr>
        <w:sdtContent>
          <w:r w:rsidR="006C17FF">
            <w:t>,</w:t>
          </w:r>
        </w:sdtContent>
      </w:sdt>
      <w:r w:rsidR="006C17FF">
        <w:t xml:space="preserve"> 59.7% (n=37) </w:t>
      </w:r>
      <w:sdt>
        <w:sdtPr>
          <w:tag w:val="goog_rdk_56"/>
          <w:id w:val="-195352842"/>
        </w:sdtPr>
        <w:sdtContent>
          <w:r w:rsidR="006C17FF">
            <w:t xml:space="preserve">of respondents work </w:t>
          </w:r>
        </w:sdtContent>
      </w:sdt>
      <w:r w:rsidR="006C17FF">
        <w:t xml:space="preserve">in a corporate or administrative setting, 27.4% (17) in a hospital </w:t>
      </w:r>
      <w:r w:rsidR="006C17FF" w:rsidRPr="00FD1774">
        <w:t>setting, and 12.9% (8) in a community setting. When asked to describe their employer (Table</w:t>
      </w:r>
      <w:sdt>
        <w:sdtPr>
          <w:tag w:val="goog_rdk_60"/>
          <w:id w:val="-1482813942"/>
        </w:sdtPr>
        <w:sdtContent>
          <w:r w:rsidR="006C17FF" w:rsidRPr="00FD1774">
            <w:t xml:space="preserve"> </w:t>
          </w:r>
          <w:r w:rsidR="00FD1774">
            <w:t>8</w:t>
          </w:r>
        </w:sdtContent>
      </w:sdt>
      <w:r w:rsidR="006C17FF">
        <w:t xml:space="preserve">) the majority (69.2%) </w:t>
      </w:r>
      <w:sdt>
        <w:sdtPr>
          <w:tag w:val="goog_rdk_61"/>
          <w:id w:val="-2109193064"/>
        </w:sdtPr>
        <w:sdtContent>
          <w:r w:rsidR="006C17FF">
            <w:t xml:space="preserve">reported that their employer </w:t>
          </w:r>
        </w:sdtContent>
      </w:sdt>
      <w:r w:rsidR="006C17FF">
        <w:t xml:space="preserve"> provid</w:t>
      </w:r>
      <w:sdt>
        <w:sdtPr>
          <w:tag w:val="goog_rdk_63"/>
          <w:id w:val="1339000364"/>
        </w:sdtPr>
        <w:sdtContent>
          <w:r w:rsidR="006C17FF">
            <w:t>ed</w:t>
          </w:r>
        </w:sdtContent>
      </w:sdt>
      <w:r w:rsidR="006C17FF">
        <w:t xml:space="preserve"> health services directly in a variety of settings. The remaining respon</w:t>
      </w:r>
      <w:sdt>
        <w:sdtPr>
          <w:tag w:val="goog_rdk_65"/>
          <w:id w:val="1597844965"/>
        </w:sdtPr>
        <w:sdtContent>
          <w:r w:rsidR="006C17FF">
            <w:t>dents</w:t>
          </w:r>
        </w:sdtContent>
      </w:sdt>
      <w:r w:rsidR="006C17FF">
        <w:t xml:space="preserve"> indicated </w:t>
      </w:r>
      <w:sdt>
        <w:sdtPr>
          <w:tag w:val="goog_rdk_67"/>
          <w:id w:val="-880515893"/>
        </w:sdtPr>
        <w:sdtContent>
          <w:r w:rsidR="006C17FF">
            <w:t xml:space="preserve">their </w:t>
          </w:r>
        </w:sdtContent>
      </w:sdt>
      <w:r w:rsidR="006C17FF">
        <w:t xml:space="preserve">employer commissioned or administered health services 10.8% (7), 7.7% (5) </w:t>
      </w:r>
      <w:sdt>
        <w:sdtPr>
          <w:tag w:val="goog_rdk_71"/>
          <w:id w:val="1740317035"/>
        </w:sdtPr>
        <w:sdtContent>
          <w:r w:rsidR="006C17FF">
            <w:t xml:space="preserve">said their employer was </w:t>
          </w:r>
        </w:sdtContent>
      </w:sdt>
      <w:r w:rsidR="006C17FF">
        <w:t>affiliated or supported health services or the health system (</w:t>
      </w:r>
      <w:proofErr w:type="spellStart"/>
      <w:r w:rsidR="006C17FF">
        <w:t>ie</w:t>
      </w:r>
      <w:proofErr w:type="spellEnd"/>
      <w:r w:rsidR="006C17FF">
        <w:t xml:space="preserve">. United Kingdom Health Security Agency, British Columbia </w:t>
      </w:r>
      <w:r w:rsidR="006C17FF">
        <w:lastRenderedPageBreak/>
        <w:t>Centre for Disease Control, etc.), 6.2% (4) funded the health care system or components within health services, and 1 respondent noted their employer was a local government or authority health program. 3 respondents (4.6%) answered that their employer did not reflect the description categories provided.</w:t>
      </w:r>
    </w:p>
    <w:tbl>
      <w:tblPr>
        <w:tblW w:w="7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20"/>
        <w:gridCol w:w="960"/>
        <w:gridCol w:w="960"/>
      </w:tblGrid>
      <w:tr w:rsidR="006C17FF" w14:paraId="3166ECD3" w14:textId="77777777" w:rsidTr="00855B62">
        <w:trPr>
          <w:trHeight w:val="300"/>
        </w:trPr>
        <w:tc>
          <w:tcPr>
            <w:tcW w:w="5120" w:type="dxa"/>
            <w:shd w:val="clear" w:color="auto" w:fill="auto"/>
            <w:vAlign w:val="center"/>
          </w:tcPr>
          <w:p w14:paraId="0E041AF5" w14:textId="79B930A5" w:rsidR="006C17FF" w:rsidRDefault="00000000" w:rsidP="00855B62">
            <w:pPr>
              <w:spacing w:after="0" w:line="240" w:lineRule="auto"/>
              <w:rPr>
                <w:rFonts w:ascii="Aptos Narrow" w:eastAsia="Aptos Narrow" w:hAnsi="Aptos Narrow" w:cs="Aptos Narrow"/>
                <w:b/>
                <w:bCs/>
                <w:color w:val="272727"/>
              </w:rPr>
            </w:pPr>
            <w:sdt>
              <w:sdtPr>
                <w:tag w:val="goog_rdk_12"/>
                <w:id w:val="-738255913"/>
              </w:sdtPr>
              <w:sdtContent/>
            </w:sdt>
            <w:r w:rsidR="006C17FF" w:rsidRPr="0084086A">
              <w:rPr>
                <w:rStyle w:val="Heading3Char"/>
              </w:rPr>
              <w:t xml:space="preserve">Table </w:t>
            </w:r>
            <w:r w:rsidR="006C17FF">
              <w:rPr>
                <w:rStyle w:val="Heading3Char"/>
              </w:rPr>
              <w:t>7</w:t>
            </w:r>
            <w:r w:rsidR="006C17FF" w:rsidRPr="0084086A">
              <w:rPr>
                <w:rStyle w:val="Heading3Char"/>
              </w:rPr>
              <w:t>: Setting primary duties are carried out</w:t>
            </w:r>
          </w:p>
        </w:tc>
        <w:tc>
          <w:tcPr>
            <w:tcW w:w="960" w:type="dxa"/>
            <w:shd w:val="clear" w:color="auto" w:fill="auto"/>
            <w:vAlign w:val="bottom"/>
          </w:tcPr>
          <w:p w14:paraId="4E8AD97B"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N=62</w:t>
            </w:r>
          </w:p>
        </w:tc>
        <w:tc>
          <w:tcPr>
            <w:tcW w:w="960" w:type="dxa"/>
            <w:shd w:val="clear" w:color="auto" w:fill="auto"/>
            <w:vAlign w:val="bottom"/>
          </w:tcPr>
          <w:p w14:paraId="3FC63187"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w:t>
            </w:r>
          </w:p>
        </w:tc>
      </w:tr>
      <w:tr w:rsidR="006C17FF" w14:paraId="7F2F7A13" w14:textId="77777777" w:rsidTr="00855B62">
        <w:trPr>
          <w:trHeight w:val="300"/>
        </w:trPr>
        <w:tc>
          <w:tcPr>
            <w:tcW w:w="5120" w:type="dxa"/>
            <w:shd w:val="clear" w:color="auto" w:fill="auto"/>
            <w:vAlign w:val="center"/>
          </w:tcPr>
          <w:p w14:paraId="549819E4" w14:textId="77777777" w:rsidR="006C17FF" w:rsidRDefault="00000000" w:rsidP="00855B62">
            <w:pPr>
              <w:spacing w:after="0" w:line="240" w:lineRule="auto"/>
              <w:rPr>
                <w:rFonts w:ascii="Aptos Narrow" w:eastAsia="Aptos Narrow" w:hAnsi="Aptos Narrow" w:cs="Aptos Narrow"/>
                <w:color w:val="272727"/>
              </w:rPr>
            </w:pPr>
            <w:sdt>
              <w:sdtPr>
                <w:tag w:val="goog_rdk_13"/>
                <w:id w:val="1619804741"/>
              </w:sdtPr>
              <w:sdtContent/>
            </w:sdt>
            <w:r w:rsidR="006C17FF">
              <w:rPr>
                <w:rFonts w:ascii="Aptos Narrow" w:eastAsia="Aptos Narrow" w:hAnsi="Aptos Narrow" w:cs="Aptos Narrow"/>
                <w:color w:val="272727"/>
              </w:rPr>
              <w:t>My role is within a hospital setting</w:t>
            </w:r>
          </w:p>
        </w:tc>
        <w:tc>
          <w:tcPr>
            <w:tcW w:w="960" w:type="dxa"/>
            <w:shd w:val="clear" w:color="auto" w:fill="auto"/>
            <w:vAlign w:val="center"/>
          </w:tcPr>
          <w:p w14:paraId="6A26255B"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17</w:t>
            </w:r>
          </w:p>
        </w:tc>
        <w:tc>
          <w:tcPr>
            <w:tcW w:w="960" w:type="dxa"/>
            <w:shd w:val="clear" w:color="auto" w:fill="auto"/>
            <w:vAlign w:val="center"/>
          </w:tcPr>
          <w:p w14:paraId="5473F29E"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27.40%</w:t>
            </w:r>
          </w:p>
        </w:tc>
      </w:tr>
      <w:tr w:rsidR="006C17FF" w14:paraId="18E2920B" w14:textId="77777777" w:rsidTr="00855B62">
        <w:trPr>
          <w:trHeight w:val="300"/>
        </w:trPr>
        <w:tc>
          <w:tcPr>
            <w:tcW w:w="5120" w:type="dxa"/>
            <w:shd w:val="clear" w:color="auto" w:fill="auto"/>
            <w:vAlign w:val="center"/>
          </w:tcPr>
          <w:p w14:paraId="5B6B3392" w14:textId="77777777" w:rsidR="006C17FF" w:rsidRDefault="00000000" w:rsidP="00855B62">
            <w:pPr>
              <w:spacing w:after="0" w:line="240" w:lineRule="auto"/>
              <w:rPr>
                <w:rFonts w:ascii="Aptos Narrow" w:eastAsia="Aptos Narrow" w:hAnsi="Aptos Narrow" w:cs="Aptos Narrow"/>
                <w:color w:val="272727"/>
              </w:rPr>
            </w:pPr>
            <w:sdt>
              <w:sdtPr>
                <w:tag w:val="goog_rdk_14"/>
                <w:id w:val="-1716914426"/>
              </w:sdtPr>
              <w:sdtContent/>
            </w:sdt>
            <w:r w:rsidR="006C17FF">
              <w:rPr>
                <w:rFonts w:ascii="Aptos Narrow" w:eastAsia="Aptos Narrow" w:hAnsi="Aptos Narrow" w:cs="Aptos Narrow"/>
                <w:color w:val="272727"/>
              </w:rPr>
              <w:t>My role is within a community setting</w:t>
            </w:r>
          </w:p>
        </w:tc>
        <w:tc>
          <w:tcPr>
            <w:tcW w:w="960" w:type="dxa"/>
            <w:shd w:val="clear" w:color="auto" w:fill="auto"/>
            <w:vAlign w:val="center"/>
          </w:tcPr>
          <w:p w14:paraId="3AA64DDE"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8</w:t>
            </w:r>
          </w:p>
        </w:tc>
        <w:tc>
          <w:tcPr>
            <w:tcW w:w="960" w:type="dxa"/>
            <w:shd w:val="clear" w:color="auto" w:fill="auto"/>
            <w:vAlign w:val="center"/>
          </w:tcPr>
          <w:p w14:paraId="190611B8"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12.90%</w:t>
            </w:r>
          </w:p>
        </w:tc>
      </w:tr>
      <w:tr w:rsidR="006C17FF" w14:paraId="6E735FEE" w14:textId="77777777" w:rsidTr="00855B62">
        <w:trPr>
          <w:trHeight w:val="300"/>
        </w:trPr>
        <w:tc>
          <w:tcPr>
            <w:tcW w:w="5120" w:type="dxa"/>
            <w:shd w:val="clear" w:color="auto" w:fill="auto"/>
            <w:vAlign w:val="center"/>
          </w:tcPr>
          <w:p w14:paraId="47096D70" w14:textId="77777777" w:rsidR="006C17FF" w:rsidRDefault="00000000" w:rsidP="00855B62">
            <w:pPr>
              <w:spacing w:after="0" w:line="240" w:lineRule="auto"/>
              <w:rPr>
                <w:rFonts w:ascii="Aptos Narrow" w:eastAsia="Aptos Narrow" w:hAnsi="Aptos Narrow" w:cs="Aptos Narrow"/>
                <w:color w:val="272727"/>
              </w:rPr>
            </w:pPr>
            <w:sdt>
              <w:sdtPr>
                <w:tag w:val="goog_rdk_15"/>
                <w:id w:val="-390628803"/>
              </w:sdtPr>
              <w:sdtContent/>
            </w:sdt>
            <w:r w:rsidR="006C17FF">
              <w:rPr>
                <w:rFonts w:ascii="Aptos Narrow" w:eastAsia="Aptos Narrow" w:hAnsi="Aptos Narrow" w:cs="Aptos Narrow"/>
                <w:color w:val="272727"/>
              </w:rPr>
              <w:t>My role is within a corporate/administrative setting</w:t>
            </w:r>
          </w:p>
        </w:tc>
        <w:tc>
          <w:tcPr>
            <w:tcW w:w="960" w:type="dxa"/>
            <w:shd w:val="clear" w:color="auto" w:fill="auto"/>
            <w:vAlign w:val="center"/>
          </w:tcPr>
          <w:p w14:paraId="4FB8396E"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37</w:t>
            </w:r>
          </w:p>
        </w:tc>
        <w:tc>
          <w:tcPr>
            <w:tcW w:w="960" w:type="dxa"/>
            <w:shd w:val="clear" w:color="auto" w:fill="auto"/>
            <w:vAlign w:val="center"/>
          </w:tcPr>
          <w:p w14:paraId="697FFF55"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59.70%</w:t>
            </w:r>
          </w:p>
        </w:tc>
      </w:tr>
    </w:tbl>
    <w:p w14:paraId="5B34178F" w14:textId="77777777" w:rsidR="006C17FF" w:rsidRDefault="006C17FF" w:rsidP="006C17FF"/>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20"/>
        <w:gridCol w:w="960"/>
        <w:gridCol w:w="960"/>
        <w:gridCol w:w="1860"/>
      </w:tblGrid>
      <w:tr w:rsidR="006C17FF" w14:paraId="4074CDC5" w14:textId="77777777" w:rsidTr="00855B62">
        <w:trPr>
          <w:trHeight w:val="900"/>
        </w:trPr>
        <w:tc>
          <w:tcPr>
            <w:tcW w:w="5120" w:type="dxa"/>
            <w:shd w:val="clear" w:color="auto" w:fill="auto"/>
            <w:vAlign w:val="center"/>
          </w:tcPr>
          <w:p w14:paraId="7878AA94" w14:textId="79709276" w:rsidR="006C17FF" w:rsidRDefault="006C17FF" w:rsidP="00855B62">
            <w:pPr>
              <w:pStyle w:val="Heading3"/>
            </w:pPr>
            <w:bookmarkStart w:id="83" w:name="_Toc225937202"/>
            <w:r>
              <w:t>Table 8: Employer description</w:t>
            </w:r>
            <w:bookmarkEnd w:id="83"/>
          </w:p>
        </w:tc>
        <w:tc>
          <w:tcPr>
            <w:tcW w:w="960" w:type="dxa"/>
            <w:shd w:val="clear" w:color="auto" w:fill="auto"/>
            <w:vAlign w:val="bottom"/>
          </w:tcPr>
          <w:p w14:paraId="4834E39B"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N=65</w:t>
            </w:r>
          </w:p>
        </w:tc>
        <w:tc>
          <w:tcPr>
            <w:tcW w:w="960" w:type="dxa"/>
            <w:shd w:val="clear" w:color="auto" w:fill="auto"/>
            <w:vAlign w:val="bottom"/>
          </w:tcPr>
          <w:p w14:paraId="300C8441"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w:t>
            </w:r>
          </w:p>
        </w:tc>
        <w:tc>
          <w:tcPr>
            <w:tcW w:w="1860" w:type="dxa"/>
            <w:shd w:val="clear" w:color="auto" w:fill="auto"/>
            <w:vAlign w:val="bottom"/>
          </w:tcPr>
          <w:p w14:paraId="6B3A8E5F"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Confidence Interval (Percent of Data)</w:t>
            </w:r>
          </w:p>
        </w:tc>
      </w:tr>
      <w:tr w:rsidR="006C17FF" w14:paraId="5FE703F7" w14:textId="77777777" w:rsidTr="00855B62">
        <w:trPr>
          <w:trHeight w:val="600"/>
        </w:trPr>
        <w:tc>
          <w:tcPr>
            <w:tcW w:w="5120" w:type="dxa"/>
            <w:shd w:val="clear" w:color="auto" w:fill="auto"/>
            <w:vAlign w:val="center"/>
          </w:tcPr>
          <w:p w14:paraId="5C06D0C3"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employer provides health services (</w:t>
            </w:r>
            <w:proofErr w:type="spellStart"/>
            <w:r>
              <w:rPr>
                <w:rFonts w:ascii="Aptos Narrow" w:eastAsia="Aptos Narrow" w:hAnsi="Aptos Narrow" w:cs="Aptos Narrow"/>
                <w:color w:val="272727"/>
              </w:rPr>
              <w:t>ie</w:t>
            </w:r>
            <w:proofErr w:type="spellEnd"/>
            <w:r>
              <w:rPr>
                <w:rFonts w:ascii="Aptos Narrow" w:eastAsia="Aptos Narrow" w:hAnsi="Aptos Narrow" w:cs="Aptos Narrow"/>
                <w:color w:val="272727"/>
              </w:rPr>
              <w:t>. Community, hospital or point of care setting)</w:t>
            </w:r>
          </w:p>
        </w:tc>
        <w:tc>
          <w:tcPr>
            <w:tcW w:w="960" w:type="dxa"/>
            <w:shd w:val="clear" w:color="auto" w:fill="auto"/>
            <w:vAlign w:val="bottom"/>
          </w:tcPr>
          <w:p w14:paraId="0C83ACA6"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45</w:t>
            </w:r>
          </w:p>
        </w:tc>
        <w:tc>
          <w:tcPr>
            <w:tcW w:w="960" w:type="dxa"/>
            <w:shd w:val="clear" w:color="auto" w:fill="auto"/>
            <w:vAlign w:val="center"/>
          </w:tcPr>
          <w:p w14:paraId="32830DAF"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69.20%</w:t>
            </w:r>
          </w:p>
        </w:tc>
        <w:tc>
          <w:tcPr>
            <w:tcW w:w="1860" w:type="dxa"/>
            <w:shd w:val="clear" w:color="auto" w:fill="auto"/>
            <w:vAlign w:val="center"/>
          </w:tcPr>
          <w:p w14:paraId="68B0C0F2"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57.2% to 79.1%</w:t>
            </w:r>
          </w:p>
        </w:tc>
      </w:tr>
      <w:tr w:rsidR="006C17FF" w14:paraId="26DE06C9" w14:textId="77777777" w:rsidTr="00855B62">
        <w:trPr>
          <w:trHeight w:val="600"/>
        </w:trPr>
        <w:tc>
          <w:tcPr>
            <w:tcW w:w="5120" w:type="dxa"/>
            <w:shd w:val="clear" w:color="auto" w:fill="auto"/>
            <w:vAlign w:val="center"/>
          </w:tcPr>
          <w:p w14:paraId="3C9004D4"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employer commissions/administers health services</w:t>
            </w:r>
          </w:p>
        </w:tc>
        <w:tc>
          <w:tcPr>
            <w:tcW w:w="960" w:type="dxa"/>
            <w:shd w:val="clear" w:color="auto" w:fill="auto"/>
            <w:vAlign w:val="center"/>
          </w:tcPr>
          <w:p w14:paraId="7C161AA5"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7</w:t>
            </w:r>
          </w:p>
        </w:tc>
        <w:tc>
          <w:tcPr>
            <w:tcW w:w="960" w:type="dxa"/>
            <w:shd w:val="clear" w:color="auto" w:fill="auto"/>
            <w:vAlign w:val="center"/>
          </w:tcPr>
          <w:p w14:paraId="77091FC7"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10.80%</w:t>
            </w:r>
          </w:p>
        </w:tc>
        <w:tc>
          <w:tcPr>
            <w:tcW w:w="1860" w:type="dxa"/>
            <w:shd w:val="clear" w:color="auto" w:fill="auto"/>
            <w:vAlign w:val="center"/>
          </w:tcPr>
          <w:p w14:paraId="34150E9A"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5.3% to 20.6%</w:t>
            </w:r>
          </w:p>
        </w:tc>
      </w:tr>
      <w:tr w:rsidR="006C17FF" w14:paraId="4F458658" w14:textId="77777777" w:rsidTr="00855B62">
        <w:trPr>
          <w:trHeight w:val="600"/>
        </w:trPr>
        <w:tc>
          <w:tcPr>
            <w:tcW w:w="5120" w:type="dxa"/>
            <w:shd w:val="clear" w:color="auto" w:fill="auto"/>
            <w:vAlign w:val="center"/>
          </w:tcPr>
          <w:p w14:paraId="2EB70285"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employer funds the health care system or components within health services</w:t>
            </w:r>
          </w:p>
        </w:tc>
        <w:tc>
          <w:tcPr>
            <w:tcW w:w="960" w:type="dxa"/>
            <w:shd w:val="clear" w:color="auto" w:fill="auto"/>
            <w:vAlign w:val="center"/>
          </w:tcPr>
          <w:p w14:paraId="3DE87651"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4</w:t>
            </w:r>
          </w:p>
        </w:tc>
        <w:tc>
          <w:tcPr>
            <w:tcW w:w="960" w:type="dxa"/>
            <w:shd w:val="clear" w:color="auto" w:fill="auto"/>
            <w:vAlign w:val="center"/>
          </w:tcPr>
          <w:p w14:paraId="1A0FDEA4"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6.20%</w:t>
            </w:r>
          </w:p>
        </w:tc>
        <w:tc>
          <w:tcPr>
            <w:tcW w:w="1860" w:type="dxa"/>
            <w:shd w:val="clear" w:color="auto" w:fill="auto"/>
            <w:vAlign w:val="center"/>
          </w:tcPr>
          <w:p w14:paraId="6DDCEB8E"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2.4% to 14.8%</w:t>
            </w:r>
          </w:p>
        </w:tc>
      </w:tr>
      <w:tr w:rsidR="006C17FF" w14:paraId="26EA3A43" w14:textId="77777777" w:rsidTr="00855B62">
        <w:trPr>
          <w:trHeight w:val="600"/>
        </w:trPr>
        <w:tc>
          <w:tcPr>
            <w:tcW w:w="5120" w:type="dxa"/>
            <w:shd w:val="clear" w:color="auto" w:fill="auto"/>
            <w:vAlign w:val="center"/>
          </w:tcPr>
          <w:p w14:paraId="393FBD34"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employer is affiliated or supports health services or the health system (</w:t>
            </w:r>
            <w:proofErr w:type="spellStart"/>
            <w:r>
              <w:rPr>
                <w:rFonts w:ascii="Aptos Narrow" w:eastAsia="Aptos Narrow" w:hAnsi="Aptos Narrow" w:cs="Aptos Narrow"/>
                <w:color w:val="272727"/>
              </w:rPr>
              <w:t>ie</w:t>
            </w:r>
            <w:proofErr w:type="spellEnd"/>
            <w:r>
              <w:rPr>
                <w:rFonts w:ascii="Aptos Narrow" w:eastAsia="Aptos Narrow" w:hAnsi="Aptos Narrow" w:cs="Aptos Narrow"/>
                <w:color w:val="272727"/>
              </w:rPr>
              <w:t>. UKSA; BCCDC)</w:t>
            </w:r>
          </w:p>
        </w:tc>
        <w:tc>
          <w:tcPr>
            <w:tcW w:w="960" w:type="dxa"/>
            <w:shd w:val="clear" w:color="auto" w:fill="auto"/>
            <w:vAlign w:val="center"/>
          </w:tcPr>
          <w:p w14:paraId="5D4A488F"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5</w:t>
            </w:r>
          </w:p>
        </w:tc>
        <w:tc>
          <w:tcPr>
            <w:tcW w:w="960" w:type="dxa"/>
            <w:shd w:val="clear" w:color="auto" w:fill="auto"/>
            <w:vAlign w:val="center"/>
          </w:tcPr>
          <w:p w14:paraId="05CE7988"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7.70%</w:t>
            </w:r>
          </w:p>
        </w:tc>
        <w:tc>
          <w:tcPr>
            <w:tcW w:w="1860" w:type="dxa"/>
            <w:shd w:val="clear" w:color="auto" w:fill="auto"/>
            <w:vAlign w:val="center"/>
          </w:tcPr>
          <w:p w14:paraId="5D19193E"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3.3% to 16.8%</w:t>
            </w:r>
          </w:p>
        </w:tc>
      </w:tr>
      <w:tr w:rsidR="006C17FF" w14:paraId="68C6F746" w14:textId="77777777" w:rsidTr="00855B62">
        <w:trPr>
          <w:trHeight w:val="300"/>
        </w:trPr>
        <w:tc>
          <w:tcPr>
            <w:tcW w:w="5120" w:type="dxa"/>
            <w:shd w:val="clear" w:color="auto" w:fill="auto"/>
            <w:vAlign w:val="center"/>
          </w:tcPr>
          <w:p w14:paraId="02C9F4E9"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Local government/authority health program</w:t>
            </w:r>
          </w:p>
        </w:tc>
        <w:tc>
          <w:tcPr>
            <w:tcW w:w="960" w:type="dxa"/>
            <w:shd w:val="clear" w:color="auto" w:fill="auto"/>
            <w:vAlign w:val="center"/>
          </w:tcPr>
          <w:p w14:paraId="18C53696"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w:t>
            </w:r>
          </w:p>
        </w:tc>
        <w:tc>
          <w:tcPr>
            <w:tcW w:w="960" w:type="dxa"/>
            <w:shd w:val="clear" w:color="auto" w:fill="auto"/>
            <w:vAlign w:val="center"/>
          </w:tcPr>
          <w:p w14:paraId="60CBC4DA"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1.50%</w:t>
            </w:r>
          </w:p>
        </w:tc>
        <w:tc>
          <w:tcPr>
            <w:tcW w:w="1860" w:type="dxa"/>
            <w:shd w:val="clear" w:color="auto" w:fill="auto"/>
            <w:vAlign w:val="center"/>
          </w:tcPr>
          <w:p w14:paraId="044BBE0F"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0.3% to 8.2%</w:t>
            </w:r>
          </w:p>
        </w:tc>
      </w:tr>
      <w:tr w:rsidR="006C17FF" w14:paraId="21AAB47A" w14:textId="77777777" w:rsidTr="00855B62">
        <w:trPr>
          <w:trHeight w:val="300"/>
        </w:trPr>
        <w:tc>
          <w:tcPr>
            <w:tcW w:w="5120" w:type="dxa"/>
            <w:shd w:val="clear" w:color="auto" w:fill="auto"/>
            <w:vAlign w:val="center"/>
          </w:tcPr>
          <w:p w14:paraId="3409309E"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employer does not reflect the above</w:t>
            </w:r>
          </w:p>
        </w:tc>
        <w:tc>
          <w:tcPr>
            <w:tcW w:w="960" w:type="dxa"/>
            <w:shd w:val="clear" w:color="auto" w:fill="auto"/>
            <w:vAlign w:val="center"/>
          </w:tcPr>
          <w:p w14:paraId="5F9ADE5C"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w:t>
            </w:r>
          </w:p>
        </w:tc>
        <w:tc>
          <w:tcPr>
            <w:tcW w:w="960" w:type="dxa"/>
            <w:shd w:val="clear" w:color="auto" w:fill="auto"/>
            <w:vAlign w:val="center"/>
          </w:tcPr>
          <w:p w14:paraId="53515BC4"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4.60%</w:t>
            </w:r>
          </w:p>
        </w:tc>
        <w:tc>
          <w:tcPr>
            <w:tcW w:w="1860" w:type="dxa"/>
            <w:shd w:val="clear" w:color="auto" w:fill="auto"/>
            <w:vAlign w:val="center"/>
          </w:tcPr>
          <w:p w14:paraId="733A6111"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1.6% to 12.7%</w:t>
            </w:r>
          </w:p>
        </w:tc>
      </w:tr>
    </w:tbl>
    <w:p w14:paraId="2CDA63FE" w14:textId="77777777" w:rsidR="006C17FF" w:rsidRDefault="006C17FF" w:rsidP="006C17FF"/>
    <w:p w14:paraId="513ADF8A" w14:textId="6B464772" w:rsidR="006C17FF" w:rsidRDefault="006C17FF" w:rsidP="006C17FF">
      <w:pPr>
        <w:spacing w:line="480" w:lineRule="auto"/>
      </w:pPr>
      <w:r>
        <w:t>When asked about</w:t>
      </w:r>
      <w:sdt>
        <w:sdtPr>
          <w:tag w:val="goog_rdk_73"/>
          <w:id w:val="1226881692"/>
        </w:sdtPr>
        <w:sdtContent>
          <w:r>
            <w:t xml:space="preserve"> the</w:t>
          </w:r>
        </w:sdtContent>
      </w:sdt>
      <w:r>
        <w:t xml:space="preserve"> highest level of education </w:t>
      </w:r>
      <w:sdt>
        <w:sdtPr>
          <w:tag w:val="goog_rdk_74"/>
          <w:id w:val="52156471"/>
        </w:sdtPr>
        <w:sdtContent>
          <w:r>
            <w:t xml:space="preserve">that they had attained </w:t>
          </w:r>
        </w:sdtContent>
      </w:sdt>
      <w:r>
        <w:t>(</w:t>
      </w:r>
      <w:r w:rsidRPr="00FD1774">
        <w:t>Table</w:t>
      </w:r>
      <w:sdt>
        <w:sdtPr>
          <w:tag w:val="goog_rdk_75"/>
          <w:id w:val="-1322914750"/>
        </w:sdtPr>
        <w:sdtContent>
          <w:r w:rsidRPr="00FD1774">
            <w:t xml:space="preserve"> </w:t>
          </w:r>
          <w:r w:rsidR="00FD1774" w:rsidRPr="00FD1774">
            <w:t>9</w:t>
          </w:r>
        </w:sdtContent>
      </w:sdt>
      <w:sdt>
        <w:sdtPr>
          <w:tag w:val="goog_rdk_76"/>
          <w:id w:val="-1619607338"/>
        </w:sdtPr>
        <w:sdtContent>
          <w:r w:rsidRPr="00FD1774">
            <w:t>)</w:t>
          </w:r>
        </w:sdtContent>
      </w:sdt>
      <w:r>
        <w:t>, the majority of the 66 respondents had achieved master’s degrees (56.10%), with 15 completing a bachelor’s degree, 9 a doctoral or professional degree, 4 an associate degree or college level diploma, and 1 having a high school diploma or equivalent. The level of seniority varied across 66 responses (Table</w:t>
      </w:r>
      <w:sdt>
        <w:sdtPr>
          <w:tag w:val="goog_rdk_77"/>
          <w:id w:val="512764465"/>
        </w:sdtPr>
        <w:sdtContent>
          <w:r w:rsidRPr="003A2FDA">
            <w:rPr>
              <w:highlight w:val="yellow"/>
            </w:rPr>
            <w:t xml:space="preserve"> </w:t>
          </w:r>
          <w:r w:rsidR="00FD1774">
            <w:t>10</w:t>
          </w:r>
        </w:sdtContent>
      </w:sdt>
      <w:r>
        <w:t xml:space="preserve">). Over half (56.1%) were </w:t>
      </w:r>
      <w:sdt>
        <w:sdtPr>
          <w:tag w:val="goog_rdk_78"/>
          <w:id w:val="-1655868731"/>
        </w:sdtPr>
        <w:sdtContent>
          <w:r>
            <w:t xml:space="preserve">working </w:t>
          </w:r>
        </w:sdtContent>
      </w:sdt>
      <w:r>
        <w:t xml:space="preserve">at a managerial level </w:t>
      </w:r>
      <w:sdt>
        <w:sdtPr>
          <w:tag w:val="goog_rdk_79"/>
          <w:id w:val="548981392"/>
        </w:sdtPr>
        <w:sdtContent>
          <w:r>
            <w:t>and</w:t>
          </w:r>
        </w:sdtContent>
      </w:sdt>
      <w:r>
        <w:t xml:space="preserve"> 19.7% at a director or program administrator level. Ten (1</w:t>
      </w:r>
      <w:sdt>
        <w:sdtPr>
          <w:tag w:val="goog_rdk_81"/>
          <w:id w:val="-1846599553"/>
        </w:sdtPr>
        <w:sdtContent>
          <w:r>
            <w:t>5.2%</w:t>
          </w:r>
        </w:sdtContent>
      </w:sdt>
      <w:r>
        <w:t xml:space="preserve">) respondents were below a managerial level, 2 </w:t>
      </w:r>
      <w:sdt>
        <w:sdtPr>
          <w:tag w:val="goog_rdk_83"/>
          <w:id w:val="1028205209"/>
        </w:sdtPr>
        <w:sdtContent>
          <w:r>
            <w:t xml:space="preserve">(3.0%) </w:t>
          </w:r>
        </w:sdtContent>
      </w:sdt>
      <w:r>
        <w:t xml:space="preserve">indicated they were at the executive, organizational or trust administrator level and 4 </w:t>
      </w:r>
      <w:sdt>
        <w:sdtPr>
          <w:tag w:val="goog_rdk_84"/>
          <w:id w:val="675662948"/>
        </w:sdtPr>
        <w:sdtContent>
          <w:r>
            <w:t xml:space="preserve">(6.1%) </w:t>
          </w:r>
        </w:sdtContent>
      </w:sdt>
      <w:r>
        <w:t xml:space="preserve">responded to the ‘other’ category. </w:t>
      </w: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780"/>
        <w:gridCol w:w="960"/>
        <w:gridCol w:w="960"/>
        <w:gridCol w:w="1920"/>
      </w:tblGrid>
      <w:tr w:rsidR="006C17FF" w14:paraId="3C822BD1" w14:textId="77777777" w:rsidTr="00855B62">
        <w:trPr>
          <w:trHeight w:val="900"/>
        </w:trPr>
        <w:tc>
          <w:tcPr>
            <w:tcW w:w="4780" w:type="dxa"/>
            <w:shd w:val="clear" w:color="auto" w:fill="auto"/>
            <w:vAlign w:val="bottom"/>
          </w:tcPr>
          <w:p w14:paraId="5A9E89EC" w14:textId="62CF6227" w:rsidR="006C17FF" w:rsidRDefault="006C17FF" w:rsidP="00855B62">
            <w:pPr>
              <w:pStyle w:val="Heading3"/>
            </w:pPr>
            <w:bookmarkStart w:id="84" w:name="_Toc225937203"/>
            <w:r>
              <w:lastRenderedPageBreak/>
              <w:t>Table 9: Highest completed level of education</w:t>
            </w:r>
            <w:bookmarkEnd w:id="84"/>
          </w:p>
        </w:tc>
        <w:tc>
          <w:tcPr>
            <w:tcW w:w="960" w:type="dxa"/>
            <w:shd w:val="clear" w:color="auto" w:fill="auto"/>
            <w:vAlign w:val="bottom"/>
          </w:tcPr>
          <w:p w14:paraId="0F1E05F1"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N=66</w:t>
            </w:r>
          </w:p>
        </w:tc>
        <w:tc>
          <w:tcPr>
            <w:tcW w:w="960" w:type="dxa"/>
            <w:shd w:val="clear" w:color="auto" w:fill="auto"/>
            <w:vAlign w:val="bottom"/>
          </w:tcPr>
          <w:p w14:paraId="0DD6B4E9"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w:t>
            </w:r>
          </w:p>
        </w:tc>
        <w:tc>
          <w:tcPr>
            <w:tcW w:w="1920" w:type="dxa"/>
            <w:shd w:val="clear" w:color="auto" w:fill="auto"/>
            <w:vAlign w:val="bottom"/>
          </w:tcPr>
          <w:p w14:paraId="00E717A1"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Confidence Interval (Percent of Data)</w:t>
            </w:r>
          </w:p>
        </w:tc>
      </w:tr>
      <w:tr w:rsidR="006C17FF" w14:paraId="3715C8C7" w14:textId="77777777" w:rsidTr="00855B62">
        <w:trPr>
          <w:trHeight w:val="600"/>
        </w:trPr>
        <w:tc>
          <w:tcPr>
            <w:tcW w:w="4780" w:type="dxa"/>
            <w:shd w:val="clear" w:color="auto" w:fill="auto"/>
            <w:vAlign w:val="center"/>
          </w:tcPr>
          <w:p w14:paraId="68D7D0D5"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High school diploma or equivalent</w:t>
            </w:r>
          </w:p>
        </w:tc>
        <w:tc>
          <w:tcPr>
            <w:tcW w:w="960" w:type="dxa"/>
            <w:shd w:val="clear" w:color="auto" w:fill="auto"/>
            <w:vAlign w:val="bottom"/>
          </w:tcPr>
          <w:p w14:paraId="3A7373DD"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1</w:t>
            </w:r>
          </w:p>
        </w:tc>
        <w:tc>
          <w:tcPr>
            <w:tcW w:w="960" w:type="dxa"/>
            <w:shd w:val="clear" w:color="auto" w:fill="auto"/>
            <w:vAlign w:val="bottom"/>
          </w:tcPr>
          <w:p w14:paraId="7A30C21E"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1.50%</w:t>
            </w:r>
          </w:p>
        </w:tc>
        <w:tc>
          <w:tcPr>
            <w:tcW w:w="1920" w:type="dxa"/>
            <w:shd w:val="clear" w:color="auto" w:fill="auto"/>
            <w:vAlign w:val="center"/>
          </w:tcPr>
          <w:p w14:paraId="3B93FB20"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0.3% to 8.1%</w:t>
            </w:r>
          </w:p>
        </w:tc>
      </w:tr>
      <w:tr w:rsidR="006C17FF" w14:paraId="662A45C4" w14:textId="77777777" w:rsidTr="00855B62">
        <w:trPr>
          <w:trHeight w:val="600"/>
        </w:trPr>
        <w:tc>
          <w:tcPr>
            <w:tcW w:w="4780" w:type="dxa"/>
            <w:shd w:val="clear" w:color="auto" w:fill="auto"/>
            <w:vAlign w:val="center"/>
          </w:tcPr>
          <w:p w14:paraId="59C43F13"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Associate degree or college level diploma</w:t>
            </w:r>
          </w:p>
        </w:tc>
        <w:tc>
          <w:tcPr>
            <w:tcW w:w="960" w:type="dxa"/>
            <w:shd w:val="clear" w:color="auto" w:fill="auto"/>
            <w:vAlign w:val="bottom"/>
          </w:tcPr>
          <w:p w14:paraId="58B4B25D"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4</w:t>
            </w:r>
          </w:p>
        </w:tc>
        <w:tc>
          <w:tcPr>
            <w:tcW w:w="960" w:type="dxa"/>
            <w:shd w:val="clear" w:color="auto" w:fill="auto"/>
            <w:vAlign w:val="bottom"/>
          </w:tcPr>
          <w:p w14:paraId="272B7A4B"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6.10%</w:t>
            </w:r>
          </w:p>
        </w:tc>
        <w:tc>
          <w:tcPr>
            <w:tcW w:w="1920" w:type="dxa"/>
            <w:shd w:val="clear" w:color="auto" w:fill="auto"/>
            <w:vAlign w:val="center"/>
          </w:tcPr>
          <w:p w14:paraId="49FF6749"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2.4% to 14.6%</w:t>
            </w:r>
          </w:p>
        </w:tc>
      </w:tr>
      <w:tr w:rsidR="006C17FF" w14:paraId="01A227D7" w14:textId="77777777" w:rsidTr="00855B62">
        <w:trPr>
          <w:trHeight w:val="600"/>
        </w:trPr>
        <w:tc>
          <w:tcPr>
            <w:tcW w:w="4780" w:type="dxa"/>
            <w:shd w:val="clear" w:color="auto" w:fill="auto"/>
            <w:vAlign w:val="center"/>
          </w:tcPr>
          <w:p w14:paraId="7EC35FC5"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Bachelor’s degree</w:t>
            </w:r>
          </w:p>
        </w:tc>
        <w:tc>
          <w:tcPr>
            <w:tcW w:w="960" w:type="dxa"/>
            <w:shd w:val="clear" w:color="auto" w:fill="auto"/>
            <w:vAlign w:val="bottom"/>
          </w:tcPr>
          <w:p w14:paraId="283DF42A"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15</w:t>
            </w:r>
          </w:p>
        </w:tc>
        <w:tc>
          <w:tcPr>
            <w:tcW w:w="960" w:type="dxa"/>
            <w:shd w:val="clear" w:color="auto" w:fill="auto"/>
            <w:vAlign w:val="bottom"/>
          </w:tcPr>
          <w:p w14:paraId="6BCCC2CD"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22.70%</w:t>
            </w:r>
          </w:p>
        </w:tc>
        <w:tc>
          <w:tcPr>
            <w:tcW w:w="1920" w:type="dxa"/>
            <w:shd w:val="clear" w:color="auto" w:fill="auto"/>
            <w:vAlign w:val="center"/>
          </w:tcPr>
          <w:p w14:paraId="295A209E"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14.3% to 34.2%</w:t>
            </w:r>
          </w:p>
        </w:tc>
      </w:tr>
      <w:tr w:rsidR="006C17FF" w14:paraId="49087500" w14:textId="77777777" w:rsidTr="00855B62">
        <w:trPr>
          <w:trHeight w:val="600"/>
        </w:trPr>
        <w:tc>
          <w:tcPr>
            <w:tcW w:w="4780" w:type="dxa"/>
            <w:tcBorders>
              <w:bottom w:val="single" w:sz="4" w:space="0" w:color="auto"/>
            </w:tcBorders>
            <w:shd w:val="clear" w:color="auto" w:fill="auto"/>
            <w:vAlign w:val="center"/>
          </w:tcPr>
          <w:p w14:paraId="44DF1FCC"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Master’s degree</w:t>
            </w:r>
          </w:p>
        </w:tc>
        <w:tc>
          <w:tcPr>
            <w:tcW w:w="960" w:type="dxa"/>
            <w:tcBorders>
              <w:bottom w:val="single" w:sz="4" w:space="0" w:color="auto"/>
            </w:tcBorders>
            <w:shd w:val="clear" w:color="auto" w:fill="auto"/>
            <w:vAlign w:val="bottom"/>
          </w:tcPr>
          <w:p w14:paraId="3ED3B3E5"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37</w:t>
            </w:r>
          </w:p>
        </w:tc>
        <w:tc>
          <w:tcPr>
            <w:tcW w:w="960" w:type="dxa"/>
            <w:tcBorders>
              <w:bottom w:val="single" w:sz="4" w:space="0" w:color="auto"/>
            </w:tcBorders>
            <w:shd w:val="clear" w:color="auto" w:fill="auto"/>
            <w:vAlign w:val="bottom"/>
          </w:tcPr>
          <w:p w14:paraId="5AA934E0"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56.10%</w:t>
            </w:r>
          </w:p>
        </w:tc>
        <w:tc>
          <w:tcPr>
            <w:tcW w:w="1920" w:type="dxa"/>
            <w:tcBorders>
              <w:bottom w:val="single" w:sz="4" w:space="0" w:color="auto"/>
            </w:tcBorders>
            <w:shd w:val="clear" w:color="auto" w:fill="auto"/>
            <w:vAlign w:val="center"/>
          </w:tcPr>
          <w:p w14:paraId="285E69AA"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44.1% to 67.4%</w:t>
            </w:r>
          </w:p>
        </w:tc>
      </w:tr>
      <w:tr w:rsidR="006C17FF" w14:paraId="70956B23" w14:textId="77777777" w:rsidTr="00855B62">
        <w:trPr>
          <w:trHeight w:val="300"/>
        </w:trPr>
        <w:tc>
          <w:tcPr>
            <w:tcW w:w="4780" w:type="dxa"/>
            <w:tcBorders>
              <w:bottom w:val="single" w:sz="4" w:space="0" w:color="auto"/>
            </w:tcBorders>
            <w:shd w:val="clear" w:color="auto" w:fill="auto"/>
            <w:vAlign w:val="center"/>
          </w:tcPr>
          <w:p w14:paraId="647D5D76"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Doctoral or professional degree</w:t>
            </w:r>
          </w:p>
        </w:tc>
        <w:tc>
          <w:tcPr>
            <w:tcW w:w="960" w:type="dxa"/>
            <w:tcBorders>
              <w:bottom w:val="single" w:sz="4" w:space="0" w:color="auto"/>
            </w:tcBorders>
            <w:shd w:val="clear" w:color="auto" w:fill="auto"/>
            <w:vAlign w:val="bottom"/>
          </w:tcPr>
          <w:p w14:paraId="38775740"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9</w:t>
            </w:r>
          </w:p>
        </w:tc>
        <w:tc>
          <w:tcPr>
            <w:tcW w:w="960" w:type="dxa"/>
            <w:tcBorders>
              <w:bottom w:val="single" w:sz="4" w:space="0" w:color="auto"/>
            </w:tcBorders>
            <w:shd w:val="clear" w:color="auto" w:fill="auto"/>
            <w:vAlign w:val="bottom"/>
          </w:tcPr>
          <w:p w14:paraId="555B14DB"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13.60%</w:t>
            </w:r>
          </w:p>
        </w:tc>
        <w:tc>
          <w:tcPr>
            <w:tcW w:w="1920" w:type="dxa"/>
            <w:tcBorders>
              <w:bottom w:val="single" w:sz="4" w:space="0" w:color="auto"/>
            </w:tcBorders>
            <w:shd w:val="clear" w:color="auto" w:fill="auto"/>
            <w:vAlign w:val="center"/>
          </w:tcPr>
          <w:p w14:paraId="223BF0E6"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7.3% to 23.9%</w:t>
            </w:r>
          </w:p>
        </w:tc>
      </w:tr>
      <w:tr w:rsidR="006C17FF" w14:paraId="4BD89A83" w14:textId="77777777" w:rsidTr="00855B62">
        <w:trPr>
          <w:trHeight w:val="300"/>
        </w:trPr>
        <w:tc>
          <w:tcPr>
            <w:tcW w:w="4780" w:type="dxa"/>
            <w:tcBorders>
              <w:top w:val="single" w:sz="4" w:space="0" w:color="auto"/>
              <w:left w:val="nil"/>
              <w:bottom w:val="single" w:sz="4" w:space="0" w:color="auto"/>
              <w:right w:val="nil"/>
            </w:tcBorders>
            <w:shd w:val="clear" w:color="auto" w:fill="auto"/>
            <w:vAlign w:val="center"/>
          </w:tcPr>
          <w:p w14:paraId="2F3C17C6" w14:textId="77777777" w:rsidR="006C17FF" w:rsidRDefault="006C17FF" w:rsidP="00855B62">
            <w:pPr>
              <w:spacing w:after="0" w:line="240" w:lineRule="auto"/>
              <w:rPr>
                <w:rFonts w:ascii="Aptos Narrow" w:eastAsia="Aptos Narrow" w:hAnsi="Aptos Narrow" w:cs="Aptos Narrow"/>
                <w:color w:val="272727"/>
              </w:rPr>
            </w:pPr>
          </w:p>
          <w:p w14:paraId="2F68DCB9" w14:textId="77777777" w:rsidR="006C17FF" w:rsidRDefault="006C17FF" w:rsidP="00855B62">
            <w:pPr>
              <w:spacing w:after="0" w:line="240" w:lineRule="auto"/>
              <w:rPr>
                <w:rFonts w:ascii="Aptos Narrow" w:eastAsia="Aptos Narrow" w:hAnsi="Aptos Narrow" w:cs="Aptos Narrow"/>
                <w:color w:val="272727"/>
              </w:rPr>
            </w:pPr>
          </w:p>
          <w:p w14:paraId="64E87E38" w14:textId="77777777" w:rsidR="006C17FF" w:rsidRDefault="006C17FF" w:rsidP="00855B62">
            <w:pPr>
              <w:spacing w:after="0" w:line="240" w:lineRule="auto"/>
              <w:rPr>
                <w:rFonts w:ascii="Aptos Narrow" w:eastAsia="Aptos Narrow" w:hAnsi="Aptos Narrow" w:cs="Aptos Narrow"/>
                <w:color w:val="272727"/>
              </w:rPr>
            </w:pPr>
          </w:p>
        </w:tc>
        <w:tc>
          <w:tcPr>
            <w:tcW w:w="960" w:type="dxa"/>
            <w:tcBorders>
              <w:top w:val="single" w:sz="4" w:space="0" w:color="auto"/>
              <w:left w:val="nil"/>
              <w:bottom w:val="single" w:sz="4" w:space="0" w:color="auto"/>
              <w:right w:val="nil"/>
            </w:tcBorders>
            <w:shd w:val="clear" w:color="auto" w:fill="auto"/>
            <w:vAlign w:val="bottom"/>
          </w:tcPr>
          <w:p w14:paraId="463F2274" w14:textId="77777777" w:rsidR="006C17FF" w:rsidRDefault="006C17FF" w:rsidP="00855B62">
            <w:pPr>
              <w:spacing w:after="0" w:line="240" w:lineRule="auto"/>
              <w:jc w:val="right"/>
              <w:rPr>
                <w:rFonts w:ascii="Aptos Narrow" w:eastAsia="Aptos Narrow" w:hAnsi="Aptos Narrow" w:cs="Aptos Narrow"/>
                <w:color w:val="000000"/>
              </w:rPr>
            </w:pPr>
          </w:p>
        </w:tc>
        <w:tc>
          <w:tcPr>
            <w:tcW w:w="960" w:type="dxa"/>
            <w:tcBorders>
              <w:top w:val="single" w:sz="4" w:space="0" w:color="auto"/>
              <w:left w:val="nil"/>
              <w:bottom w:val="single" w:sz="4" w:space="0" w:color="auto"/>
              <w:right w:val="nil"/>
            </w:tcBorders>
            <w:shd w:val="clear" w:color="auto" w:fill="auto"/>
            <w:vAlign w:val="bottom"/>
          </w:tcPr>
          <w:p w14:paraId="7F199C7F" w14:textId="77777777" w:rsidR="006C17FF" w:rsidRDefault="006C17FF" w:rsidP="00855B62">
            <w:pPr>
              <w:spacing w:after="0" w:line="240" w:lineRule="auto"/>
              <w:jc w:val="right"/>
              <w:rPr>
                <w:rFonts w:ascii="Aptos Narrow" w:eastAsia="Aptos Narrow" w:hAnsi="Aptos Narrow" w:cs="Aptos Narrow"/>
                <w:color w:val="000000"/>
              </w:rPr>
            </w:pPr>
          </w:p>
        </w:tc>
        <w:tc>
          <w:tcPr>
            <w:tcW w:w="1920" w:type="dxa"/>
            <w:tcBorders>
              <w:top w:val="single" w:sz="4" w:space="0" w:color="auto"/>
              <w:left w:val="nil"/>
              <w:bottom w:val="single" w:sz="4" w:space="0" w:color="auto"/>
              <w:right w:val="nil"/>
            </w:tcBorders>
            <w:shd w:val="clear" w:color="auto" w:fill="auto"/>
            <w:vAlign w:val="center"/>
          </w:tcPr>
          <w:p w14:paraId="1495A49B" w14:textId="77777777" w:rsidR="006C17FF" w:rsidRDefault="006C17FF" w:rsidP="00855B62">
            <w:pPr>
              <w:spacing w:after="0" w:line="240" w:lineRule="auto"/>
              <w:rPr>
                <w:rFonts w:ascii="Calibri" w:eastAsia="Calibri" w:hAnsi="Calibri" w:cs="Calibri"/>
                <w:color w:val="000000"/>
              </w:rPr>
            </w:pPr>
          </w:p>
        </w:tc>
      </w:tr>
      <w:tr w:rsidR="006C17FF" w14:paraId="278BF737" w14:textId="77777777" w:rsidTr="00855B62">
        <w:trPr>
          <w:trHeight w:val="600"/>
        </w:trPr>
        <w:tc>
          <w:tcPr>
            <w:tcW w:w="4780" w:type="dxa"/>
            <w:tcBorders>
              <w:top w:val="single" w:sz="4" w:space="0" w:color="auto"/>
            </w:tcBorders>
            <w:shd w:val="clear" w:color="auto" w:fill="auto"/>
            <w:vAlign w:val="center"/>
          </w:tcPr>
          <w:p w14:paraId="4FAC6303" w14:textId="69E213CE" w:rsidR="006C17FF" w:rsidRDefault="006C17FF" w:rsidP="00855B62">
            <w:pPr>
              <w:pStyle w:val="Heading3"/>
            </w:pPr>
            <w:bookmarkStart w:id="85" w:name="_Toc225937204"/>
            <w:r>
              <w:t>Table 10: Level of seniority</w:t>
            </w:r>
            <w:bookmarkEnd w:id="85"/>
          </w:p>
        </w:tc>
        <w:tc>
          <w:tcPr>
            <w:tcW w:w="960" w:type="dxa"/>
            <w:tcBorders>
              <w:top w:val="single" w:sz="4" w:space="0" w:color="auto"/>
            </w:tcBorders>
            <w:shd w:val="clear" w:color="auto" w:fill="auto"/>
            <w:vAlign w:val="bottom"/>
          </w:tcPr>
          <w:p w14:paraId="235F589C"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N=66</w:t>
            </w:r>
          </w:p>
        </w:tc>
        <w:tc>
          <w:tcPr>
            <w:tcW w:w="960" w:type="dxa"/>
            <w:tcBorders>
              <w:top w:val="single" w:sz="4" w:space="0" w:color="auto"/>
            </w:tcBorders>
            <w:shd w:val="clear" w:color="auto" w:fill="auto"/>
            <w:vAlign w:val="bottom"/>
          </w:tcPr>
          <w:p w14:paraId="1BD72F71"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w:t>
            </w:r>
          </w:p>
        </w:tc>
        <w:tc>
          <w:tcPr>
            <w:tcW w:w="1920" w:type="dxa"/>
            <w:tcBorders>
              <w:top w:val="single" w:sz="4" w:space="0" w:color="auto"/>
            </w:tcBorders>
            <w:shd w:val="clear" w:color="auto" w:fill="auto"/>
            <w:vAlign w:val="bottom"/>
          </w:tcPr>
          <w:p w14:paraId="2943C291"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Confidence Interval (Percent of Data)</w:t>
            </w:r>
          </w:p>
        </w:tc>
      </w:tr>
      <w:tr w:rsidR="006C17FF" w14:paraId="422B0D4E" w14:textId="77777777" w:rsidTr="00855B62">
        <w:trPr>
          <w:trHeight w:val="300"/>
        </w:trPr>
        <w:tc>
          <w:tcPr>
            <w:tcW w:w="4780" w:type="dxa"/>
            <w:shd w:val="clear" w:color="auto" w:fill="auto"/>
            <w:vAlign w:val="center"/>
          </w:tcPr>
          <w:p w14:paraId="3F97B7D8"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Below managerial level</w:t>
            </w:r>
          </w:p>
        </w:tc>
        <w:tc>
          <w:tcPr>
            <w:tcW w:w="960" w:type="dxa"/>
            <w:shd w:val="clear" w:color="auto" w:fill="auto"/>
            <w:vAlign w:val="center"/>
          </w:tcPr>
          <w:p w14:paraId="3A74C285"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10</w:t>
            </w:r>
          </w:p>
        </w:tc>
        <w:tc>
          <w:tcPr>
            <w:tcW w:w="960" w:type="dxa"/>
            <w:shd w:val="clear" w:color="auto" w:fill="auto"/>
            <w:vAlign w:val="center"/>
          </w:tcPr>
          <w:p w14:paraId="2C57351F"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15.20%</w:t>
            </w:r>
          </w:p>
        </w:tc>
        <w:tc>
          <w:tcPr>
            <w:tcW w:w="1920" w:type="dxa"/>
            <w:shd w:val="clear" w:color="auto" w:fill="auto"/>
            <w:vAlign w:val="center"/>
          </w:tcPr>
          <w:p w14:paraId="289DA0B5"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8.4% to 25.7%</w:t>
            </w:r>
          </w:p>
        </w:tc>
      </w:tr>
      <w:tr w:rsidR="006C17FF" w14:paraId="61DB6A11" w14:textId="77777777" w:rsidTr="00855B62">
        <w:trPr>
          <w:trHeight w:val="285"/>
        </w:trPr>
        <w:tc>
          <w:tcPr>
            <w:tcW w:w="4780" w:type="dxa"/>
            <w:shd w:val="clear" w:color="auto" w:fill="auto"/>
            <w:vAlign w:val="center"/>
          </w:tcPr>
          <w:p w14:paraId="08AA431B"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Managerial level</w:t>
            </w:r>
          </w:p>
        </w:tc>
        <w:tc>
          <w:tcPr>
            <w:tcW w:w="960" w:type="dxa"/>
            <w:shd w:val="clear" w:color="auto" w:fill="auto"/>
            <w:vAlign w:val="center"/>
          </w:tcPr>
          <w:p w14:paraId="06DD0727"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37</w:t>
            </w:r>
          </w:p>
        </w:tc>
        <w:tc>
          <w:tcPr>
            <w:tcW w:w="960" w:type="dxa"/>
            <w:shd w:val="clear" w:color="auto" w:fill="auto"/>
            <w:vAlign w:val="center"/>
          </w:tcPr>
          <w:p w14:paraId="68681A50"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56.10%</w:t>
            </w:r>
          </w:p>
        </w:tc>
        <w:tc>
          <w:tcPr>
            <w:tcW w:w="1920" w:type="dxa"/>
            <w:shd w:val="clear" w:color="auto" w:fill="auto"/>
            <w:vAlign w:val="center"/>
          </w:tcPr>
          <w:p w14:paraId="7CC66346"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44.1% to 67.4%</w:t>
            </w:r>
          </w:p>
        </w:tc>
      </w:tr>
      <w:tr w:rsidR="006C17FF" w14:paraId="3438BBE9" w14:textId="77777777" w:rsidTr="00855B62">
        <w:trPr>
          <w:trHeight w:val="300"/>
        </w:trPr>
        <w:tc>
          <w:tcPr>
            <w:tcW w:w="4780" w:type="dxa"/>
            <w:shd w:val="clear" w:color="auto" w:fill="auto"/>
            <w:vAlign w:val="center"/>
          </w:tcPr>
          <w:p w14:paraId="3980EEE9"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Director or program administrator level</w:t>
            </w:r>
          </w:p>
        </w:tc>
        <w:tc>
          <w:tcPr>
            <w:tcW w:w="960" w:type="dxa"/>
            <w:shd w:val="clear" w:color="auto" w:fill="auto"/>
            <w:vAlign w:val="center"/>
          </w:tcPr>
          <w:p w14:paraId="225A273B"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13</w:t>
            </w:r>
          </w:p>
        </w:tc>
        <w:tc>
          <w:tcPr>
            <w:tcW w:w="960" w:type="dxa"/>
            <w:shd w:val="clear" w:color="auto" w:fill="auto"/>
            <w:vAlign w:val="center"/>
          </w:tcPr>
          <w:p w14:paraId="779FB9F4"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19.70%</w:t>
            </w:r>
          </w:p>
        </w:tc>
        <w:tc>
          <w:tcPr>
            <w:tcW w:w="1920" w:type="dxa"/>
            <w:shd w:val="clear" w:color="auto" w:fill="auto"/>
            <w:vAlign w:val="center"/>
          </w:tcPr>
          <w:p w14:paraId="45ADB655"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11.9% to 30.8%</w:t>
            </w:r>
          </w:p>
        </w:tc>
      </w:tr>
      <w:tr w:rsidR="006C17FF" w14:paraId="7C44C433" w14:textId="77777777" w:rsidTr="00855B62">
        <w:trPr>
          <w:trHeight w:val="600"/>
        </w:trPr>
        <w:tc>
          <w:tcPr>
            <w:tcW w:w="4780" w:type="dxa"/>
            <w:shd w:val="clear" w:color="auto" w:fill="auto"/>
            <w:vAlign w:val="center"/>
          </w:tcPr>
          <w:p w14:paraId="7F8DBC19"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Executive, organizational or trust administrator level</w:t>
            </w:r>
          </w:p>
        </w:tc>
        <w:tc>
          <w:tcPr>
            <w:tcW w:w="960" w:type="dxa"/>
            <w:shd w:val="clear" w:color="auto" w:fill="auto"/>
            <w:vAlign w:val="center"/>
          </w:tcPr>
          <w:p w14:paraId="7B75FED8"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2</w:t>
            </w:r>
          </w:p>
        </w:tc>
        <w:tc>
          <w:tcPr>
            <w:tcW w:w="960" w:type="dxa"/>
            <w:shd w:val="clear" w:color="auto" w:fill="auto"/>
            <w:vAlign w:val="center"/>
          </w:tcPr>
          <w:p w14:paraId="78BE96BB"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3.00%</w:t>
            </w:r>
          </w:p>
        </w:tc>
        <w:tc>
          <w:tcPr>
            <w:tcW w:w="1920" w:type="dxa"/>
            <w:shd w:val="clear" w:color="auto" w:fill="auto"/>
            <w:vAlign w:val="center"/>
          </w:tcPr>
          <w:p w14:paraId="42A98449"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0.8% to 10.4%</w:t>
            </w:r>
          </w:p>
        </w:tc>
      </w:tr>
      <w:tr w:rsidR="006C17FF" w14:paraId="20C28CC6" w14:textId="77777777" w:rsidTr="00855B62">
        <w:trPr>
          <w:trHeight w:val="300"/>
        </w:trPr>
        <w:tc>
          <w:tcPr>
            <w:tcW w:w="4780" w:type="dxa"/>
            <w:shd w:val="clear" w:color="auto" w:fill="auto"/>
            <w:vAlign w:val="center"/>
          </w:tcPr>
          <w:p w14:paraId="7527D701"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Other</w:t>
            </w:r>
          </w:p>
        </w:tc>
        <w:tc>
          <w:tcPr>
            <w:tcW w:w="960" w:type="dxa"/>
            <w:shd w:val="clear" w:color="auto" w:fill="auto"/>
            <w:vAlign w:val="center"/>
          </w:tcPr>
          <w:p w14:paraId="14703295"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4</w:t>
            </w:r>
          </w:p>
        </w:tc>
        <w:tc>
          <w:tcPr>
            <w:tcW w:w="960" w:type="dxa"/>
            <w:shd w:val="clear" w:color="auto" w:fill="auto"/>
            <w:vAlign w:val="center"/>
          </w:tcPr>
          <w:p w14:paraId="2F51434A"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6.10%</w:t>
            </w:r>
          </w:p>
        </w:tc>
        <w:tc>
          <w:tcPr>
            <w:tcW w:w="1920" w:type="dxa"/>
            <w:shd w:val="clear" w:color="auto" w:fill="auto"/>
            <w:vAlign w:val="center"/>
          </w:tcPr>
          <w:p w14:paraId="5B8F3A75"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2.4% to 14.6%</w:t>
            </w:r>
          </w:p>
        </w:tc>
      </w:tr>
    </w:tbl>
    <w:p w14:paraId="629F3B7B" w14:textId="77777777" w:rsidR="006C17FF" w:rsidRDefault="006C17FF" w:rsidP="006C17FF"/>
    <w:p w14:paraId="11B9B654" w14:textId="77777777" w:rsidR="006C17FF" w:rsidRDefault="006C17FF" w:rsidP="006C17FF">
      <w:pPr>
        <w:spacing w:line="480" w:lineRule="auto"/>
      </w:pPr>
      <w:r>
        <w:t>Responses to the survey question on primary role/responsibilities was also quite varied amongst respondents (n=66). This question allowed multiple selections to be made. The category ‘other type of responsibility’ was the most frequently selected (30</w:t>
      </w:r>
      <w:sdt>
        <w:sdtPr>
          <w:tag w:val="goog_rdk_85"/>
          <w:id w:val="388951599"/>
        </w:sdtPr>
        <w:sdtContent>
          <w:r>
            <w:t>; 45.5%</w:t>
          </w:r>
        </w:sdtContent>
      </w:sdt>
      <w:r>
        <w:t xml:space="preserve">) with ‘program or service leadership of direct patient care resources’ at 26 </w:t>
      </w:r>
      <w:sdt>
        <w:sdtPr>
          <w:tag w:val="goog_rdk_86"/>
          <w:id w:val="-2067658923"/>
        </w:sdtPr>
        <w:sdtContent>
          <w:r>
            <w:t xml:space="preserve">(39.4%) </w:t>
          </w:r>
        </w:sdtContent>
      </w:sdt>
      <w:r>
        <w:t>responses. Sixteen</w:t>
      </w:r>
      <w:sdt>
        <w:sdtPr>
          <w:tag w:val="goog_rdk_87"/>
          <w:id w:val="1343867665"/>
        </w:sdtPr>
        <w:sdtContent>
          <w:r>
            <w:t xml:space="preserve"> (24.2%) </w:t>
          </w:r>
        </w:sdtContent>
      </w:sdt>
      <w:r>
        <w:t xml:space="preserve"> respondents indicated having responsibility at an administrative level for the health care system, while 6 </w:t>
      </w:r>
      <w:sdt>
        <w:sdtPr>
          <w:tag w:val="goog_rdk_88"/>
          <w:id w:val="-1463704100"/>
        </w:sdtPr>
        <w:sdtContent>
          <w:r>
            <w:t xml:space="preserve">(9.1%) </w:t>
          </w:r>
        </w:sdtContent>
      </w:sdt>
      <w:r>
        <w:t>selected they managed those working directly with patients. Direct patient care responsibilities were selected 4</w:t>
      </w:r>
      <w:sdt>
        <w:sdtPr>
          <w:tag w:val="goog_rdk_89"/>
          <w:id w:val="1992451449"/>
        </w:sdtPr>
        <w:sdtContent>
          <w:r>
            <w:t xml:space="preserve"> (6.1%)</w:t>
          </w:r>
        </w:sdtContent>
      </w:sdt>
      <w:r>
        <w:t xml:space="preserve"> times and having executive level responsibilities for health services was select</w:t>
      </w:r>
      <w:sdt>
        <w:sdtPr>
          <w:tag w:val="goog_rdk_90"/>
          <w:id w:val="-1137858596"/>
        </w:sdtPr>
        <w:sdtContent>
          <w:r>
            <w:t>ed</w:t>
          </w:r>
        </w:sdtContent>
      </w:sdt>
      <w:r>
        <w:t xml:space="preserve"> twice</w:t>
      </w:r>
      <w:sdt>
        <w:sdtPr>
          <w:tag w:val="goog_rdk_91"/>
          <w:id w:val="1603072367"/>
        </w:sdtPr>
        <w:sdtContent>
          <w:r>
            <w:t xml:space="preserve"> (3.0%)</w:t>
          </w:r>
        </w:sdtContent>
      </w:sdt>
      <w:r>
        <w:t>.</w:t>
      </w: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780"/>
        <w:gridCol w:w="960"/>
        <w:gridCol w:w="960"/>
        <w:gridCol w:w="1920"/>
      </w:tblGrid>
      <w:tr w:rsidR="006C17FF" w14:paraId="65C1158E" w14:textId="77777777" w:rsidTr="00855B62">
        <w:trPr>
          <w:trHeight w:val="600"/>
        </w:trPr>
        <w:tc>
          <w:tcPr>
            <w:tcW w:w="4780" w:type="dxa"/>
            <w:shd w:val="clear" w:color="auto" w:fill="auto"/>
            <w:vAlign w:val="center"/>
          </w:tcPr>
          <w:p w14:paraId="1C94636C" w14:textId="73308EF4" w:rsidR="006C17FF" w:rsidRDefault="006C17FF" w:rsidP="00855B62">
            <w:pPr>
              <w:pStyle w:val="Heading3"/>
            </w:pPr>
            <w:bookmarkStart w:id="86" w:name="_Toc225937205"/>
            <w:r>
              <w:lastRenderedPageBreak/>
              <w:t>Table 11: Primary role/responsibilities (multiple selection)</w:t>
            </w:r>
            <w:bookmarkEnd w:id="86"/>
          </w:p>
        </w:tc>
        <w:tc>
          <w:tcPr>
            <w:tcW w:w="960" w:type="dxa"/>
            <w:shd w:val="clear" w:color="auto" w:fill="auto"/>
            <w:vAlign w:val="center"/>
          </w:tcPr>
          <w:p w14:paraId="03B6F4D7"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N=66</w:t>
            </w:r>
          </w:p>
        </w:tc>
        <w:tc>
          <w:tcPr>
            <w:tcW w:w="960" w:type="dxa"/>
            <w:shd w:val="clear" w:color="auto" w:fill="auto"/>
            <w:vAlign w:val="bottom"/>
          </w:tcPr>
          <w:p w14:paraId="1CDB7DFA"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w:t>
            </w:r>
          </w:p>
        </w:tc>
        <w:tc>
          <w:tcPr>
            <w:tcW w:w="1920" w:type="dxa"/>
            <w:shd w:val="clear" w:color="auto" w:fill="auto"/>
            <w:vAlign w:val="bottom"/>
          </w:tcPr>
          <w:p w14:paraId="2B7C9732" w14:textId="77777777" w:rsidR="006C17FF" w:rsidRDefault="006C17FF" w:rsidP="00855B6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Confidence Interval (Percent of Data)</w:t>
            </w:r>
          </w:p>
        </w:tc>
      </w:tr>
      <w:tr w:rsidR="006C17FF" w14:paraId="395E32B3" w14:textId="77777777" w:rsidTr="00855B62">
        <w:trPr>
          <w:trHeight w:val="300"/>
        </w:trPr>
        <w:tc>
          <w:tcPr>
            <w:tcW w:w="4780" w:type="dxa"/>
            <w:shd w:val="clear" w:color="auto" w:fill="auto"/>
            <w:vAlign w:val="center"/>
          </w:tcPr>
          <w:p w14:paraId="3B64D1DC"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Other type of responsibilities</w:t>
            </w:r>
          </w:p>
        </w:tc>
        <w:tc>
          <w:tcPr>
            <w:tcW w:w="960" w:type="dxa"/>
            <w:shd w:val="clear" w:color="auto" w:fill="auto"/>
            <w:vAlign w:val="center"/>
          </w:tcPr>
          <w:p w14:paraId="25D3C6A1"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30</w:t>
            </w:r>
          </w:p>
        </w:tc>
        <w:tc>
          <w:tcPr>
            <w:tcW w:w="960" w:type="dxa"/>
            <w:shd w:val="clear" w:color="auto" w:fill="auto"/>
            <w:vAlign w:val="center"/>
          </w:tcPr>
          <w:p w14:paraId="4877E2EF"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45.50%</w:t>
            </w:r>
          </w:p>
        </w:tc>
        <w:tc>
          <w:tcPr>
            <w:tcW w:w="1920" w:type="dxa"/>
            <w:shd w:val="clear" w:color="auto" w:fill="auto"/>
            <w:vAlign w:val="center"/>
          </w:tcPr>
          <w:p w14:paraId="3A49B980"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34.0% to 57.4%</w:t>
            </w:r>
          </w:p>
        </w:tc>
      </w:tr>
      <w:tr w:rsidR="006C17FF" w14:paraId="3C55EFB9" w14:textId="77777777" w:rsidTr="00855B62">
        <w:trPr>
          <w:trHeight w:val="1200"/>
        </w:trPr>
        <w:tc>
          <w:tcPr>
            <w:tcW w:w="4780" w:type="dxa"/>
            <w:shd w:val="clear" w:color="auto" w:fill="auto"/>
            <w:vAlign w:val="center"/>
          </w:tcPr>
          <w:p w14:paraId="6DCBD6A4"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core responsibilities are leading a program or service and may include multiple services or programs involved in patient care or supporting patient care</w:t>
            </w:r>
          </w:p>
        </w:tc>
        <w:tc>
          <w:tcPr>
            <w:tcW w:w="960" w:type="dxa"/>
            <w:shd w:val="clear" w:color="auto" w:fill="auto"/>
            <w:vAlign w:val="center"/>
          </w:tcPr>
          <w:p w14:paraId="3FF634B5"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26</w:t>
            </w:r>
          </w:p>
        </w:tc>
        <w:tc>
          <w:tcPr>
            <w:tcW w:w="960" w:type="dxa"/>
            <w:shd w:val="clear" w:color="auto" w:fill="auto"/>
            <w:vAlign w:val="center"/>
          </w:tcPr>
          <w:p w14:paraId="6350E994"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39.40%</w:t>
            </w:r>
          </w:p>
        </w:tc>
        <w:tc>
          <w:tcPr>
            <w:tcW w:w="1920" w:type="dxa"/>
            <w:shd w:val="clear" w:color="auto" w:fill="auto"/>
            <w:vAlign w:val="center"/>
          </w:tcPr>
          <w:p w14:paraId="321DCD33"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28.5% to 51.5%</w:t>
            </w:r>
          </w:p>
        </w:tc>
      </w:tr>
      <w:tr w:rsidR="006C17FF" w14:paraId="01C05693" w14:textId="77777777" w:rsidTr="00855B62">
        <w:trPr>
          <w:trHeight w:val="900"/>
        </w:trPr>
        <w:tc>
          <w:tcPr>
            <w:tcW w:w="4780" w:type="dxa"/>
            <w:shd w:val="clear" w:color="auto" w:fill="auto"/>
            <w:vAlign w:val="center"/>
          </w:tcPr>
          <w:p w14:paraId="47DA7003"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I am responsible at an administrative level for governing or administering the health care system</w:t>
            </w:r>
          </w:p>
        </w:tc>
        <w:tc>
          <w:tcPr>
            <w:tcW w:w="960" w:type="dxa"/>
            <w:shd w:val="clear" w:color="auto" w:fill="auto"/>
            <w:vAlign w:val="center"/>
          </w:tcPr>
          <w:p w14:paraId="2207FAD5"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16</w:t>
            </w:r>
          </w:p>
        </w:tc>
        <w:tc>
          <w:tcPr>
            <w:tcW w:w="960" w:type="dxa"/>
            <w:shd w:val="clear" w:color="auto" w:fill="auto"/>
            <w:vAlign w:val="center"/>
          </w:tcPr>
          <w:p w14:paraId="272E8BC1"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24.20%</w:t>
            </w:r>
          </w:p>
        </w:tc>
        <w:tc>
          <w:tcPr>
            <w:tcW w:w="1920" w:type="dxa"/>
            <w:shd w:val="clear" w:color="auto" w:fill="auto"/>
            <w:vAlign w:val="center"/>
          </w:tcPr>
          <w:p w14:paraId="3FB444CE"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15.5% to 35.8%</w:t>
            </w:r>
          </w:p>
        </w:tc>
      </w:tr>
      <w:tr w:rsidR="006C17FF" w14:paraId="677F8032" w14:textId="77777777" w:rsidTr="00855B62">
        <w:trPr>
          <w:trHeight w:val="900"/>
        </w:trPr>
        <w:tc>
          <w:tcPr>
            <w:tcW w:w="4780" w:type="dxa"/>
            <w:shd w:val="clear" w:color="auto" w:fill="auto"/>
            <w:vAlign w:val="center"/>
          </w:tcPr>
          <w:p w14:paraId="4AC600AC"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core responsibilities are managing those directly at a patient care level and may include multiple departments with this mission</w:t>
            </w:r>
          </w:p>
        </w:tc>
        <w:tc>
          <w:tcPr>
            <w:tcW w:w="960" w:type="dxa"/>
            <w:shd w:val="clear" w:color="auto" w:fill="auto"/>
            <w:vAlign w:val="center"/>
          </w:tcPr>
          <w:p w14:paraId="291493F7"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6</w:t>
            </w:r>
          </w:p>
        </w:tc>
        <w:tc>
          <w:tcPr>
            <w:tcW w:w="960" w:type="dxa"/>
            <w:shd w:val="clear" w:color="auto" w:fill="auto"/>
            <w:vAlign w:val="center"/>
          </w:tcPr>
          <w:p w14:paraId="157D2E2B"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9.10%</w:t>
            </w:r>
          </w:p>
        </w:tc>
        <w:tc>
          <w:tcPr>
            <w:tcW w:w="1920" w:type="dxa"/>
            <w:shd w:val="clear" w:color="auto" w:fill="auto"/>
            <w:vAlign w:val="center"/>
          </w:tcPr>
          <w:p w14:paraId="7E60ED60"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4.2% to 18.4%</w:t>
            </w:r>
          </w:p>
        </w:tc>
      </w:tr>
      <w:tr w:rsidR="006C17FF" w14:paraId="5252921D" w14:textId="77777777" w:rsidTr="00855B62">
        <w:trPr>
          <w:trHeight w:val="600"/>
        </w:trPr>
        <w:tc>
          <w:tcPr>
            <w:tcW w:w="4780" w:type="dxa"/>
            <w:shd w:val="clear" w:color="auto" w:fill="auto"/>
            <w:vAlign w:val="center"/>
          </w:tcPr>
          <w:p w14:paraId="2165F5FA"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My core responsibilities are providing direct patient care</w:t>
            </w:r>
          </w:p>
        </w:tc>
        <w:tc>
          <w:tcPr>
            <w:tcW w:w="960" w:type="dxa"/>
            <w:shd w:val="clear" w:color="auto" w:fill="auto"/>
            <w:vAlign w:val="center"/>
          </w:tcPr>
          <w:p w14:paraId="5F9A3C4E"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4</w:t>
            </w:r>
          </w:p>
        </w:tc>
        <w:tc>
          <w:tcPr>
            <w:tcW w:w="960" w:type="dxa"/>
            <w:shd w:val="clear" w:color="auto" w:fill="auto"/>
            <w:vAlign w:val="center"/>
          </w:tcPr>
          <w:p w14:paraId="3B0856ED"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6.10%</w:t>
            </w:r>
          </w:p>
        </w:tc>
        <w:tc>
          <w:tcPr>
            <w:tcW w:w="1920" w:type="dxa"/>
            <w:shd w:val="clear" w:color="auto" w:fill="auto"/>
            <w:vAlign w:val="center"/>
          </w:tcPr>
          <w:p w14:paraId="49FB8CBA"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2.4% to 14.6%</w:t>
            </w:r>
          </w:p>
        </w:tc>
      </w:tr>
      <w:sdt>
        <w:sdtPr>
          <w:tag w:val="goog_rdk_18"/>
          <w:id w:val="-117081067"/>
        </w:sdtPr>
        <w:sdtContent>
          <w:tr w:rsidR="006C17FF" w14:paraId="7E53FA54" w14:textId="77777777" w:rsidTr="00855B62">
            <w:trPr>
              <w:trHeight w:val="915"/>
            </w:trPr>
            <w:tc>
              <w:tcPr>
                <w:tcW w:w="4780" w:type="dxa"/>
                <w:shd w:val="clear" w:color="auto" w:fill="auto"/>
                <w:vAlign w:val="center"/>
              </w:tcPr>
              <w:p w14:paraId="44BC3482" w14:textId="77777777" w:rsidR="006C17FF" w:rsidRDefault="006C17FF" w:rsidP="00855B62">
                <w:pPr>
                  <w:spacing w:after="0" w:line="240" w:lineRule="auto"/>
                  <w:rPr>
                    <w:rFonts w:ascii="Aptos Narrow" w:eastAsia="Aptos Narrow" w:hAnsi="Aptos Narrow" w:cs="Aptos Narrow"/>
                    <w:color w:val="272727"/>
                  </w:rPr>
                </w:pPr>
                <w:r>
                  <w:rPr>
                    <w:rFonts w:ascii="Aptos Narrow" w:eastAsia="Aptos Narrow" w:hAnsi="Aptos Narrow" w:cs="Aptos Narrow"/>
                    <w:color w:val="272727"/>
                  </w:rPr>
                  <w:t>I am responsible at an executive level for providing, provisioning or allocating funding for health services</w:t>
                </w:r>
              </w:p>
            </w:tc>
            <w:tc>
              <w:tcPr>
                <w:tcW w:w="960" w:type="dxa"/>
                <w:shd w:val="clear" w:color="auto" w:fill="auto"/>
                <w:vAlign w:val="center"/>
              </w:tcPr>
              <w:p w14:paraId="03372E21"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2</w:t>
                </w:r>
              </w:p>
            </w:tc>
            <w:tc>
              <w:tcPr>
                <w:tcW w:w="960" w:type="dxa"/>
                <w:shd w:val="clear" w:color="auto" w:fill="auto"/>
                <w:vAlign w:val="center"/>
              </w:tcPr>
              <w:p w14:paraId="76F165BA" w14:textId="77777777" w:rsidR="006C17FF" w:rsidRDefault="006C17FF" w:rsidP="00855B62">
                <w:pPr>
                  <w:spacing w:after="0" w:line="240" w:lineRule="auto"/>
                  <w:jc w:val="center"/>
                  <w:rPr>
                    <w:rFonts w:ascii="Aptos Narrow" w:eastAsia="Aptos Narrow" w:hAnsi="Aptos Narrow" w:cs="Aptos Narrow"/>
                    <w:color w:val="272727"/>
                  </w:rPr>
                </w:pPr>
                <w:r>
                  <w:rPr>
                    <w:rFonts w:ascii="Aptos Narrow" w:eastAsia="Aptos Narrow" w:hAnsi="Aptos Narrow" w:cs="Aptos Narrow"/>
                    <w:color w:val="272727"/>
                  </w:rPr>
                  <w:t>3.00%</w:t>
                </w:r>
              </w:p>
            </w:tc>
            <w:tc>
              <w:tcPr>
                <w:tcW w:w="1920" w:type="dxa"/>
                <w:shd w:val="clear" w:color="auto" w:fill="auto"/>
                <w:vAlign w:val="center"/>
              </w:tcPr>
              <w:p w14:paraId="25D88430" w14:textId="77777777" w:rsidR="006C17FF" w:rsidRDefault="006C17FF" w:rsidP="00855B62">
                <w:pPr>
                  <w:spacing w:after="0" w:line="240" w:lineRule="auto"/>
                  <w:jc w:val="center"/>
                  <w:rPr>
                    <w:rFonts w:ascii="Calibri" w:eastAsia="Calibri" w:hAnsi="Calibri" w:cs="Calibri"/>
                    <w:color w:val="000000"/>
                  </w:rPr>
                </w:pPr>
                <w:r>
                  <w:rPr>
                    <w:rFonts w:ascii="Calibri" w:eastAsia="Calibri" w:hAnsi="Calibri" w:cs="Calibri"/>
                    <w:color w:val="000000"/>
                  </w:rPr>
                  <w:t>0.8% to 10.4%</w:t>
                </w:r>
              </w:p>
            </w:tc>
          </w:tr>
        </w:sdtContent>
      </w:sdt>
    </w:tbl>
    <w:sdt>
      <w:sdtPr>
        <w:tag w:val="goog_rdk_22"/>
        <w:id w:val="132880908"/>
      </w:sdtPr>
      <w:sdtContent>
        <w:p w14:paraId="76B760FF" w14:textId="77777777" w:rsidR="006C17FF" w:rsidRPr="003A2FDA" w:rsidRDefault="00000000" w:rsidP="006C17FF">
          <w:sdt>
            <w:sdtPr>
              <w:tag w:val="goog_rdk_20"/>
              <w:id w:val="379821873"/>
            </w:sdtPr>
            <w:sdtContent>
              <w:sdt>
                <w:sdtPr>
                  <w:tag w:val="goog_rdk_21"/>
                  <w:id w:val="-1154127055"/>
                  <w:showingPlcHdr/>
                </w:sdtPr>
                <w:sdtContent>
                  <w:r w:rsidR="006C17FF">
                    <w:t xml:space="preserve">     </w:t>
                  </w:r>
                </w:sdtContent>
              </w:sdt>
            </w:sdtContent>
          </w:sdt>
        </w:p>
      </w:sdtContent>
    </w:sdt>
    <w:p w14:paraId="741119D5" w14:textId="6D688B50" w:rsidR="006C17FF" w:rsidRDefault="006C17FF" w:rsidP="006C17FF">
      <w:pPr>
        <w:spacing w:line="480" w:lineRule="auto"/>
      </w:pPr>
      <w:r>
        <w:t xml:space="preserve">In summary the majority of respondents’ employer provided services in the UK. Most had a role within a corporate or administrative setting and employers were described as providing health services. This finding is useful and indicates the right target group was reached within the survey distribution. In addition, the largest group had a Masters level of education and were positioned at a managerial level or above within their organisation. This finding is also relevant when considering the target group for this survey. Primary roles and responsibilities reflected a diverse group </w:t>
      </w:r>
      <w:r w:rsidR="00EF0589">
        <w:t xml:space="preserve">of leaders </w:t>
      </w:r>
      <w:r>
        <w:t xml:space="preserve">within the health system. </w:t>
      </w:r>
    </w:p>
    <w:bookmarkStart w:id="87" w:name="_Toc225937206" w:displacedByCustomXml="next"/>
    <w:sdt>
      <w:sdtPr>
        <w:tag w:val="goog_rdk_28"/>
        <w:id w:val="1381022731"/>
      </w:sdtPr>
      <w:sdtContent>
        <w:p w14:paraId="4F1902AE" w14:textId="77777777" w:rsidR="006C17FF" w:rsidRPr="00015EFF" w:rsidRDefault="00000000" w:rsidP="006C17FF">
          <w:pPr>
            <w:pStyle w:val="Heading2"/>
          </w:pPr>
          <w:sdt>
            <w:sdtPr>
              <w:tag w:val="goog_rdk_26"/>
              <w:id w:val="-434392327"/>
            </w:sdtPr>
            <w:sdtContent/>
          </w:sdt>
          <w:sdt>
            <w:sdtPr>
              <w:tag w:val="goog_rdk_27"/>
              <w:id w:val="881458159"/>
            </w:sdtPr>
            <w:sdtContent>
              <w:sdt>
                <w:sdtPr>
                  <w:tag w:val="goog_rdk_93"/>
                  <w:id w:val="1940715764"/>
                </w:sdtPr>
                <w:sdtContent>
                  <w:r w:rsidR="006C17FF">
                    <w:t xml:space="preserve">Segment 2 </w:t>
                  </w:r>
                </w:sdtContent>
              </w:sdt>
              <w:r w:rsidR="006C17FF" w:rsidRPr="00015EFF">
                <w:t xml:space="preserve"> Organisation</w:t>
              </w:r>
              <w:r w:rsidR="006C17FF">
                <w:t>al</w:t>
              </w:r>
              <w:r w:rsidR="006C17FF" w:rsidRPr="00015EFF">
                <w:t xml:space="preserve"> Climate Change Education</w:t>
              </w:r>
            </w:sdtContent>
          </w:sdt>
        </w:p>
      </w:sdtContent>
    </w:sdt>
    <w:bookmarkEnd w:id="87" w:displacedByCustomXml="prev"/>
    <w:p w14:paraId="0D88A242" w14:textId="3A19512E" w:rsidR="006C17FF" w:rsidRDefault="006C17FF" w:rsidP="006C17FF">
      <w:pPr>
        <w:spacing w:line="480" w:lineRule="auto"/>
      </w:pPr>
      <w:r>
        <w:t xml:space="preserve">In this section of the survey respondents were asked to rate, using a 5-point Likert Scale, agreement to statements concerning their organisation and climate change education (Table </w:t>
      </w:r>
      <w:sdt>
        <w:sdtPr>
          <w:tag w:val="goog_rdk_94"/>
          <w:id w:val="2142306089"/>
        </w:sdtPr>
        <w:sdtContent>
          <w:r w:rsidR="00FD1774">
            <w:t>12</w:t>
          </w:r>
        </w:sdtContent>
      </w:sdt>
      <w:r>
        <w:t xml:space="preserve">). The Likert Scale included 5 options, ‘strongly disagree’ reflected a ‘1’ score, a ‘2’ ‘somewhat disagree’, ‘3’ ‘neither agree nor disagree’, ‘4’ ‘somewhat agree’ and ‘5’ ‘strongly agree’. In total </w:t>
      </w:r>
      <w:r>
        <w:lastRenderedPageBreak/>
        <w:t>thirteen questions were asked with 60 participants responding to this section. The drop in responses is likely due to respondents being asked to discontinue the survey if they did not work in the UK or Canada, or if their employer was not in the health sector. Within the scale</w:t>
      </w:r>
      <w:sdt>
        <w:sdtPr>
          <w:tag w:val="goog_rdk_95"/>
          <w:id w:val="-1871253425"/>
        </w:sdtPr>
        <w:sdtContent>
          <w:r>
            <w:t>,</w:t>
          </w:r>
        </w:sdtContent>
      </w:sdt>
      <w:r>
        <w:t xml:space="preserve"> a selection of 1 designated strong agreement, 2 agreement, 3 a neutral position to the statement, 4 disagreement and 5 strong disagreements. Generally, respondents showed agreement to the statements provided with a median score of 1-2 for all responses. Mean scores ranged from 1.6 to 2.7, under the neutral position of 3. Statements on applicability of climate change and education and/or training to levels of leadership varied, however across each level there was agreement (below managerial 1.8, managerial 1.7, director or program administrator 1.6, and executive or trust administrator 1.6). </w:t>
      </w:r>
    </w:p>
    <w:p w14:paraId="4445AD9C" w14:textId="77777777" w:rsidR="006C17FF" w:rsidRDefault="006C17FF" w:rsidP="006C17FF">
      <w:pPr>
        <w:spacing w:line="480" w:lineRule="auto"/>
      </w:pPr>
      <w:r>
        <w:t xml:space="preserve">Agreement was shown for whether the respondent’s organization was impacted by climate influenced disasters in the past 2 years (mean score 1.9) and for having awareness </w:t>
      </w:r>
      <w:sdt>
        <w:sdtPr>
          <w:tag w:val="goog_rdk_96"/>
          <w:id w:val="736444500"/>
        </w:sdtPr>
        <w:sdtContent>
          <w:r>
            <w:t xml:space="preserve">of </w:t>
          </w:r>
        </w:sdtContent>
      </w:sdt>
      <w:r>
        <w:t>climate influenced hazards within their geographical jurisdiction of duties.  Comparatively, lesser agreement was specified for the statement on setting direction within respondent organisation for climate change education and training (mean score of 2.2). Similarly, mean scores for the organisation having a dedicated person or team (2.4), having developed health and climate education (2.6) and promoting external health and training education (2.7) also showed less agreement. Statements specific to climate health topics also pointed to lesser agreement. This included management of climate influenced emergencies or disasters (</w:t>
      </w:r>
      <w:sdt>
        <w:sdtPr>
          <w:tag w:val="goog_rdk_98"/>
          <w:id w:val="1407093325"/>
        </w:sdtPr>
        <w:sdtContent>
          <w:proofErr w:type="gramStart"/>
          <w:r>
            <w:t>e.g.</w:t>
          </w:r>
          <w:proofErr w:type="gramEnd"/>
        </w:sdtContent>
      </w:sdt>
      <w:r>
        <w:t xml:space="preserve"> </w:t>
      </w:r>
      <w:sdt>
        <w:sdtPr>
          <w:tag w:val="goog_rdk_100"/>
          <w:id w:val="-168043645"/>
        </w:sdtPr>
        <w:sdtContent>
          <w:r>
            <w:t>e</w:t>
          </w:r>
        </w:sdtContent>
      </w:sdt>
      <w:r>
        <w:t xml:space="preserve">xtreme weather events) with a mean score of 2.4 and business continuity planning for climate influenced emergencies or disasters (2.6). </w:t>
      </w:r>
    </w:p>
    <w:p w14:paraId="4DC577AC" w14:textId="5B580FA7" w:rsidR="00FC7E02" w:rsidRDefault="001371F5" w:rsidP="00824053">
      <w:pPr>
        <w:pStyle w:val="Heading3"/>
        <w:sectPr w:rsidR="00FC7E02" w:rsidSect="00B163A1">
          <w:pgSz w:w="12240" w:h="15840"/>
          <w:pgMar w:top="1440" w:right="1440" w:bottom="1440" w:left="1440" w:header="708" w:footer="708" w:gutter="0"/>
          <w:cols w:space="720"/>
        </w:sectPr>
      </w:pPr>
      <w:r>
        <w:t>Figure</w:t>
      </w:r>
      <w:r w:rsidR="00FC7E02">
        <w:t xml:space="preserve"> 12: Organisation, Climate change and Education</w:t>
      </w:r>
    </w:p>
    <w:p w14:paraId="2B8CD614" w14:textId="77777777" w:rsidR="006C17FF" w:rsidRDefault="006C17FF" w:rsidP="006C17FF"/>
    <w:p w14:paraId="0DE0260B" w14:textId="77777777" w:rsidR="006C17FF" w:rsidRDefault="00752482" w:rsidP="006C17FF">
      <w:r>
        <w:rPr>
          <w:rFonts w:ascii="Aptos Narrow" w:eastAsia="Aptos Narrow" w:hAnsi="Aptos Narrow" w:cs="Aptos Narrow"/>
          <w:noProof/>
          <w:color w:val="272727"/>
        </w:rPr>
        <w:drawing>
          <wp:inline distT="0" distB="0" distL="0" distR="0" wp14:anchorId="5097CEA8" wp14:editId="36B0A4D9">
            <wp:extent cx="4328212" cy="4564049"/>
            <wp:effectExtent l="0" t="0" r="0" b="8255"/>
            <wp:docPr id="588649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49243"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0833" cy="4566813"/>
                    </a:xfrm>
                    <a:prstGeom prst="rect">
                      <a:avLst/>
                    </a:prstGeom>
                    <a:noFill/>
                    <a:ln>
                      <a:noFill/>
                    </a:ln>
                  </pic:spPr>
                </pic:pic>
              </a:graphicData>
            </a:graphic>
          </wp:inline>
        </w:drawing>
      </w:r>
    </w:p>
    <w:p w14:paraId="18C74877" w14:textId="77777777" w:rsidR="00752482" w:rsidRDefault="00752482" w:rsidP="006C17FF"/>
    <w:p w14:paraId="71834832" w14:textId="77777777" w:rsidR="00752482" w:rsidRDefault="00752482" w:rsidP="00752482">
      <w:r>
        <w:t>Image generated by Microsoft365 Co-Pilot</w:t>
      </w:r>
      <w:r w:rsidRPr="00F92AC6">
        <w:t>, GPT</w:t>
      </w:r>
      <w:r w:rsidRPr="00F92AC6">
        <w:noBreakHyphen/>
        <w:t xml:space="preserve">5 chat model, </w:t>
      </w:r>
      <w:r>
        <w:t>June 28</w:t>
      </w:r>
      <w:r w:rsidRPr="00F92AC6">
        <w:rPr>
          <w:vertAlign w:val="superscript"/>
        </w:rPr>
        <w:t>th</w:t>
      </w:r>
      <w:r>
        <w:t>, 2026 with the prompt “t</w:t>
      </w:r>
      <w:r w:rsidRPr="00F92AC6">
        <w:t>urn descriptive frequency data into</w:t>
      </w:r>
      <w:r>
        <w:t xml:space="preserve"> heat map”.</w:t>
      </w:r>
    </w:p>
    <w:p w14:paraId="0E29C047" w14:textId="372CE69C" w:rsidR="00752482" w:rsidRDefault="00752482" w:rsidP="006C17FF">
      <w:pPr>
        <w:sectPr w:rsidR="00752482" w:rsidSect="006C17FF">
          <w:pgSz w:w="15840" w:h="12240" w:orient="landscape"/>
          <w:pgMar w:top="1440" w:right="1440" w:bottom="1440" w:left="1440" w:header="708" w:footer="708" w:gutter="0"/>
          <w:cols w:space="720"/>
        </w:sectPr>
      </w:pPr>
    </w:p>
    <w:p w14:paraId="72C20D86" w14:textId="6B012522" w:rsidR="006C17FF" w:rsidRDefault="006C17FF" w:rsidP="006C17FF">
      <w:pPr>
        <w:spacing w:line="480" w:lineRule="auto"/>
      </w:pPr>
      <w:r>
        <w:lastRenderedPageBreak/>
        <w:t>Questions asked around organisational support to climate and health education indicated some agreement, however</w:t>
      </w:r>
      <w:r w:rsidR="00E036F2">
        <w:t>,</w:t>
      </w:r>
      <w:r>
        <w:t xml:space="preserve"> respondents had less agreement to whether their organisations promoted external educational opportunities. The overall support for this education is not indicative of being an organisational priority or at least viewed in that way by health leaders. Interestingly, when asked about applicable of this education to leaders across levels of seniority more agreement was shown. Based on this health leaders see applicability that </w:t>
      </w:r>
      <w:r w:rsidR="00E036F2">
        <w:t xml:space="preserve">is not </w:t>
      </w:r>
      <w:r>
        <w:t>necessarily reflected in organisational priorities. In addition, there is fair agreement to whether respondents’ organisations have experienced climate influenced hazards, yet this and business continuity are not common topics within education on climate and health.</w:t>
      </w:r>
    </w:p>
    <w:p w14:paraId="198DD48E" w14:textId="59B7418E" w:rsidR="006C17FF" w:rsidRDefault="006C17FF" w:rsidP="006C17FF">
      <w:pPr>
        <w:spacing w:line="480" w:lineRule="auto"/>
      </w:pPr>
      <w:r>
        <w:t xml:space="preserve">Additional questions in Table </w:t>
      </w:r>
      <w:r w:rsidR="00FD1774">
        <w:t>12</w:t>
      </w:r>
      <w:r>
        <w:t xml:space="preserve"> (above) then determined whether respondents generally had received climate change and health education and training and where it was conducted</w:t>
      </w:r>
      <w:r w:rsidR="00E036F2">
        <w:t>.</w:t>
      </w:r>
      <w:r w:rsidRPr="00C921A8">
        <w:t xml:space="preserve"> </w:t>
      </w:r>
      <w:r>
        <w:t>Out of 60 responses</w:t>
      </w:r>
      <w:sdt>
        <w:sdtPr>
          <w:tag w:val="goog_rdk_106"/>
          <w:id w:val="903388533"/>
        </w:sdtPr>
        <w:sdtContent>
          <w:r>
            <w:t>,</w:t>
          </w:r>
        </w:sdtContent>
      </w:sdt>
      <w:r>
        <w:t xml:space="preserve"> 47 (78.3%) were affirmative to the statement education was received and 43.3% indicated that education was received within the organisation of employment. In contrast, </w:t>
      </w:r>
      <w:sdt>
        <w:sdtPr>
          <w:tag w:val="goog_rdk_107"/>
          <w:id w:val="2007879389"/>
        </w:sdtPr>
        <w:sdtContent/>
      </w:sdt>
      <w:r>
        <w:t xml:space="preserve">13 (21.7%) respondents had not received education or training generally and 33 (55%) respondents indicated no training nor education on climate and health topics was received from their organisation of employment. When asked where (Table </w:t>
      </w:r>
      <w:sdt>
        <w:sdtPr>
          <w:tag w:val="goog_rdk_108"/>
          <w:id w:val="1713787463"/>
        </w:sdtPr>
        <w:sdtContent>
          <w:r w:rsidR="00FD1774">
            <w:t>13</w:t>
          </w:r>
        </w:sdtContent>
      </w:sdt>
      <w:r>
        <w:t>), if not within the organisation of employment, education and training was received most respondents selected ‘</w:t>
      </w:r>
      <w:proofErr w:type="spellStart"/>
      <w:r>
        <w:t>self learning</w:t>
      </w:r>
      <w:proofErr w:type="spellEnd"/>
      <w:r>
        <w:t>’ (</w:t>
      </w:r>
      <w:sdt>
        <w:sdtPr>
          <w:tag w:val="goog_rdk_109"/>
          <w:id w:val="-1644290376"/>
        </w:sdtPr>
        <w:sdtContent>
          <w:r>
            <w:t xml:space="preserve">37; </w:t>
          </w:r>
        </w:sdtContent>
      </w:sdt>
      <w:r>
        <w:t xml:space="preserve">72.50%). This question allowed multiple selections, as education and/or training may have been received from multiple sources. Following </w:t>
      </w:r>
      <w:proofErr w:type="spellStart"/>
      <w:r>
        <w:t>self learning</w:t>
      </w:r>
      <w:proofErr w:type="spellEnd"/>
      <w:r>
        <w:t xml:space="preserve">, 47.1% </w:t>
      </w:r>
      <w:sdt>
        <w:sdtPr>
          <w:tag w:val="goog_rdk_110"/>
          <w:id w:val="66073372"/>
        </w:sdtPr>
        <w:sdtContent>
          <w:r>
            <w:t xml:space="preserve">(n=24) </w:t>
          </w:r>
        </w:sdtContent>
      </w:sdt>
      <w:r>
        <w:t xml:space="preserve">respondents specified </w:t>
      </w:r>
      <w:r w:rsidR="00F91188">
        <w:t>education,</w:t>
      </w:r>
      <w:r>
        <w:t xml:space="preserve"> or training was received from an accredited university or college, 45.1%</w:t>
      </w:r>
      <w:sdt>
        <w:sdtPr>
          <w:tag w:val="goog_rdk_111"/>
          <w:id w:val="-1492558964"/>
        </w:sdtPr>
        <w:sdtContent>
          <w:r>
            <w:t xml:space="preserve"> (n=23)</w:t>
          </w:r>
        </w:sdtContent>
      </w:sdt>
      <w:r>
        <w:t xml:space="preserve"> from a government or non-government organisation program, 31.4% </w:t>
      </w:r>
      <w:sdt>
        <w:sdtPr>
          <w:tag w:val="goog_rdk_113"/>
          <w:id w:val="289246277"/>
        </w:sdtPr>
        <w:sdtContent>
          <w:r>
            <w:t xml:space="preserve">(n-16) </w:t>
          </w:r>
        </w:sdtContent>
      </w:sdt>
      <w:r>
        <w:t xml:space="preserve">from an international source and 23.5% </w:t>
      </w:r>
      <w:sdt>
        <w:sdtPr>
          <w:tag w:val="goog_rdk_114"/>
          <w:id w:val="-1925354038"/>
        </w:sdtPr>
        <w:sdtContent>
          <w:r>
            <w:t xml:space="preserve">(n=12) </w:t>
          </w:r>
        </w:sdtContent>
      </w:sdt>
      <w:r>
        <w:t xml:space="preserve">from a </w:t>
      </w:r>
      <w:sdt>
        <w:sdtPr>
          <w:tag w:val="goog_rdk_115"/>
          <w:id w:val="-2124780849"/>
        </w:sdtPr>
        <w:sdtContent/>
      </w:sdt>
      <w:r>
        <w:t>university collaborative</w:t>
      </w:r>
      <w:r>
        <w:rPr>
          <w:rStyle w:val="FootnoteReference"/>
        </w:rPr>
        <w:footnoteReference w:id="1"/>
      </w:r>
      <w:r>
        <w:t xml:space="preserve">. </w:t>
      </w:r>
    </w:p>
    <w:tbl>
      <w:tblPr>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20"/>
        <w:gridCol w:w="960"/>
        <w:gridCol w:w="960"/>
      </w:tblGrid>
      <w:tr w:rsidR="006C17FF" w14:paraId="361FF1DD" w14:textId="77777777" w:rsidTr="00855B62">
        <w:trPr>
          <w:trHeight w:val="900"/>
        </w:trPr>
        <w:tc>
          <w:tcPr>
            <w:tcW w:w="5820" w:type="dxa"/>
            <w:shd w:val="clear" w:color="auto" w:fill="auto"/>
            <w:vAlign w:val="bottom"/>
          </w:tcPr>
          <w:p w14:paraId="711FFD43" w14:textId="4B8A02D0" w:rsidR="006C17FF" w:rsidRDefault="006C17FF" w:rsidP="00855B62">
            <w:pPr>
              <w:pStyle w:val="Heading3"/>
            </w:pPr>
            <w:bookmarkStart w:id="88" w:name="_Toc225937208"/>
            <w:r>
              <w:lastRenderedPageBreak/>
              <w:t>Table 13: If you received climate change education and/or training from sources other than your organisation (multiple responses)</w:t>
            </w:r>
            <w:bookmarkEnd w:id="88"/>
          </w:p>
        </w:tc>
        <w:tc>
          <w:tcPr>
            <w:tcW w:w="960" w:type="dxa"/>
            <w:shd w:val="clear" w:color="auto" w:fill="auto"/>
            <w:vAlign w:val="bottom"/>
          </w:tcPr>
          <w:p w14:paraId="7343DD96" w14:textId="77777777" w:rsidR="006C17FF" w:rsidRDefault="006C17FF" w:rsidP="00855B62">
            <w:pPr>
              <w:spacing w:after="0" w:line="240" w:lineRule="auto"/>
              <w:jc w:val="center"/>
              <w:rPr>
                <w:color w:val="272727"/>
              </w:rPr>
            </w:pPr>
            <w:r>
              <w:rPr>
                <w:color w:val="272727"/>
              </w:rPr>
              <w:t>N=51</w:t>
            </w:r>
          </w:p>
        </w:tc>
        <w:tc>
          <w:tcPr>
            <w:tcW w:w="960" w:type="dxa"/>
            <w:shd w:val="clear" w:color="auto" w:fill="auto"/>
            <w:vAlign w:val="bottom"/>
          </w:tcPr>
          <w:p w14:paraId="0D98B337" w14:textId="77777777" w:rsidR="006C17FF" w:rsidRDefault="006C17FF" w:rsidP="00855B62">
            <w:pPr>
              <w:spacing w:after="0" w:line="240" w:lineRule="auto"/>
              <w:jc w:val="center"/>
              <w:rPr>
                <w:color w:val="000000"/>
              </w:rPr>
            </w:pPr>
            <w:r>
              <w:rPr>
                <w:color w:val="000000"/>
              </w:rPr>
              <w:t>%</w:t>
            </w:r>
          </w:p>
        </w:tc>
      </w:tr>
      <w:tr w:rsidR="006C17FF" w14:paraId="273B47C0" w14:textId="77777777" w:rsidTr="00855B62">
        <w:trPr>
          <w:trHeight w:val="300"/>
        </w:trPr>
        <w:tc>
          <w:tcPr>
            <w:tcW w:w="5820" w:type="dxa"/>
            <w:shd w:val="clear" w:color="auto" w:fill="auto"/>
            <w:vAlign w:val="center"/>
          </w:tcPr>
          <w:p w14:paraId="028E7D8F" w14:textId="77777777" w:rsidR="006C17FF" w:rsidRDefault="006C17FF" w:rsidP="00855B62">
            <w:pPr>
              <w:spacing w:after="0" w:line="240" w:lineRule="auto"/>
              <w:rPr>
                <w:color w:val="000000"/>
              </w:rPr>
            </w:pPr>
          </w:p>
        </w:tc>
        <w:tc>
          <w:tcPr>
            <w:tcW w:w="960" w:type="dxa"/>
            <w:shd w:val="clear" w:color="auto" w:fill="auto"/>
            <w:vAlign w:val="bottom"/>
          </w:tcPr>
          <w:p w14:paraId="2F739B5C" w14:textId="77777777" w:rsidR="006C17FF" w:rsidRDefault="006C17FF" w:rsidP="00855B62">
            <w:pPr>
              <w:spacing w:after="0" w:line="240" w:lineRule="auto"/>
              <w:jc w:val="center"/>
              <w:rPr>
                <w:sz w:val="20"/>
                <w:szCs w:val="20"/>
              </w:rPr>
            </w:pPr>
          </w:p>
        </w:tc>
        <w:tc>
          <w:tcPr>
            <w:tcW w:w="960" w:type="dxa"/>
            <w:shd w:val="clear" w:color="auto" w:fill="auto"/>
            <w:vAlign w:val="bottom"/>
          </w:tcPr>
          <w:p w14:paraId="011BEC0C" w14:textId="77777777" w:rsidR="006C17FF" w:rsidRDefault="006C17FF" w:rsidP="00855B62">
            <w:pPr>
              <w:spacing w:after="0" w:line="240" w:lineRule="auto"/>
              <w:jc w:val="center"/>
              <w:rPr>
                <w:sz w:val="20"/>
                <w:szCs w:val="20"/>
              </w:rPr>
            </w:pPr>
          </w:p>
        </w:tc>
      </w:tr>
      <w:tr w:rsidR="006C17FF" w14:paraId="2FA1844C" w14:textId="77777777" w:rsidTr="00855B62">
        <w:trPr>
          <w:trHeight w:val="300"/>
        </w:trPr>
        <w:tc>
          <w:tcPr>
            <w:tcW w:w="5820" w:type="dxa"/>
            <w:shd w:val="clear" w:color="auto" w:fill="auto"/>
            <w:vAlign w:val="center"/>
          </w:tcPr>
          <w:p w14:paraId="283C5DDB" w14:textId="77777777" w:rsidR="006C17FF" w:rsidRDefault="006C17FF" w:rsidP="00855B62">
            <w:pPr>
              <w:spacing w:after="0" w:line="240" w:lineRule="auto"/>
              <w:rPr>
                <w:color w:val="272727"/>
              </w:rPr>
            </w:pPr>
            <w:proofErr w:type="spellStart"/>
            <w:r>
              <w:rPr>
                <w:color w:val="272727"/>
              </w:rPr>
              <w:t>Self learning</w:t>
            </w:r>
            <w:proofErr w:type="spellEnd"/>
          </w:p>
        </w:tc>
        <w:tc>
          <w:tcPr>
            <w:tcW w:w="960" w:type="dxa"/>
            <w:shd w:val="clear" w:color="auto" w:fill="auto"/>
            <w:vAlign w:val="center"/>
          </w:tcPr>
          <w:p w14:paraId="2EE95604" w14:textId="77777777" w:rsidR="006C17FF" w:rsidRDefault="006C17FF" w:rsidP="00855B62">
            <w:pPr>
              <w:spacing w:after="0" w:line="240" w:lineRule="auto"/>
              <w:jc w:val="center"/>
              <w:rPr>
                <w:color w:val="272727"/>
              </w:rPr>
            </w:pPr>
            <w:r>
              <w:rPr>
                <w:color w:val="272727"/>
              </w:rPr>
              <w:t>37</w:t>
            </w:r>
          </w:p>
        </w:tc>
        <w:tc>
          <w:tcPr>
            <w:tcW w:w="960" w:type="dxa"/>
            <w:shd w:val="clear" w:color="auto" w:fill="auto"/>
            <w:vAlign w:val="center"/>
          </w:tcPr>
          <w:p w14:paraId="4895A32B" w14:textId="77777777" w:rsidR="006C17FF" w:rsidRDefault="006C17FF" w:rsidP="00855B62">
            <w:pPr>
              <w:spacing w:after="0" w:line="240" w:lineRule="auto"/>
              <w:jc w:val="center"/>
              <w:rPr>
                <w:color w:val="272727"/>
              </w:rPr>
            </w:pPr>
            <w:r>
              <w:rPr>
                <w:color w:val="272727"/>
              </w:rPr>
              <w:t>72.50%</w:t>
            </w:r>
          </w:p>
        </w:tc>
      </w:tr>
      <w:tr w:rsidR="006C17FF" w14:paraId="792BBF78" w14:textId="77777777" w:rsidTr="00855B62">
        <w:trPr>
          <w:trHeight w:val="300"/>
        </w:trPr>
        <w:tc>
          <w:tcPr>
            <w:tcW w:w="5820" w:type="dxa"/>
            <w:shd w:val="clear" w:color="auto" w:fill="auto"/>
            <w:vAlign w:val="center"/>
          </w:tcPr>
          <w:p w14:paraId="625D2755" w14:textId="77777777" w:rsidR="006C17FF" w:rsidRDefault="006C17FF" w:rsidP="00855B62">
            <w:pPr>
              <w:spacing w:after="0" w:line="240" w:lineRule="auto"/>
              <w:rPr>
                <w:color w:val="272727"/>
              </w:rPr>
            </w:pPr>
            <w:r>
              <w:rPr>
                <w:color w:val="272727"/>
              </w:rPr>
              <w:t>From an accredited university or college</w:t>
            </w:r>
          </w:p>
        </w:tc>
        <w:tc>
          <w:tcPr>
            <w:tcW w:w="960" w:type="dxa"/>
            <w:shd w:val="clear" w:color="auto" w:fill="auto"/>
            <w:vAlign w:val="center"/>
          </w:tcPr>
          <w:p w14:paraId="2ABACBE9" w14:textId="77777777" w:rsidR="006C17FF" w:rsidRDefault="006C17FF" w:rsidP="00855B62">
            <w:pPr>
              <w:spacing w:after="0" w:line="240" w:lineRule="auto"/>
              <w:jc w:val="center"/>
              <w:rPr>
                <w:color w:val="272727"/>
              </w:rPr>
            </w:pPr>
            <w:r>
              <w:rPr>
                <w:color w:val="272727"/>
              </w:rPr>
              <w:t>24</w:t>
            </w:r>
          </w:p>
        </w:tc>
        <w:tc>
          <w:tcPr>
            <w:tcW w:w="960" w:type="dxa"/>
            <w:shd w:val="clear" w:color="auto" w:fill="auto"/>
            <w:vAlign w:val="center"/>
          </w:tcPr>
          <w:p w14:paraId="5B2D6FED" w14:textId="77777777" w:rsidR="006C17FF" w:rsidRDefault="006C17FF" w:rsidP="00855B62">
            <w:pPr>
              <w:spacing w:after="0" w:line="240" w:lineRule="auto"/>
              <w:jc w:val="center"/>
              <w:rPr>
                <w:color w:val="272727"/>
              </w:rPr>
            </w:pPr>
            <w:r>
              <w:rPr>
                <w:color w:val="272727"/>
              </w:rPr>
              <w:t>47.10%</w:t>
            </w:r>
          </w:p>
        </w:tc>
      </w:tr>
      <w:tr w:rsidR="006C17FF" w14:paraId="3D13885F" w14:textId="77777777" w:rsidTr="00855B62">
        <w:trPr>
          <w:trHeight w:val="300"/>
        </w:trPr>
        <w:tc>
          <w:tcPr>
            <w:tcW w:w="5820" w:type="dxa"/>
            <w:shd w:val="clear" w:color="auto" w:fill="auto"/>
            <w:vAlign w:val="center"/>
          </w:tcPr>
          <w:p w14:paraId="1E5D5FC6" w14:textId="77777777" w:rsidR="006C17FF" w:rsidRDefault="006C17FF" w:rsidP="00855B62">
            <w:pPr>
              <w:spacing w:after="0" w:line="240" w:lineRule="auto"/>
              <w:rPr>
                <w:color w:val="272727"/>
              </w:rPr>
            </w:pPr>
            <w:r>
              <w:rPr>
                <w:color w:val="272727"/>
              </w:rPr>
              <w:t>From a government or NGO program</w:t>
            </w:r>
          </w:p>
        </w:tc>
        <w:tc>
          <w:tcPr>
            <w:tcW w:w="960" w:type="dxa"/>
            <w:shd w:val="clear" w:color="auto" w:fill="auto"/>
            <w:vAlign w:val="center"/>
          </w:tcPr>
          <w:p w14:paraId="7F2FE819" w14:textId="77777777" w:rsidR="006C17FF" w:rsidRDefault="006C17FF" w:rsidP="00855B62">
            <w:pPr>
              <w:spacing w:after="0" w:line="240" w:lineRule="auto"/>
              <w:jc w:val="center"/>
              <w:rPr>
                <w:color w:val="272727"/>
              </w:rPr>
            </w:pPr>
            <w:r>
              <w:rPr>
                <w:color w:val="272727"/>
              </w:rPr>
              <w:t>23</w:t>
            </w:r>
          </w:p>
        </w:tc>
        <w:tc>
          <w:tcPr>
            <w:tcW w:w="960" w:type="dxa"/>
            <w:shd w:val="clear" w:color="auto" w:fill="auto"/>
            <w:vAlign w:val="center"/>
          </w:tcPr>
          <w:p w14:paraId="6BE7F79F" w14:textId="77777777" w:rsidR="006C17FF" w:rsidRDefault="006C17FF" w:rsidP="00855B62">
            <w:pPr>
              <w:spacing w:after="0" w:line="240" w:lineRule="auto"/>
              <w:jc w:val="center"/>
              <w:rPr>
                <w:color w:val="272727"/>
              </w:rPr>
            </w:pPr>
            <w:r>
              <w:rPr>
                <w:color w:val="272727"/>
              </w:rPr>
              <w:t>45.10%</w:t>
            </w:r>
          </w:p>
        </w:tc>
      </w:tr>
      <w:tr w:rsidR="006C17FF" w14:paraId="1A33AF15" w14:textId="77777777" w:rsidTr="00855B62">
        <w:trPr>
          <w:trHeight w:val="300"/>
        </w:trPr>
        <w:tc>
          <w:tcPr>
            <w:tcW w:w="5820" w:type="dxa"/>
            <w:shd w:val="clear" w:color="auto" w:fill="auto"/>
            <w:vAlign w:val="center"/>
          </w:tcPr>
          <w:p w14:paraId="316376DC" w14:textId="77777777" w:rsidR="006C17FF" w:rsidRDefault="006C17FF" w:rsidP="00855B62">
            <w:pPr>
              <w:spacing w:after="0" w:line="240" w:lineRule="auto"/>
              <w:rPr>
                <w:color w:val="272727"/>
              </w:rPr>
            </w:pPr>
            <w:r>
              <w:rPr>
                <w:color w:val="272727"/>
              </w:rPr>
              <w:t>From an international source</w:t>
            </w:r>
          </w:p>
        </w:tc>
        <w:tc>
          <w:tcPr>
            <w:tcW w:w="960" w:type="dxa"/>
            <w:shd w:val="clear" w:color="auto" w:fill="auto"/>
            <w:vAlign w:val="center"/>
          </w:tcPr>
          <w:p w14:paraId="4FD3A14D" w14:textId="77777777" w:rsidR="006C17FF" w:rsidRDefault="006C17FF" w:rsidP="00855B62">
            <w:pPr>
              <w:spacing w:after="0" w:line="240" w:lineRule="auto"/>
              <w:jc w:val="center"/>
              <w:rPr>
                <w:color w:val="272727"/>
              </w:rPr>
            </w:pPr>
            <w:r>
              <w:rPr>
                <w:color w:val="272727"/>
              </w:rPr>
              <w:t>16</w:t>
            </w:r>
          </w:p>
        </w:tc>
        <w:tc>
          <w:tcPr>
            <w:tcW w:w="960" w:type="dxa"/>
            <w:shd w:val="clear" w:color="auto" w:fill="auto"/>
            <w:vAlign w:val="center"/>
          </w:tcPr>
          <w:p w14:paraId="04DFD67A" w14:textId="77777777" w:rsidR="006C17FF" w:rsidRDefault="006C17FF" w:rsidP="00855B62">
            <w:pPr>
              <w:spacing w:after="0" w:line="240" w:lineRule="auto"/>
              <w:jc w:val="center"/>
              <w:rPr>
                <w:color w:val="272727"/>
              </w:rPr>
            </w:pPr>
            <w:r>
              <w:rPr>
                <w:color w:val="272727"/>
              </w:rPr>
              <w:t>31.40%</w:t>
            </w:r>
          </w:p>
        </w:tc>
      </w:tr>
      <w:tr w:rsidR="006C17FF" w14:paraId="5FF7C47A" w14:textId="77777777" w:rsidTr="00855B62">
        <w:trPr>
          <w:trHeight w:val="300"/>
        </w:trPr>
        <w:tc>
          <w:tcPr>
            <w:tcW w:w="5820" w:type="dxa"/>
            <w:shd w:val="clear" w:color="auto" w:fill="auto"/>
            <w:vAlign w:val="center"/>
          </w:tcPr>
          <w:p w14:paraId="4BD08B46" w14:textId="77777777" w:rsidR="006C17FF" w:rsidRDefault="006C17FF" w:rsidP="00855B62">
            <w:pPr>
              <w:spacing w:after="0" w:line="240" w:lineRule="auto"/>
              <w:rPr>
                <w:color w:val="272727"/>
              </w:rPr>
            </w:pPr>
            <w:r>
              <w:rPr>
                <w:color w:val="272727"/>
              </w:rPr>
              <w:t>From a university collaborative</w:t>
            </w:r>
          </w:p>
        </w:tc>
        <w:tc>
          <w:tcPr>
            <w:tcW w:w="960" w:type="dxa"/>
            <w:shd w:val="clear" w:color="auto" w:fill="auto"/>
            <w:vAlign w:val="center"/>
          </w:tcPr>
          <w:p w14:paraId="1A7BE3AF" w14:textId="77777777" w:rsidR="006C17FF" w:rsidRDefault="006C17FF" w:rsidP="00855B62">
            <w:pPr>
              <w:spacing w:after="0" w:line="240" w:lineRule="auto"/>
              <w:jc w:val="center"/>
              <w:rPr>
                <w:color w:val="272727"/>
              </w:rPr>
            </w:pPr>
            <w:r>
              <w:rPr>
                <w:color w:val="272727"/>
              </w:rPr>
              <w:t>12</w:t>
            </w:r>
          </w:p>
        </w:tc>
        <w:tc>
          <w:tcPr>
            <w:tcW w:w="960" w:type="dxa"/>
            <w:shd w:val="clear" w:color="auto" w:fill="auto"/>
            <w:vAlign w:val="center"/>
          </w:tcPr>
          <w:p w14:paraId="1DDA6F97" w14:textId="77777777" w:rsidR="006C17FF" w:rsidRDefault="006C17FF" w:rsidP="00855B62">
            <w:pPr>
              <w:spacing w:after="0" w:line="240" w:lineRule="auto"/>
              <w:jc w:val="center"/>
              <w:rPr>
                <w:color w:val="272727"/>
              </w:rPr>
            </w:pPr>
            <w:r>
              <w:rPr>
                <w:color w:val="272727"/>
              </w:rPr>
              <w:t>23.50%</w:t>
            </w:r>
          </w:p>
        </w:tc>
      </w:tr>
    </w:tbl>
    <w:p w14:paraId="3F39673E" w14:textId="77777777" w:rsidR="006C17FF" w:rsidRDefault="006C17FF" w:rsidP="006C17FF"/>
    <w:p w14:paraId="183A9715" w14:textId="26A5DE99" w:rsidR="006C17FF" w:rsidRDefault="006C17FF" w:rsidP="006C17FF">
      <w:pPr>
        <w:spacing w:line="480" w:lineRule="auto"/>
      </w:pPr>
      <w:r>
        <w:t xml:space="preserve">Often, respondents indicated that education was received, however less than half had received education from their </w:t>
      </w:r>
      <w:r w:rsidR="00E036F2">
        <w:t>organisation</w:t>
      </w:r>
      <w:r>
        <w:t>. This supports the notion that climate education and/or training is not an organisational priority or</w:t>
      </w:r>
      <w:r w:rsidR="00E036F2">
        <w:t>,</w:t>
      </w:r>
      <w:r>
        <w:t xml:space="preserve"> if it does exist</w:t>
      </w:r>
      <w:r w:rsidR="00E036F2">
        <w:t>,</w:t>
      </w:r>
      <w:r>
        <w:t xml:space="preserve"> is not mandatory for leaders. Further evidence of this gap is that most respondents selected </w:t>
      </w:r>
      <w:proofErr w:type="spellStart"/>
      <w:r>
        <w:t>self learning</w:t>
      </w:r>
      <w:proofErr w:type="spellEnd"/>
      <w:r>
        <w:t xml:space="preserve"> as the platform in which they had received education. This highlights a gap, as described by leaders, of climate change education within health organisations in the UK and Canada. </w:t>
      </w:r>
    </w:p>
    <w:sdt>
      <w:sdtPr>
        <w:tag w:val="goog_rdk_40"/>
        <w:id w:val="1806943466"/>
      </w:sdtPr>
      <w:sdtContent>
        <w:p w14:paraId="1AC2C724" w14:textId="74DA732B" w:rsidR="006C17FF" w:rsidRDefault="00000000" w:rsidP="006C17FF">
          <w:pPr>
            <w:pStyle w:val="Heading2"/>
          </w:pPr>
          <w:sdt>
            <w:sdtPr>
              <w:tag w:val="goog_rdk_38"/>
              <w:id w:val="1513598740"/>
            </w:sdtPr>
            <w:sdtContent>
              <w:r w:rsidR="006C17FF">
                <w:br w:type="page"/>
              </w:r>
              <w:sdt>
                <w:sdtPr>
                  <w:tag w:val="goog_rdk_39"/>
                  <w:id w:val="-1245360190"/>
                  <w:showingPlcHdr/>
                </w:sdtPr>
                <w:sdtContent>
                  <w:r w:rsidR="00FD1774">
                    <w:t xml:space="preserve">     </w:t>
                  </w:r>
                </w:sdtContent>
              </w:sdt>
              <w:bookmarkStart w:id="89" w:name="_heading=h.7hxv1btcdluc" w:colFirst="0" w:colLast="0"/>
              <w:bookmarkEnd w:id="89"/>
            </w:sdtContent>
          </w:sdt>
        </w:p>
      </w:sdtContent>
    </w:sdt>
    <w:bookmarkStart w:id="90" w:name="_Toc225937209" w:displacedByCustomXml="next"/>
    <w:sdt>
      <w:sdtPr>
        <w:tag w:val="goog_rdk_42"/>
        <w:id w:val="2069977194"/>
      </w:sdtPr>
      <w:sdtContent>
        <w:p w14:paraId="3D5E60A2" w14:textId="77777777" w:rsidR="006C17FF" w:rsidRPr="00015EFF" w:rsidRDefault="00000000" w:rsidP="006C17FF">
          <w:pPr>
            <w:pStyle w:val="Heading2"/>
          </w:pPr>
          <w:sdt>
            <w:sdtPr>
              <w:tag w:val="goog_rdk_41"/>
              <w:id w:val="-252732864"/>
            </w:sdtPr>
            <w:sdtContent>
              <w:r w:rsidR="006C17FF">
                <w:t xml:space="preserve">Segment 3 </w:t>
              </w:r>
              <w:r w:rsidR="006C17FF" w:rsidRPr="00015EFF">
                <w:t xml:space="preserve">Climate Change and Health Competencies </w:t>
              </w:r>
            </w:sdtContent>
          </w:sdt>
        </w:p>
      </w:sdtContent>
    </w:sdt>
    <w:bookmarkEnd w:id="90" w:displacedByCustomXml="prev"/>
    <w:p w14:paraId="68ADF54D" w14:textId="07A8A287" w:rsidR="006C17FF" w:rsidRDefault="006C17FF" w:rsidP="006C17FF">
      <w:pPr>
        <w:spacing w:line="480" w:lineRule="auto"/>
      </w:pPr>
      <w:r>
        <w:t xml:space="preserve">As described in Chapter 3, a list of competencies was included in the survey. Respondents were asked to rate their level of competence (See </w:t>
      </w:r>
      <w:r w:rsidR="00FD1774">
        <w:t>T</w:t>
      </w:r>
      <w:r>
        <w:t xml:space="preserve">able </w:t>
      </w:r>
      <w:r w:rsidR="00FD1774">
        <w:t>14</w:t>
      </w:r>
      <w:r>
        <w:t>) on a 5-point scale</w:t>
      </w:r>
      <w:sdt>
        <w:sdtPr>
          <w:tag w:val="goog_rdk_120"/>
          <w:id w:val="-1077364594"/>
        </w:sdtPr>
        <w:sdtContent>
          <w:r>
            <w:t>. H</w:t>
          </w:r>
        </w:sdtContent>
      </w:sdt>
      <w:r>
        <w:t xml:space="preserve">igh competence scoring, such as a 4 or 5, indicated the ability to act on knowledge held through observable behaviours. Scoring a 3 was described as competent, or in other words respondents knew what the competency was, what to do with it, and how to do it. Scoring a 1 or 2 indicated that the respondent had factual knowledge and was competent in knowing the facts and a </w:t>
      </w:r>
      <w:proofErr w:type="spellStart"/>
      <w:r>
        <w:t>self rated</w:t>
      </w:r>
      <w:proofErr w:type="spellEnd"/>
      <w:r>
        <w:t xml:space="preserve"> score of zero denoted that the concepts were new to the respondent. </w:t>
      </w:r>
    </w:p>
    <w:p w14:paraId="74A86BA1" w14:textId="7008808A" w:rsidR="006C17FF" w:rsidRDefault="00000000" w:rsidP="006C17FF">
      <w:pPr>
        <w:spacing w:line="480" w:lineRule="auto"/>
      </w:pPr>
      <w:sdt>
        <w:sdtPr>
          <w:tag w:val="goog_rdk_43"/>
          <w:id w:val="-812548300"/>
        </w:sdtPr>
        <w:sdtContent/>
      </w:sdt>
      <w:sdt>
        <w:sdtPr>
          <w:tag w:val="goog_rdk_44"/>
          <w:id w:val="437158324"/>
        </w:sdtPr>
        <w:sdtContent/>
      </w:sdt>
      <w:r w:rsidR="006C17FF">
        <w:t xml:space="preserve">All competencies scored (n=53) ranged between 0 to 5, except for ‘the effects of climate change on human health’ and ‘share lessons learned from emergency responses…’ which the minimum score was 1. This indicates that there was a level of competency across </w:t>
      </w:r>
      <w:r w:rsidR="006C350C">
        <w:t xml:space="preserve">the majority of </w:t>
      </w:r>
      <w:r w:rsidR="006C17FF">
        <w:t xml:space="preserve">respondents. Maximum scoring for all categories was 5 and distribution of 0-5 scoring ranged across competencies with mean scores from 2.6 to 3.8. The highest mean score categories where ‘drivers and pressures of climate change’ (3.8), ‘the effects of climate change on human health’ (3.7), ‘health system climate change vulnerabilities and hazards’ (3.7), and ‘health system mitigation and adaptation strategies- emissions and waste reduction’ (3.7). The lowest mean score was from the competency ‘manage extreme weather and climate emergencies’ (2.6) and ‘public health improvements and implementation strategies to increase resiliency…’ (2.7). While leaders appeared knowledgeable about scientific aspects of climate change and health, they described having less competency to manage the effects of climate change. This perhaps isn’t a surprise given the degree to which they are educated on managing climate change that was highlighted in the previous section.  </w:t>
      </w:r>
    </w:p>
    <w:p w14:paraId="77F71951" w14:textId="33DE64CE" w:rsidR="0031750D" w:rsidRDefault="0031750D">
      <w:pPr>
        <w:spacing w:line="278" w:lineRule="auto"/>
      </w:pPr>
      <w:r>
        <w:br w:type="page"/>
      </w:r>
    </w:p>
    <w:p w14:paraId="2CF61BD5" w14:textId="77777777" w:rsidR="0031750D" w:rsidRDefault="0031750D" w:rsidP="006C17FF">
      <w:pPr>
        <w:spacing w:line="480" w:lineRule="auto"/>
        <w:rPr>
          <w:rStyle w:val="Heading3Char"/>
        </w:rPr>
        <w:sectPr w:rsidR="0031750D" w:rsidSect="006C17FF">
          <w:pgSz w:w="12240" w:h="15840"/>
          <w:pgMar w:top="1440" w:right="1440" w:bottom="1440" w:left="1440" w:header="708" w:footer="708" w:gutter="0"/>
          <w:cols w:space="720"/>
        </w:sectPr>
      </w:pPr>
    </w:p>
    <w:p w14:paraId="60080167" w14:textId="36CC440B" w:rsidR="00FC7E02" w:rsidRDefault="001371F5" w:rsidP="006C17FF">
      <w:pPr>
        <w:spacing w:line="480" w:lineRule="auto"/>
        <w:rPr>
          <w:rStyle w:val="Heading3Char"/>
        </w:rPr>
      </w:pPr>
      <w:r>
        <w:rPr>
          <w:rStyle w:val="Heading3Char"/>
        </w:rPr>
        <w:lastRenderedPageBreak/>
        <w:t>Figure</w:t>
      </w:r>
      <w:r w:rsidR="00FC7E02" w:rsidRPr="0084086A">
        <w:rPr>
          <w:rStyle w:val="Heading3Char"/>
        </w:rPr>
        <w:t xml:space="preserve"> </w:t>
      </w:r>
      <w:r w:rsidR="00FC7E02">
        <w:rPr>
          <w:rStyle w:val="Heading3Char"/>
        </w:rPr>
        <w:t>14</w:t>
      </w:r>
      <w:r w:rsidR="00FC7E02" w:rsidRPr="0084086A">
        <w:rPr>
          <w:rStyle w:val="Heading3Char"/>
        </w:rPr>
        <w:t>: Summary Statistics</w:t>
      </w:r>
      <w:r w:rsidR="00420ADB">
        <w:rPr>
          <w:rStyle w:val="Heading3Char"/>
        </w:rPr>
        <w:t xml:space="preserve"> Stacked Likert Chart</w:t>
      </w:r>
    </w:p>
    <w:p w14:paraId="4F74A80F" w14:textId="4AFEE0D3" w:rsidR="0031750D" w:rsidRDefault="0031750D" w:rsidP="006C17FF">
      <w:pPr>
        <w:spacing w:line="480" w:lineRule="auto"/>
      </w:pPr>
      <w:r w:rsidRPr="0031750D">
        <w:rPr>
          <w:noProof/>
        </w:rPr>
        <w:drawing>
          <wp:inline distT="0" distB="0" distL="0" distR="0" wp14:anchorId="2F03DAAA" wp14:editId="34B298A5">
            <wp:extent cx="7010400" cy="4673600"/>
            <wp:effectExtent l="0" t="0" r="0" b="0"/>
            <wp:docPr id="47943095"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3095" name="Picture 1" descr="A screenshot of a graph"/>
                    <pic:cNvPicPr/>
                  </pic:nvPicPr>
                  <pic:blipFill>
                    <a:blip r:embed="rId15"/>
                    <a:stretch>
                      <a:fillRect/>
                    </a:stretch>
                  </pic:blipFill>
                  <pic:spPr>
                    <a:xfrm>
                      <a:off x="0" y="0"/>
                      <a:ext cx="7010678" cy="4673785"/>
                    </a:xfrm>
                    <a:prstGeom prst="rect">
                      <a:avLst/>
                    </a:prstGeom>
                  </pic:spPr>
                </pic:pic>
              </a:graphicData>
            </a:graphic>
          </wp:inline>
        </w:drawing>
      </w:r>
    </w:p>
    <w:p w14:paraId="789697A9" w14:textId="7E2E508D" w:rsidR="0031750D" w:rsidRDefault="00420ADB" w:rsidP="006C17FF">
      <w:pPr>
        <w:sectPr w:rsidR="0031750D" w:rsidSect="004B333E">
          <w:pgSz w:w="15840" w:h="12240" w:orient="landscape"/>
          <w:pgMar w:top="1440" w:right="1440" w:bottom="1440" w:left="1440" w:header="709" w:footer="709" w:gutter="0"/>
          <w:cols w:space="720"/>
        </w:sectPr>
      </w:pPr>
      <w:r>
        <w:t>Image generated by Microsoft365 Co-Pilot</w:t>
      </w:r>
      <w:r w:rsidRPr="00F92AC6">
        <w:t>, GPT</w:t>
      </w:r>
      <w:r w:rsidRPr="00F92AC6">
        <w:noBreakHyphen/>
        <w:t xml:space="preserve">5 chat model, </w:t>
      </w:r>
      <w:r w:rsidR="00532B77">
        <w:t>August 1st</w:t>
      </w:r>
      <w:r>
        <w:t>, 2026 with the prompt “t</w:t>
      </w:r>
      <w:r w:rsidRPr="00F92AC6">
        <w:t xml:space="preserve">urn descriptive frequency data </w:t>
      </w:r>
      <w:r>
        <w:t xml:space="preserve">into stacked </w:t>
      </w:r>
      <w:proofErr w:type="spellStart"/>
      <w:r>
        <w:t>likert</w:t>
      </w:r>
      <w:proofErr w:type="spellEnd"/>
      <w:r>
        <w:t xml:space="preserve"> chart”</w:t>
      </w:r>
      <w:r w:rsidR="004B333E">
        <w:t>.</w:t>
      </w:r>
    </w:p>
    <w:p w14:paraId="33F5EA20" w14:textId="77777777" w:rsidR="006C17FF" w:rsidRDefault="006C17FF" w:rsidP="006C17FF"/>
    <w:p w14:paraId="7C23A36A" w14:textId="77777777" w:rsidR="006C17FF" w:rsidRDefault="006C17FF" w:rsidP="006C17FF">
      <w:pPr>
        <w:pStyle w:val="Heading2"/>
      </w:pPr>
      <w:bookmarkStart w:id="91" w:name="_Toc225937210"/>
      <w:r>
        <w:t xml:space="preserve">Segment 4 </w:t>
      </w:r>
      <w:r w:rsidRPr="00015EFF">
        <w:t xml:space="preserve">Climate Change and Health </w:t>
      </w:r>
      <w:r>
        <w:t>Capacities</w:t>
      </w:r>
      <w:bookmarkEnd w:id="91"/>
    </w:p>
    <w:p w14:paraId="7E4118E2" w14:textId="77777777" w:rsidR="006C17FF" w:rsidRPr="00C921A8" w:rsidRDefault="006C17FF" w:rsidP="006C17FF"/>
    <w:p w14:paraId="22648E37" w14:textId="0B629F11" w:rsidR="006C17FF" w:rsidRDefault="006C17FF" w:rsidP="006C17FF">
      <w:pPr>
        <w:spacing w:line="480" w:lineRule="auto"/>
      </w:pPr>
      <w:r>
        <w:t xml:space="preserve">Following competencies respondents were asked to </w:t>
      </w:r>
      <w:proofErr w:type="spellStart"/>
      <w:r>
        <w:t>self rate</w:t>
      </w:r>
      <w:proofErr w:type="spellEnd"/>
      <w:r>
        <w:t xml:space="preserve"> their capacity considering time available to train and learn to further develop the competency (Table </w:t>
      </w:r>
      <w:r w:rsidR="00FD1774">
        <w:t>15</w:t>
      </w:r>
      <w:r>
        <w:t>). The capacity scale uses the same topics as those provided in the competency scale, with one modification. A scale of 0-2 was used, with a score of ‘0’ denot</w:t>
      </w:r>
      <w:sdt>
        <w:sdtPr>
          <w:tag w:val="goog_rdk_139"/>
          <w:id w:val="-1178697147"/>
        </w:sdtPr>
        <w:sdtContent>
          <w:r>
            <w:t>ing</w:t>
          </w:r>
        </w:sdtContent>
      </w:sdt>
      <w:r>
        <w:t xml:space="preserve"> the respondent did not have time to become competent, ‘1’ limited time to become competent, and ‘2’ indicated time was available for the respondent to become competent. The scale varied in terms of total responses</w:t>
      </w:r>
      <w:r w:rsidR="006C350C">
        <w:t>, ranging</w:t>
      </w:r>
      <w:r>
        <w:t xml:space="preserve"> from 47 to 51. This </w:t>
      </w:r>
      <w:r w:rsidR="006C350C">
        <w:t xml:space="preserve">variation </w:t>
      </w:r>
      <w:r>
        <w:t>was due to responses being excluded as they were rated with a value different from 0,1, or 2 and removed from the data set.</w:t>
      </w:r>
    </w:p>
    <w:p w14:paraId="06B08E0E" w14:textId="3AEC6B52" w:rsidR="006C17FF" w:rsidRDefault="006C17FF" w:rsidP="006C17FF">
      <w:pPr>
        <w:spacing w:line="480" w:lineRule="auto"/>
      </w:pPr>
      <w:r>
        <w:t xml:space="preserve">All topics rated ranged from a ‘0’ minimum score to </w:t>
      </w:r>
      <w:r w:rsidR="00906651">
        <w:t>a maximum</w:t>
      </w:r>
      <w:r>
        <w:t xml:space="preserve"> score</w:t>
      </w:r>
      <w:r w:rsidR="006C350C">
        <w:t xml:space="preserve"> of ‘2’</w:t>
      </w:r>
      <w:r>
        <w:t xml:space="preserve">. The median for all but one topic was ‘1’ with ‘health system climate change vulnerabilities and hazards’ having a median of 1.5. Standard deviation ranged from </w:t>
      </w:r>
      <w:r w:rsidR="006C350C">
        <w:t>0</w:t>
      </w:r>
      <w:r>
        <w:t xml:space="preserve">.54 to </w:t>
      </w:r>
      <w:r w:rsidR="006C350C">
        <w:t>0</w:t>
      </w:r>
      <w:r>
        <w:t xml:space="preserve">.77 and the mean across topics ranged from </w:t>
      </w:r>
      <w:r w:rsidR="006C350C">
        <w:t>0</w:t>
      </w:r>
      <w:r>
        <w:t xml:space="preserve">.9 (n=2) to 1.5 (n=1). </w:t>
      </w:r>
      <w:proofErr w:type="gramStart"/>
      <w:r>
        <w:t>Similarly</w:t>
      </w:r>
      <w:proofErr w:type="gramEnd"/>
      <w:r>
        <w:t xml:space="preserve"> to the competency scoring the distribution of 0-2 scores across topics was varied.</w:t>
      </w:r>
    </w:p>
    <w:p w14:paraId="7E122573" w14:textId="0AABB5E1" w:rsidR="00532B77" w:rsidRDefault="00532B77">
      <w:pPr>
        <w:spacing w:line="278" w:lineRule="auto"/>
        <w:rPr>
          <w:rStyle w:val="Heading3Char"/>
        </w:rPr>
      </w:pPr>
      <w:r>
        <w:rPr>
          <w:rStyle w:val="Heading3Char"/>
        </w:rPr>
        <w:br w:type="page"/>
      </w:r>
    </w:p>
    <w:p w14:paraId="4E9FFB1A" w14:textId="77777777" w:rsidR="00532B77" w:rsidRDefault="00532B77" w:rsidP="00906651">
      <w:pPr>
        <w:spacing w:line="480" w:lineRule="auto"/>
        <w:rPr>
          <w:rStyle w:val="Heading3Char"/>
        </w:rPr>
        <w:sectPr w:rsidR="00532B77" w:rsidSect="006C17FF">
          <w:pgSz w:w="12240" w:h="15840"/>
          <w:pgMar w:top="1440" w:right="1440" w:bottom="1440" w:left="1440" w:header="708" w:footer="708" w:gutter="0"/>
          <w:cols w:space="720"/>
        </w:sectPr>
      </w:pPr>
    </w:p>
    <w:p w14:paraId="199997EB" w14:textId="717F8915" w:rsidR="00906651" w:rsidRDefault="001371F5" w:rsidP="00906651">
      <w:pPr>
        <w:spacing w:line="480" w:lineRule="auto"/>
        <w:rPr>
          <w:rStyle w:val="Heading3Char"/>
        </w:rPr>
      </w:pPr>
      <w:r>
        <w:rPr>
          <w:rStyle w:val="Heading3Char"/>
        </w:rPr>
        <w:lastRenderedPageBreak/>
        <w:t>Figure</w:t>
      </w:r>
      <w:r w:rsidR="00F34D81" w:rsidRPr="0084086A">
        <w:rPr>
          <w:rStyle w:val="Heading3Char"/>
        </w:rPr>
        <w:t xml:space="preserve"> </w:t>
      </w:r>
      <w:r w:rsidR="00F34D81">
        <w:rPr>
          <w:rStyle w:val="Heading3Char"/>
        </w:rPr>
        <w:t>15:</w:t>
      </w:r>
      <w:r w:rsidR="00F34D81" w:rsidRPr="0084086A">
        <w:rPr>
          <w:rStyle w:val="Heading3Char"/>
        </w:rPr>
        <w:t xml:space="preserve"> Descriptive statistics on study variables</w:t>
      </w:r>
      <w:r w:rsidR="00F34D81">
        <w:rPr>
          <w:rStyle w:val="Heading3Char"/>
        </w:rPr>
        <w:t xml:space="preserve"> stacked </w:t>
      </w:r>
      <w:proofErr w:type="spellStart"/>
      <w:r w:rsidR="00F34D81">
        <w:rPr>
          <w:rStyle w:val="Heading3Char"/>
        </w:rPr>
        <w:t>likert</w:t>
      </w:r>
      <w:proofErr w:type="spellEnd"/>
      <w:r w:rsidR="00F34D81">
        <w:rPr>
          <w:rStyle w:val="Heading3Char"/>
        </w:rPr>
        <w:t xml:space="preserve"> chart</w:t>
      </w:r>
    </w:p>
    <w:p w14:paraId="74F5560D" w14:textId="4390F992" w:rsidR="00532B77" w:rsidRDefault="00532B77" w:rsidP="00906651">
      <w:pPr>
        <w:spacing w:line="480" w:lineRule="auto"/>
      </w:pPr>
      <w:r w:rsidRPr="00532B77">
        <w:rPr>
          <w:noProof/>
        </w:rPr>
        <w:drawing>
          <wp:inline distT="0" distB="0" distL="0" distR="0" wp14:anchorId="2BC3404A" wp14:editId="3F161D0D">
            <wp:extent cx="4991241" cy="4083113"/>
            <wp:effectExtent l="0" t="0" r="0" b="0"/>
            <wp:docPr id="113329517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95177" name="Picture 1" descr="A screen shot of a graph&#10;&#10;AI-generated content may be incorrect."/>
                    <pic:cNvPicPr/>
                  </pic:nvPicPr>
                  <pic:blipFill>
                    <a:blip r:embed="rId16"/>
                    <a:stretch>
                      <a:fillRect/>
                    </a:stretch>
                  </pic:blipFill>
                  <pic:spPr>
                    <a:xfrm>
                      <a:off x="0" y="0"/>
                      <a:ext cx="4991241" cy="4083113"/>
                    </a:xfrm>
                    <a:prstGeom prst="rect">
                      <a:avLst/>
                    </a:prstGeom>
                  </pic:spPr>
                </pic:pic>
              </a:graphicData>
            </a:graphic>
          </wp:inline>
        </w:drawing>
      </w:r>
    </w:p>
    <w:p w14:paraId="55424477" w14:textId="44BACCEF" w:rsidR="00532B77" w:rsidRPr="004B333E" w:rsidRDefault="00532B77" w:rsidP="004B333E">
      <w:pPr>
        <w:spacing w:line="240" w:lineRule="auto"/>
        <w:rPr>
          <w:sz w:val="18"/>
          <w:szCs w:val="18"/>
        </w:rPr>
      </w:pPr>
      <w:r w:rsidRPr="004B333E">
        <w:rPr>
          <w:sz w:val="18"/>
          <w:szCs w:val="18"/>
        </w:rPr>
        <w:t>For a complete list of capacity categories see Figure 14.</w:t>
      </w:r>
      <w:r>
        <w:t xml:space="preserve"> </w:t>
      </w:r>
    </w:p>
    <w:p w14:paraId="72349229" w14:textId="27BE5950" w:rsidR="00532B77" w:rsidRDefault="00906651" w:rsidP="004B333E">
      <w:pPr>
        <w:spacing w:line="240" w:lineRule="auto"/>
        <w:sectPr w:rsidR="00532B77" w:rsidSect="004B333E">
          <w:pgSz w:w="15840" w:h="12240" w:orient="landscape"/>
          <w:pgMar w:top="1440" w:right="1440" w:bottom="1440" w:left="1440" w:header="709" w:footer="709" w:gutter="0"/>
          <w:cols w:space="720"/>
        </w:sectPr>
      </w:pPr>
      <w:r>
        <w:t>Image generated by Microsoft365 Co-Pilot</w:t>
      </w:r>
      <w:r w:rsidRPr="00F92AC6">
        <w:t>, GPT</w:t>
      </w:r>
      <w:r w:rsidRPr="00F92AC6">
        <w:noBreakHyphen/>
        <w:t xml:space="preserve">5 chat model, </w:t>
      </w:r>
      <w:r w:rsidR="00532B77">
        <w:t>August 1st</w:t>
      </w:r>
      <w:r>
        <w:t>, 2026 with the prompt “t</w:t>
      </w:r>
      <w:r w:rsidRPr="00F92AC6">
        <w:t xml:space="preserve">urn descriptive frequency data </w:t>
      </w:r>
      <w:r>
        <w:t xml:space="preserve">into stacked </w:t>
      </w:r>
      <w:proofErr w:type="spellStart"/>
      <w:r>
        <w:t>likert</w:t>
      </w:r>
      <w:proofErr w:type="spellEnd"/>
      <w:r>
        <w:t xml:space="preserve"> cha</w:t>
      </w:r>
      <w:r w:rsidR="002A28D2">
        <w:t>rt.</w:t>
      </w:r>
    </w:p>
    <w:p w14:paraId="46672ADD" w14:textId="74BDBC66" w:rsidR="002A28D2" w:rsidRPr="002A28D2" w:rsidRDefault="002A28D2" w:rsidP="002A28D2">
      <w:pPr>
        <w:tabs>
          <w:tab w:val="left" w:pos="1640"/>
        </w:tabs>
        <w:sectPr w:rsidR="002A28D2" w:rsidRPr="002A28D2" w:rsidSect="006C17FF">
          <w:pgSz w:w="12240" w:h="15840"/>
          <w:pgMar w:top="1440" w:right="1440" w:bottom="1440" w:left="1440" w:header="708" w:footer="708" w:gutter="0"/>
          <w:cols w:space="720"/>
        </w:sectPr>
      </w:pPr>
    </w:p>
    <w:sdt>
      <w:sdtPr>
        <w:tag w:val="goog_rdk_49"/>
        <w:id w:val="1420278763"/>
      </w:sdtPr>
      <w:sdtContent>
        <w:p w14:paraId="54502EA3" w14:textId="77777777" w:rsidR="006C17FF" w:rsidRPr="003A2FDA" w:rsidRDefault="00000000" w:rsidP="006C17FF">
          <w:pPr>
            <w:rPr>
              <w:rFonts w:ascii="Arial" w:eastAsia="Arial" w:hAnsi="Arial" w:cs="Arial"/>
              <w:color w:val="000000"/>
            </w:rPr>
          </w:pPr>
          <w:sdt>
            <w:sdtPr>
              <w:rPr>
                <w:rStyle w:val="Heading2Char"/>
              </w:rPr>
              <w:tag w:val="goog_rdk_47"/>
              <w:id w:val="-230558184"/>
            </w:sdtPr>
            <w:sdtContent>
              <w:r w:rsidR="006C17FF" w:rsidRPr="00C277B4">
                <w:rPr>
                  <w:rStyle w:val="Heading2Char"/>
                </w:rPr>
                <w:t>Analysis and Discussion</w:t>
              </w:r>
            </w:sdtContent>
          </w:sdt>
          <w:sdt>
            <w:sdtPr>
              <w:rPr>
                <w:rStyle w:val="Heading2Char"/>
              </w:rPr>
              <w:tag w:val="goog_rdk_48"/>
              <w:id w:val="-2081273624"/>
            </w:sdtPr>
            <w:sdtContent/>
          </w:sdt>
        </w:p>
      </w:sdtContent>
    </w:sdt>
    <w:p w14:paraId="231A1688" w14:textId="77777777" w:rsidR="006C17FF" w:rsidRPr="00C277B4" w:rsidRDefault="006C17FF" w:rsidP="006C17FF">
      <w:pPr>
        <w:pStyle w:val="Heading3"/>
      </w:pPr>
      <w:bookmarkStart w:id="92" w:name="_Toc225937211"/>
      <w:r w:rsidRPr="00C277B4">
        <w:t>Country of employment</w:t>
      </w:r>
      <w:bookmarkEnd w:id="92"/>
    </w:p>
    <w:p w14:paraId="3ADF27CA" w14:textId="6A296588" w:rsidR="006C17FF" w:rsidRDefault="006C17FF" w:rsidP="006C17FF">
      <w:pPr>
        <w:spacing w:line="480" w:lineRule="auto"/>
      </w:pPr>
      <w:r>
        <w:t>Comparative analysis using cross-tabulation in Qualtrics was utilized</w:t>
      </w:r>
      <w:r w:rsidR="006C350C">
        <w:t>,</w:t>
      </w:r>
      <w:r>
        <w:t xml:space="preserve"> drawing from country of employment as the independent variable. The ‘other’ category was removed</w:t>
      </w:r>
      <w:r w:rsidR="006C350C">
        <w:t>,</w:t>
      </w:r>
      <w:r>
        <w:t xml:space="preserve"> given the study’s focus on respondents from the UK and Canada (n=63). Mean scores were drawn from a Likert </w:t>
      </w:r>
      <w:r w:rsidR="006C350C">
        <w:t>s</w:t>
      </w:r>
      <w:r>
        <w:t xml:space="preserve">cale (1=strongly </w:t>
      </w:r>
      <w:r w:rsidR="006C350C">
        <w:t>a</w:t>
      </w:r>
      <w:r>
        <w:t xml:space="preserve">gree, 2=somewhat agree, 3= </w:t>
      </w:r>
      <w:r w:rsidR="006C350C">
        <w:t>n</w:t>
      </w:r>
      <w:r>
        <w:t>either agree nor disagree, 4= somewhat disagree, 5=strongly disagree). When asked whether their ‘organization has been impacted by climate</w:t>
      </w:r>
      <w:r w:rsidR="006C350C">
        <w:t>-</w:t>
      </w:r>
      <w:r>
        <w:t xml:space="preserve">influenced emergencies in the last 2 years’ respondents in Canada (1.5) had a higher mean score than respondents in the UK (2.0). Nearly all respondents in Canada (n=19) strongly agreed (n=16) with this statement while those in the UK (n=41) had a more skewed distribution towards ‘somewhat agree’ (n=22). This </w:t>
      </w:r>
      <w:r w:rsidR="00EF0589">
        <w:t xml:space="preserve">observation </w:t>
      </w:r>
      <w:r>
        <w:t>may reflect lived experience</w:t>
      </w:r>
      <w:r w:rsidR="006C350C">
        <w:t>s</w:t>
      </w:r>
      <w:r>
        <w:t>, particularly the prevalence of wildfire events across Canada recently and related impacts on provincial health systems.</w:t>
      </w:r>
    </w:p>
    <w:p w14:paraId="1E0635B2" w14:textId="30CAEB4A" w:rsidR="006C17FF" w:rsidRDefault="00000000" w:rsidP="006C17FF">
      <w:pPr>
        <w:spacing w:line="480" w:lineRule="auto"/>
      </w:pPr>
      <w:sdt>
        <w:sdtPr>
          <w:tag w:val="goog_rdk_50"/>
          <w:id w:val="1619844489"/>
        </w:sdtPr>
        <w:sdtContent/>
      </w:sdt>
      <w:r w:rsidR="006C17FF">
        <w:t xml:space="preserve">Mean scores differed between the two countries when asked about applicability of health and climate education within levels of seniority at health organisations. </w:t>
      </w:r>
      <w:sdt>
        <w:sdtPr>
          <w:tag w:val="goog_rdk_51"/>
          <w:id w:val="1150521441"/>
        </w:sdtPr>
        <w:sdtContent>
          <w:sdt>
            <w:sdtPr>
              <w:tag w:val="goog_rdk_52"/>
              <w:id w:val="-485005560"/>
            </w:sdtPr>
            <w:sdtContent>
              <w:r w:rsidR="006C17FF">
                <w:t>UK respondents</w:t>
              </w:r>
            </w:sdtContent>
          </w:sdt>
        </w:sdtContent>
      </w:sdt>
      <w:r w:rsidR="006C17FF">
        <w:t xml:space="preserve"> scored a mean score of 1.7 to applicability of those below a managerial level, while Canadian respondents scored 2.1. Similarly, </w:t>
      </w:r>
      <w:sdt>
        <w:sdtPr>
          <w:tag w:val="goog_rdk_55"/>
          <w:id w:val="1061632712"/>
        </w:sdtPr>
        <w:sdtContent>
          <w:sdt>
            <w:sdtPr>
              <w:tag w:val="goog_rdk_56"/>
              <w:id w:val="-221438814"/>
            </w:sdtPr>
            <w:sdtContent>
              <w:r w:rsidR="006C17FF">
                <w:t>UK respondents</w:t>
              </w:r>
            </w:sdtContent>
          </w:sdt>
        </w:sdtContent>
      </w:sdt>
      <w:r w:rsidR="006C17FF">
        <w:t xml:space="preserve"> had a mean score of 1.6</w:t>
      </w:r>
      <w:r w:rsidR="006C350C">
        <w:t>,</w:t>
      </w:r>
      <w:r w:rsidR="006C17FF">
        <w:t xml:space="preserve"> to the Canadian mean score of 1.9</w:t>
      </w:r>
      <w:r w:rsidR="006C350C">
        <w:t>,</w:t>
      </w:r>
      <w:r w:rsidR="006C17FF">
        <w:t xml:space="preserve"> when asked about those at a managerial level within their organization. At the director or program administrator level</w:t>
      </w:r>
      <w:r w:rsidR="006C350C">
        <w:t>,</w:t>
      </w:r>
      <w:r w:rsidR="006C17FF">
        <w:t xml:space="preserve"> those in the UK had a mean score of 1.4</w:t>
      </w:r>
      <w:r w:rsidR="006C350C">
        <w:t>,</w:t>
      </w:r>
      <w:r w:rsidR="006C17FF">
        <w:t xml:space="preserve"> and Canadian respondents averaged 1.8. Interestingly the mean score was closer in range when asked about applicability of health leaders at an executive, organisational or trust administrator level (1.7, 1.5). This finding </w:t>
      </w:r>
      <w:r w:rsidR="001F0082">
        <w:t xml:space="preserve">may </w:t>
      </w:r>
      <w:r w:rsidR="006C17FF">
        <w:t>indicate that those in the UK show more general agreement to the applicability of climate change education to levels of seniority across their organisa</w:t>
      </w:r>
      <w:r w:rsidR="006C350C">
        <w:t>ti</w:t>
      </w:r>
      <w:r w:rsidR="006C17FF">
        <w:t>ons.</w:t>
      </w:r>
      <w:r w:rsidR="00EF0589">
        <w:t xml:space="preserve"> </w:t>
      </w:r>
      <w:r w:rsidR="006C17FF">
        <w:t xml:space="preserve"> </w:t>
      </w:r>
    </w:p>
    <w:p w14:paraId="6F46A1D0" w14:textId="004DA6F8" w:rsidR="006C17FF" w:rsidRDefault="00000000" w:rsidP="006C17FF">
      <w:pPr>
        <w:spacing w:line="480" w:lineRule="auto"/>
      </w:pPr>
      <w:sdt>
        <w:sdtPr>
          <w:tag w:val="goog_rdk_59"/>
          <w:id w:val="980997460"/>
        </w:sdtPr>
        <w:sdtContent/>
      </w:sdt>
      <w:r w:rsidR="006C17FF">
        <w:t>When prompted about specific education on the management of climate</w:t>
      </w:r>
      <w:r w:rsidR="006C350C">
        <w:t>-</w:t>
      </w:r>
      <w:r w:rsidR="006C17FF">
        <w:t>influenced emergencies or disasters (</w:t>
      </w:r>
      <w:proofErr w:type="gramStart"/>
      <w:r w:rsidR="006C17FF">
        <w:t>e.g.</w:t>
      </w:r>
      <w:proofErr w:type="gramEnd"/>
      <w:r w:rsidR="006C17FF">
        <w:t xml:space="preserve"> extreme weather events such as heat, floods, smoke, etc.) respondents in Canada indicated a mean score of 1.9</w:t>
      </w:r>
      <w:r w:rsidR="006C350C">
        <w:t>,</w:t>
      </w:r>
      <w:r w:rsidR="006C17FF">
        <w:t xml:space="preserve"> whereas those in the UK had 2.6. Based on the scoring on the Likert </w:t>
      </w:r>
      <w:r w:rsidR="006C350C">
        <w:t>s</w:t>
      </w:r>
      <w:r w:rsidR="006C17FF">
        <w:t>cale (1=</w:t>
      </w:r>
      <w:r w:rsidR="006C350C">
        <w:t>s</w:t>
      </w:r>
      <w:r w:rsidR="006C17FF">
        <w:t xml:space="preserve">trongly agree; 5= </w:t>
      </w:r>
      <w:r w:rsidR="006C350C">
        <w:t>s</w:t>
      </w:r>
      <w:r w:rsidR="006C17FF">
        <w:t>trongly disagree) those in Canada displayed higher levels of agreement. Likewise, when asked about awareness of climate</w:t>
      </w:r>
      <w:r w:rsidR="006C350C">
        <w:t>-</w:t>
      </w:r>
      <w:r w:rsidR="006C17FF">
        <w:t>influenced hazards where duties are carried out, Canadian respondents also had higher agreement (1.5) than those in the UK (1.8). When asked whether their organisation had provided climate change education</w:t>
      </w:r>
      <w:r w:rsidR="006C350C">
        <w:t>,</w:t>
      </w:r>
      <w:r w:rsidR="006C17FF">
        <w:t xml:space="preserve"> 25% of Canadian respondents answered ‘yes’ while 48.8</w:t>
      </w:r>
      <w:r w:rsidR="006C350C">
        <w:t>%</w:t>
      </w:r>
      <w:r w:rsidR="006C17FF">
        <w:t xml:space="preserve"> of those in the UK responded affirmatively. This</w:t>
      </w:r>
      <w:r w:rsidR="001F0082">
        <w:t xml:space="preserve"> may</w:t>
      </w:r>
      <w:r w:rsidR="006C17FF">
        <w:t xml:space="preserve"> identif</w:t>
      </w:r>
      <w:r w:rsidR="001F0082">
        <w:t>y</w:t>
      </w:r>
      <w:r w:rsidR="006C17FF">
        <w:t xml:space="preserve"> a gap in Canadian health leader education on climate change. Unsurprisingly, when considering the Canadian context, respondents in Canada had higher scores in competency towards management of emergencies and awareness of hazards. </w:t>
      </w:r>
      <w:r w:rsidR="001F0082">
        <w:t>Generally, the data indicates an</w:t>
      </w:r>
      <w:r w:rsidR="006C17FF">
        <w:t xml:space="preserve"> opportunity to provide education to those in the UK on management of climate</w:t>
      </w:r>
      <w:r w:rsidR="006C350C">
        <w:t>-</w:t>
      </w:r>
      <w:r w:rsidR="006C17FF">
        <w:t xml:space="preserve">influenced emergencies, which could include hazards where duties are carried out. </w:t>
      </w:r>
    </w:p>
    <w:p w14:paraId="03BA9297" w14:textId="71B284E6" w:rsidR="006C17FF" w:rsidRDefault="006C17FF" w:rsidP="006C17FF">
      <w:pPr>
        <w:spacing w:line="480" w:lineRule="auto"/>
      </w:pPr>
      <w:r>
        <w:t xml:space="preserve">When asked about competence </w:t>
      </w:r>
      <w:sdt>
        <w:sdtPr>
          <w:tag w:val="goog_rdk_160"/>
          <w:id w:val="-1080355063"/>
        </w:sdtPr>
        <w:sdtContent>
          <w:r>
            <w:t>in</w:t>
          </w:r>
        </w:sdtContent>
      </w:sdt>
      <w:r>
        <w:t xml:space="preserve"> climate and health topics similar mean scores were indicated in most segment responses, with a few exceptions. On average those in Canada indicate</w:t>
      </w:r>
      <w:r w:rsidR="00382621">
        <w:t>d</w:t>
      </w:r>
      <w:r>
        <w:t xml:space="preserve"> higher levels of competence (3.7) to ‘population and individual climate change exposure and health outcomes’ specific to their jurisdictional boundaries than those in the UK (3.1). In addition, ‘climate change vulnerabilities and hazards’ in their jurisdictional boundaries differed with UK respondents having an average of 3.3 and Canadians 4.1. Mean average scores were also higher for those in Canada (3.1) on the ‘managing extreme weather and climate emergencies’ competency (UK-2.4) and sharing lessons learned (Canada 3.5, UK 2.8). Conversely, those in the UK (3.9) had a higher mean score on ‘health system mitigation and adaptation strategies (emissions and waste reduction)’ with those in Canada having an average of 3.3.</w:t>
      </w:r>
    </w:p>
    <w:p w14:paraId="27965F3B" w14:textId="708AC9E3" w:rsidR="006C17FF" w:rsidRDefault="006C17FF" w:rsidP="006C17FF">
      <w:pPr>
        <w:pStyle w:val="Heading3"/>
        <w:sectPr w:rsidR="006C17FF" w:rsidSect="006C17FF">
          <w:pgSz w:w="12240" w:h="15840"/>
          <w:pgMar w:top="1440" w:right="1440" w:bottom="1440" w:left="1440" w:header="708" w:footer="708" w:gutter="0"/>
          <w:cols w:space="720"/>
        </w:sectPr>
      </w:pPr>
    </w:p>
    <w:p w14:paraId="4ED03300" w14:textId="77777777" w:rsidR="006C17FF" w:rsidRDefault="006C17FF" w:rsidP="00D8283E">
      <w:r w:rsidRPr="00E6515C">
        <w:rPr>
          <w:noProof/>
        </w:rPr>
        <w:lastRenderedPageBreak/>
        <w:drawing>
          <wp:inline distT="0" distB="0" distL="0" distR="0" wp14:anchorId="3F3052D6" wp14:editId="2E501904">
            <wp:extent cx="9010650" cy="6648450"/>
            <wp:effectExtent l="0" t="0" r="0" b="0"/>
            <wp:docPr id="1713050805" name="Chart 17130508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41554D" w14:textId="77777777" w:rsidR="006C17FF" w:rsidRDefault="006C17FF" w:rsidP="006C17FF">
      <w:pPr>
        <w:spacing w:line="480" w:lineRule="auto"/>
        <w:sectPr w:rsidR="006C17FF" w:rsidSect="006C17FF">
          <w:pgSz w:w="15840" w:h="12240" w:orient="landscape"/>
          <w:pgMar w:top="720" w:right="720" w:bottom="720" w:left="720" w:header="709" w:footer="709" w:gutter="0"/>
          <w:cols w:space="720"/>
          <w:docGrid w:linePitch="299"/>
        </w:sectPr>
      </w:pPr>
    </w:p>
    <w:p w14:paraId="79723DB1" w14:textId="77777777" w:rsidR="006C17FF" w:rsidRDefault="006C17FF" w:rsidP="006C17FF">
      <w:pPr>
        <w:spacing w:line="480" w:lineRule="auto"/>
      </w:pPr>
      <w:r>
        <w:lastRenderedPageBreak/>
        <w:t xml:space="preserve">Some variation occurred within the mean scores when comparing </w:t>
      </w:r>
      <w:sdt>
        <w:sdtPr>
          <w:tag w:val="goog_rdk_163"/>
          <w:id w:val="2023249484"/>
        </w:sdtPr>
        <w:sdtContent>
          <w:r>
            <w:t xml:space="preserve">the </w:t>
          </w:r>
        </w:sdtContent>
      </w:sdt>
      <w:r>
        <w:t xml:space="preserve">UK to Canada in terms of capacity. On a scale of 0-2 mean scores ranged from 0.9 to 1.6, which indicated that both those in Canada and those in the UK had capacity to build competencies in health and climate topics. Amongst Canadian respondents the highest rated capacity topic was ‘climate change vulnerabilities and hazards’ in their specific jurisdiction (1.6) with the lowest score occurring in ‘conduct, synthesize and action evidence and research’ (0.9). Within the UK sample, respondents felt they had the most capacity on average in ‘effects of climate change on human health’ (1.5) and ‘health system climate change vulnerabilities and hazards’ (1.5). </w:t>
      </w:r>
      <w:sdt>
        <w:sdtPr>
          <w:tag w:val="goog_rdk_165"/>
          <w:id w:val="-1845772960"/>
        </w:sdtPr>
        <w:sdtContent>
          <w:r>
            <w:t>Similar to the Canadian respondents, t</w:t>
          </w:r>
        </w:sdtContent>
      </w:sdt>
      <w:r>
        <w:t xml:space="preserve">he lowest mean average score </w:t>
      </w:r>
      <w:sdt>
        <w:sdtPr>
          <w:tag w:val="goog_rdk_167"/>
          <w:id w:val="-478580559"/>
        </w:sdtPr>
        <w:sdtContent>
          <w:r>
            <w:t xml:space="preserve">for UK respondents </w:t>
          </w:r>
        </w:sdtContent>
      </w:sdt>
      <w:r>
        <w:t>was 0.9 in the ‘conduct, synthesize and action evidence and research’, ‘public health improvements and implementation strategies…’ and ‘manage extreme weather and climate emergencies’ topics.</w:t>
      </w:r>
    </w:p>
    <w:p w14:paraId="2EB59D86" w14:textId="77777777" w:rsidR="006C17FF" w:rsidRDefault="006C17FF" w:rsidP="006C17FF">
      <w:pPr>
        <w:spacing w:line="480" w:lineRule="auto"/>
        <w:sectPr w:rsidR="006C17FF" w:rsidSect="006C17FF">
          <w:pgSz w:w="12240" w:h="15840"/>
          <w:pgMar w:top="1440" w:right="1440" w:bottom="1440" w:left="1440" w:header="708" w:footer="708" w:gutter="0"/>
          <w:cols w:space="720"/>
        </w:sectPr>
      </w:pPr>
    </w:p>
    <w:p w14:paraId="0868D8A7" w14:textId="77777777" w:rsidR="006C17FF" w:rsidRDefault="006C17FF" w:rsidP="00D8283E">
      <w:pPr>
        <w:sectPr w:rsidR="006C17FF" w:rsidSect="006C17FF">
          <w:pgSz w:w="15840" w:h="12240" w:orient="landscape"/>
          <w:pgMar w:top="720" w:right="720" w:bottom="720" w:left="720" w:header="709" w:footer="709" w:gutter="0"/>
          <w:cols w:space="720"/>
          <w:docGrid w:linePitch="299"/>
        </w:sectPr>
      </w:pPr>
      <w:r>
        <w:rPr>
          <w:noProof/>
        </w:rPr>
        <w:lastRenderedPageBreak/>
        <w:drawing>
          <wp:inline distT="0" distB="0" distL="0" distR="0" wp14:anchorId="1A0DC69E" wp14:editId="5FC426B1">
            <wp:extent cx="8943975" cy="6648450"/>
            <wp:effectExtent l="0" t="0" r="0" b="0"/>
            <wp:docPr id="14002805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4C3045" w14:textId="77777777" w:rsidR="006C17FF" w:rsidRDefault="006C17FF" w:rsidP="006C17FF">
      <w:pPr>
        <w:spacing w:line="480" w:lineRule="auto"/>
      </w:pPr>
    </w:p>
    <w:bookmarkStart w:id="93" w:name="_Toc225937212" w:displacedByCustomXml="next"/>
    <w:sdt>
      <w:sdtPr>
        <w:tag w:val="goog_rdk_62"/>
        <w:id w:val="-1945594737"/>
      </w:sdtPr>
      <w:sdtContent>
        <w:p w14:paraId="3AE4AA59" w14:textId="77777777" w:rsidR="006C17FF" w:rsidRPr="00015EFF" w:rsidRDefault="00000000" w:rsidP="006C17FF">
          <w:pPr>
            <w:pStyle w:val="Heading2"/>
            <w:spacing w:line="480" w:lineRule="auto"/>
          </w:pPr>
          <w:sdt>
            <w:sdtPr>
              <w:tag w:val="goog_rdk_61"/>
              <w:id w:val="-607941326"/>
            </w:sdtPr>
            <w:sdtContent>
              <w:r w:rsidR="006C17FF" w:rsidRPr="00EE4289">
                <w:rPr>
                  <w:rStyle w:val="Heading3Char"/>
                </w:rPr>
                <w:t>Level of Seniority</w:t>
              </w:r>
            </w:sdtContent>
          </w:sdt>
        </w:p>
      </w:sdtContent>
    </w:sdt>
    <w:bookmarkEnd w:id="93" w:displacedByCustomXml="prev"/>
    <w:p w14:paraId="7167E5A8" w14:textId="6883FE66" w:rsidR="006C17FF" w:rsidRDefault="00000000" w:rsidP="006C17FF">
      <w:pPr>
        <w:spacing w:line="480" w:lineRule="auto"/>
      </w:pPr>
      <w:sdt>
        <w:sdtPr>
          <w:tag w:val="goog_rdk_63"/>
          <w:id w:val="1904283545"/>
        </w:sdtPr>
        <w:sdtContent/>
      </w:sdt>
      <w:r w:rsidR="006C17FF" w:rsidRPr="0061069E">
        <w:t xml:space="preserve"> </w:t>
      </w:r>
      <w:r w:rsidR="006C17FF">
        <w:t>To gain additional insights</w:t>
      </w:r>
      <w:sdt>
        <w:sdtPr>
          <w:tag w:val="goog_rdk_168"/>
          <w:id w:val="1103912374"/>
        </w:sdtPr>
        <w:sdtContent>
          <w:r w:rsidR="006C17FF">
            <w:t>,</w:t>
          </w:r>
        </w:sdtContent>
      </w:sdt>
      <w:r w:rsidR="006C17FF">
        <w:t xml:space="preserve"> the data </w:t>
      </w:r>
      <w:sdt>
        <w:sdtPr>
          <w:tag w:val="goog_rdk_170"/>
          <w:id w:val="-294048738"/>
        </w:sdtPr>
        <w:sdtContent>
          <w:r w:rsidR="006C17FF">
            <w:t>was examined by level of seniority of respondents</w:t>
          </w:r>
          <w:r w:rsidR="00382621">
            <w:t>, however the dataset was limited, as previously noted</w:t>
          </w:r>
          <w:r w:rsidR="006C17FF">
            <w:t>. Respondents were grouped by</w:t>
          </w:r>
        </w:sdtContent>
      </w:sdt>
      <w:r w:rsidR="006C17FF">
        <w:t xml:space="preserve"> level of seniority </w:t>
      </w:r>
      <w:sdt>
        <w:sdtPr>
          <w:tag w:val="goog_rdk_174"/>
          <w:id w:val="-1869277877"/>
        </w:sdtPr>
        <w:sdtContent>
          <w:r w:rsidR="006C17FF">
            <w:t xml:space="preserve">using </w:t>
          </w:r>
        </w:sdtContent>
      </w:sdt>
      <w:r w:rsidR="006C17FF">
        <w:t>the recoding function in Qualtrics. Respon</w:t>
      </w:r>
      <w:sdt>
        <w:sdtPr>
          <w:tag w:val="goog_rdk_176"/>
          <w:id w:val="-1872032446"/>
        </w:sdtPr>
        <w:sdtContent>
          <w:r w:rsidR="006C17FF">
            <w:t xml:space="preserve">dents who were </w:t>
          </w:r>
        </w:sdtContent>
      </w:sdt>
      <w:r w:rsidR="006C17FF">
        <w:t xml:space="preserve">‘below managerial level’ and ‘managerial level’ were </w:t>
      </w:r>
      <w:sdt>
        <w:sdtPr>
          <w:tag w:val="goog_rdk_178"/>
          <w:id w:val="-1377713779"/>
        </w:sdtPr>
        <w:sdtContent>
          <w:r w:rsidR="006C17FF">
            <w:t xml:space="preserve">grouped and </w:t>
          </w:r>
        </w:sdtContent>
      </w:sdt>
      <w:r w:rsidR="006C17FF">
        <w:t xml:space="preserve">recoded into a ‘manager and below’ category. </w:t>
      </w:r>
      <w:sdt>
        <w:sdtPr>
          <w:tag w:val="goog_rdk_179"/>
          <w:id w:val="1880066190"/>
        </w:sdtPr>
        <w:sdtContent>
          <w:r w:rsidR="006C17FF">
            <w:t xml:space="preserve">Respondents who were </w:t>
          </w:r>
        </w:sdtContent>
      </w:sdt>
      <w:r w:rsidR="006C17FF">
        <w:t xml:space="preserve">‘director or program administrator level’ and ‘executive, organisational, or trust administrator’ were </w:t>
      </w:r>
      <w:sdt>
        <w:sdtPr>
          <w:tag w:val="goog_rdk_181"/>
          <w:id w:val="-697949582"/>
        </w:sdtPr>
        <w:sdtContent>
          <w:r w:rsidR="006C17FF">
            <w:t xml:space="preserve">likewise grouped </w:t>
          </w:r>
        </w:sdtContent>
      </w:sdt>
      <w:r w:rsidR="006C17FF">
        <w:t xml:space="preserve">into a ‘director and above’ segment with ‘other’ being excluded. Counts for the recoded categories included 43 </w:t>
      </w:r>
      <w:sdt>
        <w:sdtPr>
          <w:tag w:val="goog_rdk_183"/>
          <w:id w:val="1435875516"/>
        </w:sdtPr>
        <w:sdtContent>
          <w:r w:rsidR="006C17FF">
            <w:t xml:space="preserve">(75.4%) </w:t>
          </w:r>
        </w:sdtContent>
      </w:sdt>
      <w:r w:rsidR="006C17FF">
        <w:t>responses for ‘man</w:t>
      </w:r>
      <w:sdt>
        <w:sdtPr>
          <w:tag w:val="goog_rdk_184"/>
          <w:id w:val="939916160"/>
        </w:sdtPr>
        <w:sdtContent>
          <w:r w:rsidR="006C17FF">
            <w:t>a</w:t>
          </w:r>
        </w:sdtContent>
      </w:sdt>
      <w:r w:rsidR="006C17FF">
        <w:t>ger and below’ and 14</w:t>
      </w:r>
      <w:sdt>
        <w:sdtPr>
          <w:tag w:val="goog_rdk_185"/>
          <w:id w:val="2003563786"/>
        </w:sdtPr>
        <w:sdtContent>
          <w:r w:rsidR="006C17FF">
            <w:t xml:space="preserve"> (24.6%)</w:t>
          </w:r>
        </w:sdtContent>
      </w:sdt>
      <w:r w:rsidR="006C17FF">
        <w:t xml:space="preserve"> for the ‘director and above’ segment.</w:t>
      </w:r>
    </w:p>
    <w:p w14:paraId="39E24941" w14:textId="00DBEF24" w:rsidR="006C17FF" w:rsidRDefault="006C17FF" w:rsidP="006C17FF">
      <w:pPr>
        <w:spacing w:line="480" w:lineRule="auto"/>
      </w:pPr>
      <w:r>
        <w:t xml:space="preserve">Discrepancies between the two categories were minimal with the maximum mean score range differing by 0.3 when comparing Organisation and Climate Change Education related questions on a 5-point Likert Scale. Often mean scores between the two segments were identical. Mean scores were then compared using the two categories across levels of competency </w:t>
      </w:r>
      <w:proofErr w:type="spellStart"/>
      <w:r>
        <w:t>self rated</w:t>
      </w:r>
      <w:proofErr w:type="spellEnd"/>
      <w:r>
        <w:t xml:space="preserve"> scores. Unlike questions organisation and climate change education, mean scores indicated higher levels of variance between the two categories. The widest range reported was 0.7 with ‘directors and above’ reporting a mean score of 3.1 and ‘</w:t>
      </w:r>
      <w:sdt>
        <w:sdtPr>
          <w:tag w:val="goog_rdk_72"/>
          <w:id w:val="-113038624"/>
        </w:sdtPr>
        <w:sdtContent>
          <w:sdt>
            <w:sdtPr>
              <w:tag w:val="goog_rdk_73"/>
              <w:id w:val="-620200246"/>
            </w:sdtPr>
            <w:sdtContent>
              <w:r>
                <w:t>managers</w:t>
              </w:r>
            </w:sdtContent>
          </w:sdt>
        </w:sdtContent>
      </w:sdt>
      <w:r>
        <w:t xml:space="preserve"> and below’ reporting a mean score of 2.4. The next highest margin of 0.5 between mean scores, occurred in the ‘effects of climate change on human health’, ‘climate change policy, frameworks, legislation…’, ‘conduct, synthesize and action evidence and research…’, and ‘resilient health systems and </w:t>
      </w:r>
      <w:proofErr w:type="gramStart"/>
      <w:r>
        <w:t>practices’</w:t>
      </w:r>
      <w:proofErr w:type="gramEnd"/>
      <w:r>
        <w:t xml:space="preserve">. These variances showed managers and below reporting high levels of competence, except for ‘manage extreme weather and climate influenced emergencies’, which ‘director and above’ reported higher levels of competence (+0.7 mean score). </w:t>
      </w:r>
    </w:p>
    <w:p w14:paraId="392119C1" w14:textId="77777777" w:rsidR="006C17FF" w:rsidRDefault="006C17FF" w:rsidP="006C17FF">
      <w:pPr>
        <w:spacing w:line="480" w:lineRule="auto"/>
      </w:pPr>
      <w:r>
        <w:lastRenderedPageBreak/>
        <w:t xml:space="preserve">When comparing mean scores in </w:t>
      </w:r>
      <w:proofErr w:type="spellStart"/>
      <w:r>
        <w:t>self reported</w:t>
      </w:r>
      <w:proofErr w:type="spellEnd"/>
      <w:r>
        <w:t xml:space="preserve"> capacity statements, little variance was reported. This may be due to a limited scale range of zero to two and again to the smaller sample size. Within the level of seniority comparison of both competence and capacity showed a few discrepancies. ‘Managers and below’ indicated higher levels of general competence and categories related to the science of climate change were higher. However, those at a ‘director and above’ level indicated higher levels of competence to the ‘managing emergencies’ topic. This reflects a gap in manager and below competence, while highlighting a wider gap in the overall level of competence between levels of seniority. </w:t>
      </w:r>
    </w:p>
    <w:p w14:paraId="45E5E478" w14:textId="77777777" w:rsidR="006C17FF" w:rsidRDefault="00000000" w:rsidP="006C17FF">
      <w:pPr>
        <w:sectPr w:rsidR="006C17FF" w:rsidSect="006C17FF">
          <w:pgSz w:w="12240" w:h="15840"/>
          <w:pgMar w:top="1440" w:right="1440" w:bottom="1440" w:left="1440" w:header="708" w:footer="708" w:gutter="0"/>
          <w:cols w:space="720"/>
        </w:sectPr>
      </w:pPr>
      <w:sdt>
        <w:sdtPr>
          <w:tag w:val="goog_rdk_76"/>
          <w:id w:val="-372710137"/>
          <w:showingPlcHdr/>
        </w:sdtPr>
        <w:sdtContent>
          <w:r w:rsidR="006C17FF">
            <w:t xml:space="preserve">     </w:t>
          </w:r>
        </w:sdtContent>
      </w:sdt>
    </w:p>
    <w:p w14:paraId="1F7AA3E4" w14:textId="77777777" w:rsidR="006C17FF" w:rsidRDefault="006C17FF" w:rsidP="00D8283E">
      <w:pPr>
        <w:sectPr w:rsidR="006C17FF" w:rsidSect="006C17FF">
          <w:pgSz w:w="15840" w:h="12240" w:orient="landscape"/>
          <w:pgMar w:top="720" w:right="720" w:bottom="720" w:left="720" w:header="709" w:footer="709" w:gutter="0"/>
          <w:cols w:space="720"/>
          <w:docGrid w:linePitch="299"/>
        </w:sectPr>
      </w:pPr>
      <w:r>
        <w:rPr>
          <w:noProof/>
        </w:rPr>
        <w:lastRenderedPageBreak/>
        <w:drawing>
          <wp:inline distT="0" distB="0" distL="0" distR="0" wp14:anchorId="3A051DA1" wp14:editId="0851FE96">
            <wp:extent cx="9191625" cy="6896100"/>
            <wp:effectExtent l="0" t="0" r="0" b="0"/>
            <wp:docPr id="1713050807" name="Chart 17130508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EE2291" w14:textId="77777777" w:rsidR="006C17FF" w:rsidRDefault="006C17FF" w:rsidP="006C17FF"/>
    <w:p w14:paraId="50B0EC1E" w14:textId="77777777" w:rsidR="006C17FF" w:rsidRDefault="006C17FF" w:rsidP="006C17FF">
      <w:pPr>
        <w:spacing w:line="480" w:lineRule="auto"/>
      </w:pPr>
    </w:p>
    <w:p w14:paraId="2E5F13C4" w14:textId="77777777" w:rsidR="006C17FF" w:rsidRDefault="006C17FF" w:rsidP="006C17FF">
      <w:pPr>
        <w:pStyle w:val="Heading3"/>
      </w:pPr>
      <w:bookmarkStart w:id="94" w:name="_Toc225937213"/>
      <w:r>
        <w:t>Role Setting</w:t>
      </w:r>
      <w:bookmarkEnd w:id="94"/>
    </w:p>
    <w:p w14:paraId="10860A04" w14:textId="274BFB45" w:rsidR="006C17FF" w:rsidRDefault="006C17FF" w:rsidP="006C17FF">
      <w:pPr>
        <w:spacing w:line="480" w:lineRule="auto"/>
      </w:pPr>
      <w:r>
        <w:t xml:space="preserve">Crosstabs were then used to analyse where duties were carried out in relation to three segments of the survey, which is consistent </w:t>
      </w:r>
      <w:sdt>
        <w:sdtPr>
          <w:tag w:val="goog_rdk_195"/>
          <w:id w:val="-289989999"/>
        </w:sdtPr>
        <w:sdtContent>
          <w:r>
            <w:t>with</w:t>
          </w:r>
        </w:sdtContent>
      </w:sdt>
      <w:r>
        <w:t xml:space="preserve"> </w:t>
      </w:r>
      <w:sdt>
        <w:sdtPr>
          <w:tag w:val="goog_rdk_197"/>
          <w:id w:val="-2128898112"/>
        </w:sdtPr>
        <w:sdtContent>
          <w:r>
            <w:t xml:space="preserve">the </w:t>
          </w:r>
        </w:sdtContent>
      </w:sdt>
      <w:r>
        <w:t xml:space="preserve">country of employment and level of seniority variables above. </w:t>
      </w:r>
      <w:r w:rsidR="00FD1774">
        <w:t>Table</w:t>
      </w:r>
      <w:r>
        <w:t xml:space="preserve"> </w:t>
      </w:r>
      <w:sdt>
        <w:sdtPr>
          <w:tag w:val="goog_rdk_198"/>
          <w:id w:val="-674756595"/>
        </w:sdtPr>
        <w:sdtContent>
          <w:r w:rsidR="00FD1774">
            <w:t>19</w:t>
          </w:r>
        </w:sdtContent>
      </w:sdt>
      <w:r>
        <w:t xml:space="preserve"> provides mean scores for organisation and climate change education with </w:t>
      </w:r>
      <w:sdt>
        <w:sdtPr>
          <w:tag w:val="goog_rdk_199"/>
          <w:id w:val="1011420773"/>
        </w:sdtPr>
        <w:sdtContent>
          <w:r>
            <w:t>‘</w:t>
          </w:r>
        </w:sdtContent>
      </w:sdt>
      <w:r>
        <w:t>strongly agree</w:t>
      </w:r>
      <w:sdt>
        <w:sdtPr>
          <w:tag w:val="goog_rdk_200"/>
          <w:id w:val="357202112"/>
        </w:sdtPr>
        <w:sdtContent>
          <w:r>
            <w:t>’</w:t>
          </w:r>
        </w:sdtContent>
      </w:sdt>
      <w:r>
        <w:t xml:space="preserve"> statements being scored as a ‘1’ on a five-point Likert Scale. Between workplace settings mean scores varied with strongest agreement occurring </w:t>
      </w:r>
      <w:sdt>
        <w:sdtPr>
          <w:tag w:val="goog_rdk_201"/>
          <w:id w:val="-785275741"/>
        </w:sdtPr>
        <w:sdtContent>
          <w:r>
            <w:t>with</w:t>
          </w:r>
        </w:sdtContent>
      </w:sdt>
      <w:sdt>
        <w:sdtPr>
          <w:tag w:val="goog_rdk_202"/>
          <w:id w:val="704183631"/>
          <w:showingPlcHdr/>
        </w:sdtPr>
        <w:sdtContent>
          <w:r w:rsidR="006E263F">
            <w:t xml:space="preserve">     </w:t>
          </w:r>
        </w:sdtContent>
      </w:sdt>
      <w:r>
        <w:t xml:space="preserve">applicability of health and climate education and/or training for those at a director or program administrator level (1.6) and health leaders at an executive, organisational or trust administrator level (1.6). Additionally, mean scores indicating agreement was higher </w:t>
      </w:r>
      <w:sdt>
        <w:sdtPr>
          <w:tag w:val="goog_rdk_203"/>
          <w:id w:val="535458600"/>
        </w:sdtPr>
        <w:sdtContent>
          <w:r>
            <w:t>for</w:t>
          </w:r>
        </w:sdtContent>
      </w:sdt>
      <w:r>
        <w:t xml:space="preserve"> the statement: “I am aware of climate influenced hazards within the geographical jurisdiction of where my duties are carried out” (1.7). </w:t>
      </w:r>
    </w:p>
    <w:p w14:paraId="013AFDB2" w14:textId="73FFA831" w:rsidR="006C17FF" w:rsidRDefault="006C17FF" w:rsidP="006C17FF">
      <w:pPr>
        <w:spacing w:line="480" w:lineRule="auto"/>
      </w:pPr>
      <w:r>
        <w:t xml:space="preserve">Variance within mean scores occurred most significantly </w:t>
      </w:r>
      <w:sdt>
        <w:sdtPr>
          <w:tag w:val="goog_rdk_205"/>
          <w:id w:val="-936660630"/>
        </w:sdtPr>
        <w:sdtContent>
          <w:r>
            <w:t>for</w:t>
          </w:r>
        </w:sdtContent>
      </w:sdt>
      <w:r>
        <w:t xml:space="preserve"> the statement “I am actively involved in setting direction within my organization for education and/or training for climate change”. Respondents who work in a corporate or administrative setting indicated a mean score of 1.8, whereas respondents who work in a community setting had a mean score of 3.5. When asked the question of whether respondents were educated or trained in </w:t>
      </w:r>
      <w:sdt>
        <w:sdtPr>
          <w:tag w:val="goog_rdk_207"/>
          <w:id w:val="388690237"/>
        </w:sdtPr>
        <w:sdtContent>
          <w:r>
            <w:t xml:space="preserve">the </w:t>
          </w:r>
        </w:sdtContent>
      </w:sdt>
      <w:r>
        <w:t xml:space="preserve">management of climate influenced emergencies or disasters those in a corporate setting (2.0) </w:t>
      </w:r>
      <w:r w:rsidR="00E036F2">
        <w:t>indicated greater</w:t>
      </w:r>
      <w:r>
        <w:t xml:space="preserve"> </w:t>
      </w:r>
      <w:r w:rsidR="00E036F2">
        <w:t>general agreement</w:t>
      </w:r>
      <w:r>
        <w:t xml:space="preserve"> than those in a hospital setting (3.2). Additionally, those in a corporate setting (2.4) </w:t>
      </w:r>
      <w:r w:rsidR="00E036F2">
        <w:t xml:space="preserve">displayed greater general agreement to having been </w:t>
      </w:r>
      <w:r>
        <w:t xml:space="preserve">educated or trained in business continuity planning for climate influenced emergencies or disasters than those in the community (2.6) and hospital setting (2.9). When prompted with the statement “My organisation has a dedicated person or team responsible for climate change education and training” those in the hospital (2.3) and corporate (2.3) noted higher agreement than those in the community setting (3.0). This was similar </w:t>
      </w:r>
      <w:r>
        <w:lastRenderedPageBreak/>
        <w:t>to the statement of whether the respondent’s organisation had developed health and climate education or training with those in a corporate setting having a mean score of 2.4 and those in the community a mean score of 3.1.</w:t>
      </w:r>
    </w:p>
    <w:p w14:paraId="4F2338A8" w14:textId="77777777" w:rsidR="006C17FF" w:rsidRDefault="006C17FF" w:rsidP="006C17FF">
      <w:pPr>
        <w:sectPr w:rsidR="006C17FF" w:rsidSect="006C17FF">
          <w:pgSz w:w="12240" w:h="15840"/>
          <w:pgMar w:top="1440" w:right="1440" w:bottom="1440" w:left="1440" w:header="708" w:footer="708" w:gutter="0"/>
          <w:cols w:space="720"/>
        </w:sectPr>
      </w:pPr>
    </w:p>
    <w:p w14:paraId="15415835" w14:textId="77777777" w:rsidR="006C17FF" w:rsidRDefault="006C17FF" w:rsidP="00D8283E">
      <w:pPr>
        <w:sectPr w:rsidR="006C17FF" w:rsidSect="006C17FF">
          <w:pgSz w:w="15840" w:h="12240" w:orient="landscape"/>
          <w:pgMar w:top="720" w:right="720" w:bottom="720" w:left="720" w:header="709" w:footer="709" w:gutter="0"/>
          <w:cols w:space="720"/>
          <w:docGrid w:linePitch="299"/>
        </w:sectPr>
      </w:pPr>
      <w:r>
        <w:rPr>
          <w:noProof/>
        </w:rPr>
        <w:lastRenderedPageBreak/>
        <w:drawing>
          <wp:inline distT="0" distB="0" distL="0" distR="0" wp14:anchorId="6D4D30F6" wp14:editId="1F4D248B">
            <wp:extent cx="9248775" cy="7000875"/>
            <wp:effectExtent l="0" t="0" r="0" b="0"/>
            <wp:docPr id="1713050806" name="Chart 17130508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6E199A9" w14:textId="77777777" w:rsidR="006C17FF" w:rsidRDefault="006C17FF" w:rsidP="006C17FF"/>
    <w:p w14:paraId="17D0A8E9" w14:textId="77777777" w:rsidR="006C17FF" w:rsidRDefault="006C17FF" w:rsidP="006C17FF">
      <w:pPr>
        <w:spacing w:line="480" w:lineRule="auto"/>
      </w:pPr>
      <w:r>
        <w:t>When asked whether they had received climate change education and/ or training, 88.6% of those in the corporate setting answered ‘yes’ while 68.8% in the hospital setting and 50</w:t>
      </w:r>
      <w:sdt>
        <w:sdtPr>
          <w:tag w:val="goog_rdk_210"/>
          <w:id w:val="-1688809806"/>
        </w:sdtPr>
        <w:sdtContent>
          <w:r>
            <w:t>.0</w:t>
          </w:r>
        </w:sdtContent>
      </w:sdt>
      <w:r>
        <w:t>% of those in the community answered affirmatively. The affirmative position drastically changed when respondents were asked if they had received education and/or training through their organisation. 75% of respondents in the community setting answered ‘no’ to this statement with 62.5% of those working in a hospital setting and 48.6% of those working in a corporate setting.</w:t>
      </w:r>
    </w:p>
    <w:p w14:paraId="3AECB52E" w14:textId="77777777" w:rsidR="006C17FF" w:rsidRDefault="006C17FF" w:rsidP="00D8283E">
      <w:r>
        <w:rPr>
          <w:noProof/>
        </w:rPr>
        <w:drawing>
          <wp:inline distT="0" distB="0" distL="0" distR="0" wp14:anchorId="7C55E29E" wp14:editId="40727AC6">
            <wp:extent cx="5753238" cy="3791171"/>
            <wp:effectExtent l="0" t="0" r="0" b="0"/>
            <wp:docPr id="1713050808" name="Chart 17130508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B2023C" w14:textId="39FBBB4E" w:rsidR="006C17FF" w:rsidRDefault="006C17FF" w:rsidP="00824053">
      <w:pPr>
        <w:spacing w:line="480" w:lineRule="auto"/>
        <w:sectPr w:rsidR="006C17FF" w:rsidSect="006C17FF">
          <w:pgSz w:w="12240" w:h="15840"/>
          <w:pgMar w:top="1440" w:right="1440" w:bottom="1440" w:left="1440" w:header="708" w:footer="708" w:gutter="0"/>
          <w:cols w:space="720"/>
        </w:sectPr>
      </w:pPr>
      <w:r>
        <w:t xml:space="preserve">As depicted in </w:t>
      </w:r>
      <w:r w:rsidR="00FD1774">
        <w:t>Table</w:t>
      </w:r>
      <w:r>
        <w:t xml:space="preserve"> </w:t>
      </w:r>
      <w:r w:rsidR="00FD1774">
        <w:t>20</w:t>
      </w:r>
      <w:r>
        <w:t>, mean scores for competencies indicated those in the corporate or administrative setting (n=32; 60%) were most significantly higher in ‘vulnerabilities and hazards</w:t>
      </w:r>
      <w:proofErr w:type="gramStart"/>
      <w:r>
        <w:t>’(</w:t>
      </w:r>
      <w:proofErr w:type="gramEnd"/>
      <w:r>
        <w:t xml:space="preserve">+0.8), ‘drivers and pressures’ (+0.6), ‘policy, frameworks and legislation’ (+0.5), ‘assessing risk’ (+0.5), ‘addressing risks’ (+0.6), ‘resilient health systems and practice’ (+0.5) and sharing lessons learned (+0.5). Through most competency categories those in a corporate or admin setting reported higher mean scores with a few exceptions. ‘Build or participate’, ‘engage policy </w:t>
      </w:r>
      <w:r>
        <w:lastRenderedPageBreak/>
        <w:t xml:space="preserve">makers’ and ‘public health improvements’ were scored higher by those in a community setting (n=6). Within the three groups those in the hospital setting did not have the highest average in any category (n=14); however, this may be reflective of low respondent rates within the community and hospital setting groups. </w:t>
      </w:r>
    </w:p>
    <w:p w14:paraId="550CAAF6" w14:textId="77777777" w:rsidR="006C17FF" w:rsidRDefault="006C17FF" w:rsidP="00D8283E">
      <w:pPr>
        <w:sectPr w:rsidR="006C17FF" w:rsidSect="006C17FF">
          <w:pgSz w:w="15840" w:h="12240" w:orient="landscape"/>
          <w:pgMar w:top="720" w:right="720" w:bottom="720" w:left="720" w:header="709" w:footer="709" w:gutter="0"/>
          <w:cols w:space="720"/>
          <w:docGrid w:linePitch="299"/>
        </w:sectPr>
      </w:pPr>
      <w:r>
        <w:rPr>
          <w:noProof/>
        </w:rPr>
        <w:lastRenderedPageBreak/>
        <w:drawing>
          <wp:inline distT="0" distB="0" distL="0" distR="0" wp14:anchorId="0CCC6386" wp14:editId="747D8C5E">
            <wp:extent cx="9124950" cy="6962775"/>
            <wp:effectExtent l="0" t="0" r="0" b="0"/>
            <wp:docPr id="5851639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07803F" w14:textId="77777777" w:rsidR="006C17FF" w:rsidRDefault="006C17FF" w:rsidP="006C17FF">
      <w:pPr>
        <w:pStyle w:val="Heading3"/>
      </w:pPr>
    </w:p>
    <w:p w14:paraId="54CFEBC5" w14:textId="1F80DBA1" w:rsidR="006C17FF" w:rsidRDefault="006C17FF" w:rsidP="006C17FF">
      <w:pPr>
        <w:spacing w:line="480" w:lineRule="auto"/>
      </w:pPr>
      <w:r>
        <w:t>Mean scores for capacity (</w:t>
      </w:r>
      <w:r w:rsidR="00FD1774">
        <w:t>Table</w:t>
      </w:r>
      <w:r>
        <w:t xml:space="preserve"> </w:t>
      </w:r>
      <w:sdt>
        <w:sdtPr>
          <w:tag w:val="goog_rdk_216"/>
          <w:id w:val="1884428818"/>
        </w:sdtPr>
        <w:sdtContent>
          <w:r w:rsidR="00FD1774">
            <w:t>21</w:t>
          </w:r>
        </w:sdtContent>
      </w:sdt>
      <w:r>
        <w:t>) within the role setting groupings ranged from 0.6 to 1.5 on the 0–2-point scale as self</w:t>
      </w:r>
      <w:sdt>
        <w:sdtPr>
          <w:tag w:val="goog_rdk_217"/>
          <w:id w:val="-89719798"/>
        </w:sdtPr>
        <w:sdtContent>
          <w:r>
            <w:t>-</w:t>
          </w:r>
        </w:sdtContent>
      </w:sdt>
      <w:r>
        <w:t xml:space="preserve">reported by respondents. The total count was 49 with 13 indicating their primary role was in the hospital setting, 6 in the community and 30 with the corporate setting. There was a drop in responses to the capacity scale due to values being entered other than 0,1, and 2. Variation occurred between the three groups with the largest mean score differences in ‘mitigation and </w:t>
      </w:r>
      <w:sdt>
        <w:sdtPr>
          <w:tag w:val="goog_rdk_219"/>
          <w:id w:val="1851432860"/>
        </w:sdtPr>
        <w:sdtContent>
          <w:sdt>
            <w:sdtPr>
              <w:tag w:val="goog_rdk_220"/>
              <w:id w:val="606216847"/>
            </w:sdtPr>
            <w:sdtContent>
              <w:r>
                <w:t>adaptation</w:t>
              </w:r>
            </w:sdtContent>
          </w:sdt>
        </w:sdtContent>
      </w:sdt>
      <w:r>
        <w:t>’ (0.7 on a two-point scale) and ‘assessing risk’ (0.6 on a two-point scale). For both topics the community score was significantly lower than both the corporate and hospital setting scores. In contrast, those in the community showed higher mean scores in ‘build or participation in community partnerships’ and ‘communication of health impacts, than hospital or corporate group respondents.</w:t>
      </w:r>
    </w:p>
    <w:p w14:paraId="4794BA36" w14:textId="77777777" w:rsidR="006C17FF" w:rsidRDefault="006C17FF" w:rsidP="006C17FF">
      <w:pPr>
        <w:pStyle w:val="Heading3"/>
        <w:sectPr w:rsidR="006C17FF" w:rsidSect="006C17FF">
          <w:pgSz w:w="12240" w:h="15840"/>
          <w:pgMar w:top="1440" w:right="1440" w:bottom="1440" w:left="1440" w:header="708" w:footer="708" w:gutter="0"/>
          <w:cols w:space="720"/>
        </w:sectPr>
      </w:pPr>
    </w:p>
    <w:p w14:paraId="2FB874B2" w14:textId="77777777" w:rsidR="006C17FF" w:rsidRDefault="006C17FF" w:rsidP="00D8283E">
      <w:pPr>
        <w:sectPr w:rsidR="006C17FF" w:rsidSect="006C17FF">
          <w:pgSz w:w="15840" w:h="12240" w:orient="landscape"/>
          <w:pgMar w:top="720" w:right="720" w:bottom="720" w:left="720" w:header="709" w:footer="709" w:gutter="0"/>
          <w:cols w:space="720"/>
          <w:docGrid w:linePitch="299"/>
        </w:sectPr>
      </w:pPr>
      <w:r>
        <w:rPr>
          <w:noProof/>
        </w:rPr>
        <w:lastRenderedPageBreak/>
        <w:drawing>
          <wp:inline distT="0" distB="0" distL="0" distR="0" wp14:anchorId="21D1D7FE" wp14:editId="1F3F7D33">
            <wp:extent cx="9344025" cy="7086600"/>
            <wp:effectExtent l="0" t="0" r="0" b="0"/>
            <wp:docPr id="5892999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61AAA7" w14:textId="77777777" w:rsidR="006C17FF" w:rsidRDefault="006C17FF" w:rsidP="006C17FF">
      <w:pPr>
        <w:pStyle w:val="Heading3"/>
      </w:pPr>
    </w:p>
    <w:sdt>
      <w:sdtPr>
        <w:tag w:val="goog_rdk_85"/>
        <w:id w:val="2046906"/>
      </w:sdtPr>
      <w:sdtContent>
        <w:p w14:paraId="07DCA848" w14:textId="77777777" w:rsidR="006C17FF" w:rsidRPr="003A2FDA" w:rsidRDefault="00000000" w:rsidP="006C17FF">
          <w:pPr>
            <w:rPr>
              <w:rFonts w:ascii="Arial" w:eastAsia="Arial" w:hAnsi="Arial" w:cs="Arial"/>
              <w:color w:val="000000"/>
            </w:rPr>
          </w:pPr>
          <w:sdt>
            <w:sdtPr>
              <w:tag w:val="goog_rdk_82"/>
              <w:id w:val="107280477"/>
            </w:sdtPr>
            <w:sdtContent/>
          </w:sdt>
          <w:sdt>
            <w:sdtPr>
              <w:rPr>
                <w:rStyle w:val="Heading2Char"/>
              </w:rPr>
              <w:tag w:val="goog_rdk_83"/>
              <w:id w:val="-931925160"/>
            </w:sdtPr>
            <w:sdtContent>
              <w:r w:rsidR="006C17FF" w:rsidRPr="00D90AAC">
                <w:rPr>
                  <w:rStyle w:val="Heading2Char"/>
                </w:rPr>
                <w:t>Chapter Summary</w:t>
              </w:r>
            </w:sdtContent>
          </w:sdt>
          <w:sdt>
            <w:sdtPr>
              <w:rPr>
                <w:rStyle w:val="Heading2Char"/>
              </w:rPr>
              <w:tag w:val="goog_rdk_84"/>
              <w:id w:val="826946000"/>
              <w:showingPlcHdr/>
            </w:sdtPr>
            <w:sdtEndPr>
              <w:rPr>
                <w:rStyle w:val="DefaultParagraphFont"/>
                <w:rFonts w:asciiTheme="minorHAnsi" w:eastAsiaTheme="minorHAnsi" w:hAnsiTheme="minorHAnsi" w:cstheme="minorBidi"/>
                <w:color w:val="auto"/>
                <w:sz w:val="22"/>
                <w:szCs w:val="22"/>
              </w:rPr>
            </w:sdtEndPr>
            <w:sdtContent>
              <w:r w:rsidR="006C17FF">
                <w:t xml:space="preserve">     </w:t>
              </w:r>
            </w:sdtContent>
          </w:sdt>
        </w:p>
      </w:sdtContent>
    </w:sdt>
    <w:p w14:paraId="37307CF1" w14:textId="202AAB5E" w:rsidR="006C17FF" w:rsidRDefault="00000000" w:rsidP="006C17FF">
      <w:pPr>
        <w:spacing w:line="480" w:lineRule="auto"/>
      </w:pPr>
      <w:sdt>
        <w:sdtPr>
          <w:tag w:val="goog_rdk_86"/>
          <w:id w:val="302937008"/>
        </w:sdtPr>
        <w:sdtContent/>
      </w:sdt>
      <w:r w:rsidR="006C17FF" w:rsidRPr="0061069E">
        <w:t xml:space="preserve"> </w:t>
      </w:r>
      <w:r w:rsidR="006C17FF">
        <w:t>Most respondents to the survey had post</w:t>
      </w:r>
      <w:r w:rsidR="00FD1774">
        <w:t xml:space="preserve"> </w:t>
      </w:r>
      <w:r w:rsidR="006C17FF">
        <w:t>graduate education, were at a managerial level or above</w:t>
      </w:r>
      <w:sdt>
        <w:sdtPr>
          <w:tag w:val="goog_rdk_225"/>
          <w:id w:val="1601068088"/>
        </w:sdtPr>
        <w:sdtContent>
          <w:r w:rsidR="006C17FF">
            <w:t>,</w:t>
          </w:r>
        </w:sdtContent>
      </w:sdt>
      <w:r w:rsidR="006C17FF">
        <w:t xml:space="preserve"> and worked for employers that provided health services in the community, hospital or point of care setting. Respondents from the UK nearly doubled those responding from Canada and most had roles in a corporate or administrative setting, which is in line with the desired study population. There was general agreement </w:t>
      </w:r>
      <w:sdt>
        <w:sdtPr>
          <w:tag w:val="goog_rdk_226"/>
          <w:id w:val="1946548513"/>
        </w:sdtPr>
        <w:sdtContent>
          <w:r w:rsidR="006C17FF">
            <w:t xml:space="preserve">as </w:t>
          </w:r>
        </w:sdtContent>
      </w:sdt>
      <w:r w:rsidR="006C17FF">
        <w:t xml:space="preserve">to whether organisations had developed climate change education and a dedicated team was responsible for developing related content. Organisations also were thought to be promoting external education and/or training and most respondents felt that their organisation had been impacted by climate influenced emergencies in the last 2 years. </w:t>
      </w:r>
    </w:p>
    <w:p w14:paraId="5A35F886" w14:textId="5323F3AE" w:rsidR="006C17FF" w:rsidRDefault="006C17FF" w:rsidP="006C17FF">
      <w:pPr>
        <w:spacing w:line="480" w:lineRule="auto"/>
      </w:pPr>
      <w:r>
        <w:t xml:space="preserve">When asked about whether respondents had received training values were nearly double when compared to whether training was received from their organisation. Mean score variance occurred across levels of seniority when considering levels of </w:t>
      </w:r>
      <w:sdt>
        <w:sdtPr>
          <w:tag w:val="goog_rdk_227"/>
          <w:id w:val="999481381"/>
        </w:sdtPr>
        <w:sdtContent>
          <w:sdt>
            <w:sdtPr>
              <w:tag w:val="goog_rdk_228"/>
              <w:id w:val="-1535524007"/>
            </w:sdtPr>
            <w:sdtContent>
              <w:r>
                <w:t>self-report</w:t>
              </w:r>
            </w:sdtContent>
          </w:sdt>
        </w:sdtContent>
      </w:sdt>
      <w:r>
        <w:t xml:space="preserve">ed competence and to a lesser degree in capacity scoring. Canadian respondents had a higher mean average in several competency categories, most notably climate change hazards, managing extreme events and sharing lessons learned. Variation occurred within capacity mean scores </w:t>
      </w:r>
      <w:sdt>
        <w:sdtPr>
          <w:tag w:val="goog_rdk_231"/>
          <w:id w:val="-668853959"/>
        </w:sdtPr>
        <w:sdtContent>
          <w:r>
            <w:t>by</w:t>
          </w:r>
        </w:sdtContent>
      </w:sdt>
      <w:r>
        <w:t xml:space="preserve"> employment location, level of seniority and role setting. </w:t>
      </w:r>
      <w:sdt>
        <w:sdtPr>
          <w:tag w:val="goog_rdk_233"/>
          <w:id w:val="-2008939805"/>
        </w:sdtPr>
        <w:sdtContent>
          <w:r>
            <w:t>T</w:t>
          </w:r>
        </w:sdtContent>
      </w:sdt>
      <w:proofErr w:type="gramStart"/>
      <w:r>
        <w:t>he</w:t>
      </w:r>
      <w:proofErr w:type="gramEnd"/>
      <w:r>
        <w:t xml:space="preserve"> data indicated generally that there was capacity to achieve competence across health and safety topics</w:t>
      </w:r>
      <w:sdt>
        <w:sdtPr>
          <w:tag w:val="goog_rdk_235"/>
          <w:id w:val="-1227018630"/>
        </w:sdtPr>
        <w:sdtContent>
          <w:r>
            <w:t xml:space="preserve"> although mean averages ranged</w:t>
          </w:r>
        </w:sdtContent>
      </w:sdt>
      <w:r>
        <w:t xml:space="preserve">. </w:t>
      </w:r>
    </w:p>
    <w:p w14:paraId="638C17C0" w14:textId="770B52E0" w:rsidR="006C17FF" w:rsidRDefault="006C17FF" w:rsidP="006C17FF">
      <w:pPr>
        <w:spacing w:line="480" w:lineRule="auto"/>
      </w:pPr>
      <w:r>
        <w:t>Discrepancies existed on where respondents had received climate change education and/or training. Although a high proportion indicated they had received it, about half the time it was received from their organisation. Significant variation occurred between role settings with those in a corporate setting being close to twice as likely to receive climate change education through their employer as opposed to those working in the community setting</w:t>
      </w:r>
      <w:r w:rsidR="006E263F">
        <w:t>, however the segmented groups had low respondent rates</w:t>
      </w:r>
      <w:r>
        <w:t xml:space="preserve">. </w:t>
      </w:r>
    </w:p>
    <w:p w14:paraId="1078103F" w14:textId="77777777" w:rsidR="006C17FF" w:rsidRDefault="00000000" w:rsidP="006C17FF">
      <w:pPr>
        <w:spacing w:line="480" w:lineRule="auto"/>
      </w:pPr>
      <w:sdt>
        <w:sdtPr>
          <w:tag w:val="goog_rdk_88"/>
          <w:id w:val="584020962"/>
        </w:sdtPr>
        <w:sdtContent/>
      </w:sdt>
      <w:r w:rsidR="006C17FF">
        <w:t>In the next chapter these findings will be summarised with context being provided from the introduction and review of research chapters. Findings will be presented with consideration given to practical implications and what this means in relation to the questions guiding this research. The philosophical underpinnings of pragmatism will guide these implications and how they can lead to change. Conclusions of the synthesis will be provided with a discussion and suggestions for future research.</w:t>
      </w:r>
    </w:p>
    <w:p w14:paraId="2044AE4A" w14:textId="77777777" w:rsidR="00FD1774" w:rsidRDefault="00FD1774" w:rsidP="006C17FF">
      <w:pPr>
        <w:spacing w:line="480" w:lineRule="auto"/>
      </w:pPr>
    </w:p>
    <w:p w14:paraId="57CA1355" w14:textId="77777777" w:rsidR="00FD1774" w:rsidRDefault="00FD1774" w:rsidP="006C17FF">
      <w:pPr>
        <w:spacing w:line="480" w:lineRule="auto"/>
      </w:pPr>
    </w:p>
    <w:p w14:paraId="41597A27" w14:textId="77777777" w:rsidR="00FD1774" w:rsidRDefault="00FD1774" w:rsidP="006C17FF">
      <w:pPr>
        <w:spacing w:line="480" w:lineRule="auto"/>
      </w:pPr>
    </w:p>
    <w:p w14:paraId="7540614A" w14:textId="77777777" w:rsidR="00FD1774" w:rsidRDefault="00FD1774" w:rsidP="006C17FF">
      <w:pPr>
        <w:spacing w:line="480" w:lineRule="auto"/>
      </w:pPr>
    </w:p>
    <w:p w14:paraId="355BF9AD" w14:textId="77777777" w:rsidR="00FD1774" w:rsidRDefault="00FD1774" w:rsidP="006C17FF">
      <w:pPr>
        <w:spacing w:line="480" w:lineRule="auto"/>
      </w:pPr>
    </w:p>
    <w:p w14:paraId="0F01BC4F" w14:textId="77777777" w:rsidR="00FD1774" w:rsidRDefault="00FD1774" w:rsidP="006C17FF">
      <w:pPr>
        <w:spacing w:line="480" w:lineRule="auto"/>
      </w:pPr>
    </w:p>
    <w:p w14:paraId="7251FD25" w14:textId="77777777" w:rsidR="00FD1774" w:rsidRDefault="00FD1774" w:rsidP="006C17FF">
      <w:pPr>
        <w:spacing w:line="480" w:lineRule="auto"/>
      </w:pPr>
    </w:p>
    <w:p w14:paraId="4D8EC7EA" w14:textId="77777777" w:rsidR="00FD1774" w:rsidRDefault="00FD1774" w:rsidP="006C17FF">
      <w:pPr>
        <w:spacing w:line="480" w:lineRule="auto"/>
      </w:pPr>
    </w:p>
    <w:p w14:paraId="173059DC" w14:textId="77777777" w:rsidR="00FD1774" w:rsidRDefault="00FD1774" w:rsidP="006C17FF">
      <w:pPr>
        <w:spacing w:line="480" w:lineRule="auto"/>
      </w:pPr>
    </w:p>
    <w:p w14:paraId="6E0C0381" w14:textId="77777777" w:rsidR="00FD1774" w:rsidRDefault="00FD1774" w:rsidP="006C17FF">
      <w:pPr>
        <w:spacing w:line="480" w:lineRule="auto"/>
      </w:pPr>
    </w:p>
    <w:p w14:paraId="30BABD9E" w14:textId="77777777" w:rsidR="00FD1774" w:rsidRDefault="00FD1774" w:rsidP="006C17FF">
      <w:pPr>
        <w:spacing w:line="480" w:lineRule="auto"/>
      </w:pPr>
    </w:p>
    <w:p w14:paraId="31B492B9" w14:textId="77777777" w:rsidR="00FD1774" w:rsidRDefault="00FD1774" w:rsidP="006C17FF">
      <w:pPr>
        <w:spacing w:line="480" w:lineRule="auto"/>
      </w:pPr>
    </w:p>
    <w:p w14:paraId="4DB6B296" w14:textId="04B335C7" w:rsidR="006C17FF" w:rsidRDefault="006C17FF" w:rsidP="006C17FF">
      <w:pPr>
        <w:pStyle w:val="Heading1"/>
      </w:pPr>
      <w:bookmarkStart w:id="95" w:name="_Toc225937214"/>
      <w:r>
        <w:lastRenderedPageBreak/>
        <w:t xml:space="preserve">CHAPTER V: </w:t>
      </w:r>
      <w:r w:rsidR="00784042">
        <w:t>METHODLOGICAL LIMITATIONS,</w:t>
      </w:r>
      <w:r>
        <w:t xml:space="preserve"> OUTCOMES and IMPLICATIONS</w:t>
      </w:r>
      <w:bookmarkEnd w:id="95"/>
      <w:r>
        <w:t xml:space="preserve"> </w:t>
      </w:r>
    </w:p>
    <w:p w14:paraId="74EDFF3A" w14:textId="77777777" w:rsidR="006C17FF" w:rsidRDefault="006C17FF" w:rsidP="006C17FF">
      <w:pPr>
        <w:pStyle w:val="Heading2"/>
      </w:pPr>
      <w:bookmarkStart w:id="96" w:name="_Toc225937215"/>
      <w:r>
        <w:t>Introduction</w:t>
      </w:r>
      <w:bookmarkEnd w:id="96"/>
    </w:p>
    <w:p w14:paraId="696552FF" w14:textId="3DE62E36" w:rsidR="006C17FF" w:rsidRDefault="006C17FF" w:rsidP="006C17FF">
      <w:pPr>
        <w:spacing w:line="480" w:lineRule="auto"/>
        <w:jc w:val="both"/>
      </w:pPr>
      <w:r>
        <w:t>Within this chapter there are three main objectives</w:t>
      </w:r>
      <w:r w:rsidR="00784042">
        <w:t xml:space="preserve">: </w:t>
      </w:r>
      <w:r w:rsidR="00784042" w:rsidRPr="00784042">
        <w:t>to present the methodological limitations, outcomes and implications of the data</w:t>
      </w:r>
      <w:r w:rsidR="00683C27">
        <w:t xml:space="preserve"> and conclusions based on the pragmatic approach of this research</w:t>
      </w:r>
      <w:r w:rsidR="00784042" w:rsidRPr="00784042">
        <w:t>.</w:t>
      </w:r>
      <w:r>
        <w:t xml:space="preserve"> </w:t>
      </w:r>
      <w:r w:rsidR="00683C27">
        <w:t xml:space="preserve">A methodological limitations section helps to frame the findings and provide context for future research, presented later in the chapter. </w:t>
      </w:r>
      <w:r>
        <w:t>The research findings</w:t>
      </w:r>
      <w:r w:rsidR="00784042">
        <w:t>, presented in Chapter IV</w:t>
      </w:r>
      <w:r w:rsidR="00683C27">
        <w:t>,</w:t>
      </w:r>
      <w:r w:rsidR="00784042">
        <w:t xml:space="preserve"> provide the bases for the </w:t>
      </w:r>
      <w:r>
        <w:t xml:space="preserve">section on </w:t>
      </w:r>
      <w:r w:rsidR="00683C27">
        <w:t xml:space="preserve">outcomes </w:t>
      </w:r>
      <w:r>
        <w:t>based on these findings and a discussion related to implicat</w:t>
      </w:r>
      <w:r w:rsidR="00683C27">
        <w:t>ions</w:t>
      </w:r>
      <w:r>
        <w:t xml:space="preserve">. </w:t>
      </w:r>
      <w:r w:rsidR="00683C27">
        <w:t xml:space="preserve">Themes within the introduction and results within the review of literature chapters will be considered and explored. This section will include both relevance and primacy of the research within the body of research. </w:t>
      </w:r>
    </w:p>
    <w:p w14:paraId="6F2DF573" w14:textId="668C8391" w:rsidR="006C17FF" w:rsidRDefault="006C17FF" w:rsidP="006C17FF">
      <w:pPr>
        <w:spacing w:line="480" w:lineRule="auto"/>
        <w:jc w:val="both"/>
      </w:pPr>
      <w:r>
        <w:t>The central aim of this chapter is to relate the outcomes and implications to the primary and secondary research questions guiding this thesis</w:t>
      </w:r>
      <w:r w:rsidR="00990F9C">
        <w:t>. The visual mapping of differences, provided in Chapter IV, are the basis of this section; however, have not been validated through tests of significance</w:t>
      </w:r>
      <w:r>
        <w:t xml:space="preserve">. As </w:t>
      </w:r>
      <w:r w:rsidR="00990F9C">
        <w:t xml:space="preserve">specified </w:t>
      </w:r>
      <w:r>
        <w:t xml:space="preserve">in the introduction chapter the central research question </w:t>
      </w:r>
      <w:r w:rsidR="00683C27">
        <w:t>is</w:t>
      </w:r>
      <w:r>
        <w:t xml:space="preserve"> </w:t>
      </w:r>
      <w:proofErr w:type="gramStart"/>
      <w:r>
        <w:t>are</w:t>
      </w:r>
      <w:proofErr w:type="gramEnd"/>
      <w:r>
        <w:t xml:space="preserve"> health leaders educated and trained, have capacity, and are competent to navigate health organisations through the changing climate</w:t>
      </w:r>
      <w:r w:rsidR="003F7E14">
        <w:t xml:space="preserve"> through </w:t>
      </w:r>
      <w:proofErr w:type="spellStart"/>
      <w:r w:rsidR="003F7E14">
        <w:t>self assessment</w:t>
      </w:r>
      <w:proofErr w:type="spellEnd"/>
      <w:r w:rsidR="003F7E14">
        <w:t>.</w:t>
      </w:r>
      <w:r>
        <w:t xml:space="preserve"> </w:t>
      </w:r>
      <w:r w:rsidR="003F7E14">
        <w:t>T</w:t>
      </w:r>
      <w:r>
        <w:t xml:space="preserve">he secondary question </w:t>
      </w:r>
      <w:r w:rsidR="001371F5">
        <w:t>is</w:t>
      </w:r>
      <w:r>
        <w:t xml:space="preserve">: what extent is climate change and health education and training available for health professionals, and is the training unique to health leaders, or is general health professional training applicable? </w:t>
      </w:r>
    </w:p>
    <w:p w14:paraId="4B723855" w14:textId="2A0EAB77" w:rsidR="00B82B36" w:rsidRDefault="00B82B36" w:rsidP="00B82B36">
      <w:pPr>
        <w:pStyle w:val="Heading3"/>
      </w:pPr>
      <w:r>
        <w:t>Methodological Limitations</w:t>
      </w:r>
    </w:p>
    <w:p w14:paraId="23140705" w14:textId="696EE8D9" w:rsidR="00B82B36" w:rsidRDefault="00B82B36" w:rsidP="006C17FF">
      <w:pPr>
        <w:spacing w:line="480" w:lineRule="auto"/>
      </w:pPr>
      <w:r>
        <w:t xml:space="preserve">As noted above, this study compares two geographic cohorts through descriptive statistics. Subsequently, variances are observational when considering competency and capacity. Furthermore, the limitation of </w:t>
      </w:r>
      <w:proofErr w:type="spellStart"/>
      <w:r>
        <w:t>self reporting</w:t>
      </w:r>
      <w:proofErr w:type="spellEnd"/>
      <w:r>
        <w:t xml:space="preserve"> and subjectivity within respondents is </w:t>
      </w:r>
      <w:r w:rsidR="00110EBD">
        <w:t>suggestive</w:t>
      </w:r>
      <w:r>
        <w:t xml:space="preserve"> as opposed to definitive. Disparities within the data can be further tested in future studies through </w:t>
      </w:r>
      <w:r>
        <w:lastRenderedPageBreak/>
        <w:t>inferential models in testing for statistical significance.</w:t>
      </w:r>
      <w:r w:rsidR="00110EBD">
        <w:t xml:space="preserve"> This would allow stronger conclusions to be drawn to health leaders as a population (</w:t>
      </w:r>
      <w:proofErr w:type="spellStart"/>
      <w:r w:rsidR="00110EBD">
        <w:t>Guetterman</w:t>
      </w:r>
      <w:proofErr w:type="spellEnd"/>
      <w:r w:rsidR="00110EBD">
        <w:t xml:space="preserve">, 2019). The following outcomes and implications can be viewed as indicative based on the limitations, yet still very applicable to a </w:t>
      </w:r>
      <w:r w:rsidR="000C0C07">
        <w:t>real-world</w:t>
      </w:r>
      <w:r w:rsidR="00110EBD">
        <w:t xml:space="preserve"> setting.</w:t>
      </w:r>
    </w:p>
    <w:p w14:paraId="4776CEE1" w14:textId="77777777" w:rsidR="006C17FF" w:rsidRPr="0005447E" w:rsidRDefault="006C17FF" w:rsidP="006C17FF">
      <w:pPr>
        <w:pStyle w:val="Heading2"/>
      </w:pPr>
      <w:bookmarkStart w:id="97" w:name="_Toc225937217"/>
      <w:r w:rsidRPr="0005447E">
        <w:t>Outcomes and Implications</w:t>
      </w:r>
      <w:bookmarkEnd w:id="97"/>
      <w:r w:rsidRPr="0005447E">
        <w:t xml:space="preserve">  </w:t>
      </w:r>
    </w:p>
    <w:p w14:paraId="33EB7597" w14:textId="77777777" w:rsidR="006C17FF" w:rsidRDefault="006C17FF" w:rsidP="006C17FF">
      <w:pPr>
        <w:pStyle w:val="Heading3"/>
      </w:pPr>
      <w:bookmarkStart w:id="98" w:name="_Toc225937218"/>
      <w:r>
        <w:t>Moderate to high levels of competence and capacity</w:t>
      </w:r>
      <w:bookmarkEnd w:id="98"/>
    </w:p>
    <w:p w14:paraId="6B0AF240" w14:textId="32755967" w:rsidR="006C17FF" w:rsidRDefault="006C17FF" w:rsidP="006C17FF">
      <w:pPr>
        <w:spacing w:line="480" w:lineRule="auto"/>
      </w:pPr>
      <w:r>
        <w:t>While there is a range of both competence and capacity, both in results and cross tabulation results, mean scores indicate a general degree of achievement or ability to achieve. The outcome when considering the primary research question is that health leaders are mostly educated and/or trained in climate and health topics. This research finds that the proportion of those educated is dependent on factors such as respondent</w:t>
      </w:r>
      <w:sdt>
        <w:sdtPr>
          <w:tag w:val="goog_rdk_268"/>
          <w:id w:val="1593808834"/>
        </w:sdtPr>
        <w:sdtContent>
          <w:r>
            <w:t>s</w:t>
          </w:r>
        </w:sdtContent>
      </w:sdt>
      <w:r>
        <w:t>’ role setting and level of seniority to a lesser degree.</w:t>
      </w:r>
    </w:p>
    <w:p w14:paraId="1DFC7DA2" w14:textId="5319DA8E" w:rsidR="006C17FF" w:rsidRDefault="006C17FF" w:rsidP="006C17FF">
      <w:pPr>
        <w:spacing w:line="480" w:lineRule="auto"/>
      </w:pPr>
      <w:r>
        <w:t xml:space="preserve">Levels of capacity, however, were dependent on the role setting. Health leaders in the community </w:t>
      </w:r>
      <w:r w:rsidR="00753782">
        <w:t>setting indicated lower average scores</w:t>
      </w:r>
      <w:r>
        <w:t xml:space="preserve"> capacity than those in both the corporate and hospital setting. This is an important consideration when engaging leaders in different settings in the context of education and/or training. Most health leaders attain education and/or training through self</w:t>
      </w:r>
      <w:sdt>
        <w:sdtPr>
          <w:tag w:val="goog_rdk_270"/>
          <w:id w:val="-799184841"/>
        </w:sdtPr>
        <w:sdtContent>
          <w:r>
            <w:t>-</w:t>
          </w:r>
        </w:sdtContent>
      </w:sdt>
      <w:r>
        <w:t>learning opportunities. Practically, those that have limited capacity are likely to experience barriers to undertaking self</w:t>
      </w:r>
      <w:sdt>
        <w:sdtPr>
          <w:tag w:val="goog_rdk_272"/>
          <w:id w:val="-1450147073"/>
        </w:sdtPr>
        <w:sdtContent>
          <w:r>
            <w:t>-</w:t>
          </w:r>
        </w:sdtContent>
      </w:sdt>
      <w:r>
        <w:t>learning education</w:t>
      </w:r>
      <w:r w:rsidR="00243F57">
        <w:t xml:space="preserve"> (</w:t>
      </w:r>
      <w:proofErr w:type="spellStart"/>
      <w:r w:rsidR="00243F57">
        <w:t>Jeong</w:t>
      </w:r>
      <w:proofErr w:type="spellEnd"/>
      <w:r w:rsidR="00243F57">
        <w:t>, et al., 2018)</w:t>
      </w:r>
      <w:r>
        <w:t>. This presents an opportunity for organisations to make education and/or training on climate topics mandatory, or at the very least to provide more formal opportunities to health leaders</w:t>
      </w:r>
      <w:r w:rsidR="00243F57">
        <w:t xml:space="preserve"> (Al-</w:t>
      </w:r>
      <w:proofErr w:type="spellStart"/>
      <w:r w:rsidR="00243F57">
        <w:t>Moary</w:t>
      </w:r>
      <w:proofErr w:type="spellEnd"/>
      <w:r w:rsidR="00243F57">
        <w:t xml:space="preserve"> et al., 2024)</w:t>
      </w:r>
      <w:r>
        <w:t xml:space="preserve">. </w:t>
      </w:r>
    </w:p>
    <w:p w14:paraId="7A6C7768" w14:textId="77777777" w:rsidR="006C17FF" w:rsidRDefault="006C17FF" w:rsidP="006C17FF">
      <w:pPr>
        <w:spacing w:line="480" w:lineRule="auto"/>
      </w:pPr>
      <w:r>
        <w:t>This does</w:t>
      </w:r>
      <w:sdt>
        <w:sdtPr>
          <w:tag w:val="goog_rdk_274"/>
          <w:id w:val="-2108394242"/>
        </w:sdtPr>
        <w:sdtContent>
          <w:r>
            <w:t xml:space="preserve"> </w:t>
          </w:r>
        </w:sdtContent>
      </w:sdt>
      <w:r>
        <w:t>n</w:t>
      </w:r>
      <w:sdt>
        <w:sdtPr>
          <w:tag w:val="goog_rdk_276"/>
          <w:id w:val="960951290"/>
        </w:sdtPr>
        <w:sdtContent>
          <w:r>
            <w:t>o</w:t>
          </w:r>
        </w:sdtContent>
      </w:sdt>
      <w:r>
        <w:t>t come as a surprise. Health professionals largely acknowledge climate change and recognize the importance of addressing challenges in their professional capacity, however, note that barriers such as time constraints exist (</w:t>
      </w:r>
      <w:proofErr w:type="spellStart"/>
      <w:r>
        <w:t>Kotcher</w:t>
      </w:r>
      <w:proofErr w:type="spellEnd"/>
      <w:r>
        <w:t xml:space="preserve">, et al., 2021). Similarly, Chi et al. (2023), found time constraints and lack of knowledge led to only 19% of Australian </w:t>
      </w:r>
      <w:sdt>
        <w:sdtPr>
          <w:tag w:val="goog_rdk_277"/>
          <w:id w:val="-1161701209"/>
        </w:sdtPr>
        <w:sdtContent>
          <w:r>
            <w:t>p</w:t>
          </w:r>
        </w:sdtContent>
      </w:sdt>
      <w:r>
        <w:t>hysiotherapist</w:t>
      </w:r>
      <w:sdt>
        <w:sdtPr>
          <w:tag w:val="goog_rdk_279"/>
          <w:id w:val="1620199954"/>
        </w:sdtPr>
        <w:sdtContent>
          <w:r>
            <w:t>s</w:t>
          </w:r>
        </w:sdtContent>
      </w:sdt>
      <w:r>
        <w:t xml:space="preserve"> feeling very </w:t>
      </w:r>
      <w:r>
        <w:lastRenderedPageBreak/>
        <w:t xml:space="preserve">knowledgeable on climate change and health topics. Health organisations ultimately will have to build strategies that enable leaders to participate in climate change and health education, whether organisationally led or external opportunities. </w:t>
      </w:r>
    </w:p>
    <w:p w14:paraId="2E2DBC88" w14:textId="47CE3996" w:rsidR="006C17FF" w:rsidRDefault="006C17FF" w:rsidP="006C17FF">
      <w:pPr>
        <w:spacing w:line="480" w:lineRule="auto"/>
      </w:pPr>
      <w:r>
        <w:t xml:space="preserve">This may also reflect climate change and health impacts having become a </w:t>
      </w:r>
      <w:proofErr w:type="spellStart"/>
      <w:r>
        <w:t>well publicised</w:t>
      </w:r>
      <w:proofErr w:type="spellEnd"/>
      <w:r>
        <w:t xml:space="preserve"> topic of conversation in both the UK and Canada. High profile events such as</w:t>
      </w:r>
      <w:sdt>
        <w:sdtPr>
          <w:tag w:val="goog_rdk_280"/>
          <w:id w:val="953132334"/>
        </w:sdtPr>
        <w:sdtContent>
          <w:r>
            <w:t xml:space="preserve"> the</w:t>
          </w:r>
        </w:sdtContent>
      </w:sdt>
      <w:r w:rsidR="00243F57">
        <w:t xml:space="preserve"> </w:t>
      </w:r>
      <w:r>
        <w:t>2022 heatwave</w:t>
      </w:r>
      <w:sdt>
        <w:sdtPr>
          <w:tag w:val="goog_rdk_283"/>
          <w:id w:val="785097817"/>
        </w:sdtPr>
        <w:sdtContent>
          <w:r>
            <w:t>s</w:t>
          </w:r>
        </w:sdtContent>
      </w:sdt>
      <w:r>
        <w:t xml:space="preserve"> </w:t>
      </w:r>
      <w:sdt>
        <w:sdtPr>
          <w:tag w:val="goog_rdk_284"/>
          <w:id w:val="-900388789"/>
        </w:sdtPr>
        <w:sdtContent>
          <w:r>
            <w:t xml:space="preserve">in the UK </w:t>
          </w:r>
        </w:sdtContent>
      </w:sdt>
      <w:r>
        <w:t xml:space="preserve">which contributed to nearly 3,000 </w:t>
      </w:r>
      <w:r w:rsidR="00243F57">
        <w:t xml:space="preserve">excess </w:t>
      </w:r>
      <w:r>
        <w:t>deaths over the course of the summer (UKHSA, 2025). Canada too has faced numerous extreme weather events over the past 5 years including a heatwave in the province of British Columbia that claimed the lives of 300 (Canadian Climate Institute, 2023).  Health professionals are seeing direct impacts on patients, and they may have been personally impacted. Given this, building competence in climate topics may come as a function of experience of the leader’s activity in their day-to-day roles and therefore not completely dependent on specific education.</w:t>
      </w:r>
    </w:p>
    <w:p w14:paraId="3B6F83C4" w14:textId="6EC8D44B" w:rsidR="000C0C07" w:rsidRDefault="000C0C07" w:rsidP="006C17FF">
      <w:pPr>
        <w:spacing w:line="480" w:lineRule="auto"/>
      </w:pPr>
      <w:r>
        <w:t xml:space="preserve">One contrasting view is that given the lack of formalized standards within education and the gaps in mandatory organisational education survey respondents may not have fully understood statements within the survey. More specifically, statements aimed to gauge survey respondent competence and capacity and the higher </w:t>
      </w:r>
      <w:proofErr w:type="spellStart"/>
      <w:r>
        <w:t>self reported</w:t>
      </w:r>
      <w:proofErr w:type="spellEnd"/>
      <w:r>
        <w:t xml:space="preserve"> scores may be due to a lack of awareness, rather than competence or having capacity. Again, this highlights the methodological limitations but could also assist future research efforts to determine if respondents understand the meaning of the statements. The use of validated instruments, which is a current gap, would also be useful in measuring competence and capacity on this topic. </w:t>
      </w:r>
    </w:p>
    <w:p w14:paraId="2BA668AD" w14:textId="77777777" w:rsidR="006C17FF" w:rsidRDefault="006C17FF" w:rsidP="006C17FF">
      <w:pPr>
        <w:pStyle w:val="Heading3"/>
      </w:pPr>
      <w:bookmarkStart w:id="99" w:name="_Toc225937219"/>
      <w:r>
        <w:t>Approaches to Organisational Climate Change and Health Education</w:t>
      </w:r>
      <w:bookmarkEnd w:id="99"/>
    </w:p>
    <w:p w14:paraId="2A0A8253" w14:textId="4A17B368" w:rsidR="006C17FF" w:rsidRDefault="006C17FF" w:rsidP="006C17FF">
      <w:pPr>
        <w:spacing w:line="480" w:lineRule="auto"/>
      </w:pPr>
      <w:r>
        <w:t xml:space="preserve">Interestingly, respondents in the UK had generally </w:t>
      </w:r>
      <w:r w:rsidR="00243F57">
        <w:t xml:space="preserve">greater </w:t>
      </w:r>
      <w:r>
        <w:t xml:space="preserve">capacity </w:t>
      </w:r>
      <w:r w:rsidR="00243F57">
        <w:t xml:space="preserve">averages </w:t>
      </w:r>
      <w:r>
        <w:t xml:space="preserve">around more knowledge-based capacity topics than those that were more action based. For example, as noted </w:t>
      </w:r>
      <w:r>
        <w:lastRenderedPageBreak/>
        <w:t xml:space="preserve">above, Canadian respondents had </w:t>
      </w:r>
      <w:r w:rsidR="00276C22">
        <w:t>generally greater mean averages</w:t>
      </w:r>
      <w:r>
        <w:t xml:space="preserve"> in managing emergencies, awareness of local hazards, and sharing lessons from response. Given that Canadian respondents had </w:t>
      </w:r>
      <w:r w:rsidR="00276C22">
        <w:t>greater mean averages</w:t>
      </w:r>
      <w:r>
        <w:t xml:space="preserve"> to their organisation being impacted by climate change over the past two years, this </w:t>
      </w:r>
      <w:r w:rsidR="006A0BD2">
        <w:t xml:space="preserve">does not </w:t>
      </w:r>
      <w:r>
        <w:t>come as a surprise</w:t>
      </w:r>
      <w:r w:rsidR="00243F57">
        <w:t xml:space="preserve"> (Health Canada, 2025)</w:t>
      </w:r>
      <w:r>
        <w:t xml:space="preserve">. The practical implication is there seems to be a link between the types of competencies leaders are developing and how their organisations are impacted. In the Canadian context there is a more critical nature to response and actions-based competencies, with those in the UK having a more balanced inventory of </w:t>
      </w:r>
      <w:r w:rsidR="00906651">
        <w:t>competence (</w:t>
      </w:r>
      <w:proofErr w:type="spellStart"/>
      <w:r w:rsidR="00243F57">
        <w:t>Jagals</w:t>
      </w:r>
      <w:proofErr w:type="spellEnd"/>
      <w:r w:rsidR="00243F57">
        <w:t xml:space="preserve"> &amp; </w:t>
      </w:r>
      <w:proofErr w:type="spellStart"/>
      <w:r w:rsidR="00243F57">
        <w:t>Ebi</w:t>
      </w:r>
      <w:proofErr w:type="spellEnd"/>
      <w:r w:rsidR="00243F57">
        <w:t>, 2021)</w:t>
      </w:r>
      <w:r>
        <w:t xml:space="preserve">. </w:t>
      </w:r>
    </w:p>
    <w:p w14:paraId="70367CF2" w14:textId="77777777" w:rsidR="006C17FF" w:rsidRDefault="006C17FF" w:rsidP="006C17FF">
      <w:pPr>
        <w:spacing w:line="480" w:lineRule="auto"/>
      </w:pPr>
      <w:r>
        <w:t xml:space="preserve">This connection is also evident across capacity scores. Those in the UK scored higher on more knowledge-based competencies such as those related to policy, system mitigation and health impacts. Less capacity was indicated for most topics including community mitigation, building partnerships, managing extreme weather and assessing and addressing risk, to name a few. When considering the societal nature of resiliency and how the health system functions within the larger context of the community it is likely that those within impacted organisations prioritise differently. For example, following responses to climate change influenced emergencies organisations may be prompted to work more closely with their communities. There may also be public and political pressure to do so. What this finding means is education and/or training will need to cater to the health leader and what they find important. </w:t>
      </w:r>
    </w:p>
    <w:p w14:paraId="75644519" w14:textId="7D63B287" w:rsidR="006C17FF" w:rsidRDefault="006C17FF" w:rsidP="006C17FF">
      <w:pPr>
        <w:spacing w:line="480" w:lineRule="auto"/>
      </w:pPr>
      <w:r>
        <w:t xml:space="preserve">This becomes more evident </w:t>
      </w:r>
      <w:sdt>
        <w:sdtPr>
          <w:tag w:val="goog_rdk_286"/>
          <w:id w:val="845057137"/>
        </w:sdtPr>
        <w:sdtContent>
          <w:r>
            <w:t xml:space="preserve">when </w:t>
          </w:r>
        </w:sdtContent>
      </w:sdt>
      <w:r>
        <w:t xml:space="preserve">we relate this to the question of whether leaders are involved in setting organisational strategy in climate and health education. While there was some agreement to this statement there is an opportunity for engagement. Health leaders must decide on what is included in their education and/or training as it relates to climate and health. This research demonstrates that it is applicable to health leaders and needs to be a priority within health organisations. It is a function of health organisations to further develop their leaders and </w:t>
      </w:r>
      <w:r>
        <w:lastRenderedPageBreak/>
        <w:t>outsourcing or relying on sources external to the organisation may be detrimental to leadership tasked with building resiliency within their organisation.</w:t>
      </w:r>
      <w:r w:rsidR="00F86105">
        <w:t xml:space="preserve"> This is one of the core concepts within the systems leadership framework that provides an opportunity to intersect this framework when developing climate change education or training.</w:t>
      </w:r>
    </w:p>
    <w:p w14:paraId="22BBD395" w14:textId="69E99B7F" w:rsidR="006C17FF" w:rsidRDefault="006C17FF" w:rsidP="006C17FF">
      <w:pPr>
        <w:spacing w:line="480" w:lineRule="auto"/>
      </w:pPr>
      <w:r>
        <w:t>There is a gap in the UK and Canada in terms of providing education and/or training to health leaders. Leaders are taking initiative to further themselves in climate and health competencies however</w:t>
      </w:r>
      <w:r w:rsidR="00276C22">
        <w:t>,</w:t>
      </w:r>
      <w:r>
        <w:t xml:space="preserve"> there are limitations to how health leaders can influence curriculum that is taken from external sources. Often, as noted in the literature review section, this training occurs during professional academic-based training, not in leadership training. </w:t>
      </w:r>
      <w:r w:rsidR="00276C22">
        <w:t xml:space="preserve">This is captured in </w:t>
      </w:r>
      <w:proofErr w:type="spellStart"/>
      <w:r w:rsidR="00276C22">
        <w:t>Tomar</w:t>
      </w:r>
      <w:proofErr w:type="spellEnd"/>
      <w:r w:rsidR="00276C22">
        <w:t xml:space="preserve"> and Rao’s (2026) scoping review that found manager and leader role-specific competencies in climate and health are under addressed. </w:t>
      </w:r>
      <w:r>
        <w:t>In addition, the training itself may be through international bodies with more of a global focus on training health professionals. Training designed for and offered to health leaders is also quite limited, with no studies having occurred that were specific to health leaders at the time of the scoping review.</w:t>
      </w:r>
      <w:r w:rsidR="00276C22">
        <w:t xml:space="preserve"> Sorensen and </w:t>
      </w:r>
      <w:proofErr w:type="spellStart"/>
      <w:r w:rsidR="00276C22">
        <w:t>Hospedales</w:t>
      </w:r>
      <w:proofErr w:type="spellEnd"/>
      <w:r w:rsidR="00276C22">
        <w:t xml:space="preserve"> (2024), argue that a scarcity persists in climate and health education, specifically directed at those that lead.</w:t>
      </w:r>
    </w:p>
    <w:p w14:paraId="1AB0CC94" w14:textId="77777777" w:rsidR="006C17FF" w:rsidRDefault="006C17FF" w:rsidP="006C17FF">
      <w:pPr>
        <w:spacing w:line="480" w:lineRule="auto"/>
      </w:pPr>
      <w:r>
        <w:t>There is recognition of this need within the international context. The World Health Organization Civil Society Working Group to Advance Action on Climate Change and Health urged that the health consequences of climate change be comprehensively integrated into curricula across all levels of health care education (Global Climate &amp; Health Alliance, 2022). This was provided by way of an open letter to universities and stakeholders in the field of education. If clinicians and other healthcare and public health professionals can teach their patients about best practices in disaster preparedness, individuals and communities can begin to mitigate the adverse health effects of future disasters (</w:t>
      </w:r>
      <w:proofErr w:type="spellStart"/>
      <w:r>
        <w:t>Keim</w:t>
      </w:r>
      <w:proofErr w:type="spellEnd"/>
      <w:r>
        <w:t>, 2008; as cited in Katzman, 2022). However, these positions lack emphasis on the health leader.</w:t>
      </w:r>
    </w:p>
    <w:p w14:paraId="0BA50E41" w14:textId="77777777" w:rsidR="006C17FF" w:rsidRDefault="00000000" w:rsidP="006C17FF">
      <w:pPr>
        <w:spacing w:line="480" w:lineRule="auto"/>
      </w:pPr>
      <w:sdt>
        <w:sdtPr>
          <w:tag w:val="goog_rdk_287"/>
          <w:id w:val="1342278439"/>
        </w:sdtPr>
        <w:sdtContent/>
      </w:sdt>
      <w:r w:rsidR="006C17FF">
        <w:t>When selecting leaders for promotion or filling positions climate and health competencies will need be considered. This likely will become more evident to health organisations in the future as the impacts of climate change increase disruptions and health is impacted. While many of these competencies may be specific to climate and health, they are beneficial to leaders in navigating their organisations through climate change. Both developing competencies and enabling leaders the capacity to further their level of competence will become more critical for health organisations.</w:t>
      </w:r>
    </w:p>
    <w:p w14:paraId="562087D6" w14:textId="77777777" w:rsidR="006C17FF" w:rsidRDefault="006C17FF" w:rsidP="006C17FF">
      <w:pPr>
        <w:pStyle w:val="Heading3"/>
      </w:pPr>
      <w:bookmarkStart w:id="100" w:name="_Toc225937220"/>
      <w:r>
        <w:t>Frequency and types of learning</w:t>
      </w:r>
      <w:bookmarkEnd w:id="100"/>
    </w:p>
    <w:p w14:paraId="39080DBC" w14:textId="77777777" w:rsidR="006C17FF" w:rsidRDefault="006C17FF" w:rsidP="006C17FF">
      <w:pPr>
        <w:spacing w:line="480" w:lineRule="auto"/>
      </w:pPr>
      <w:r>
        <w:t xml:space="preserve">What is included in the curriculum is of importance, however, is not the only factor in educating health leaders. How education and training is delivered is a crucial consideration. The scoping review revealed that interventions described in primary studies included a variety of formats. This included those that were simulation and scenario, lecture, team, module, case study, networking, and reporting based. Despite having evaluations for several intervention types, these were not monitored to determine which of the types are most effective. They also ranged in frequency from a single session to over the course of a 2-year continuing education program. </w:t>
      </w:r>
    </w:p>
    <w:p w14:paraId="0503BBD8" w14:textId="77777777" w:rsidR="006C17FF" w:rsidRDefault="006C17FF" w:rsidP="006C17FF">
      <w:pPr>
        <w:spacing w:line="480" w:lineRule="auto"/>
      </w:pPr>
      <w:r>
        <w:t>These factors will carefully need to be considered when educating leaders, especially given capacity challenges. There may not be a one size fits all approach to leader education on climate and health topics. Each topic will need to consider its learning objectives and how to determine whether competency has been developed. This may include didactic learning that incorporates scenario or simulation and team-based exercises. Newer techniques such as audit- based learning (Emblem-Perry, 2022), discussion based (Monroe, et al., 2017) and more classic pedagogical techniques such as case-based (Sarkar, et al., 2023) and problem based (</w:t>
      </w:r>
      <w:proofErr w:type="spellStart"/>
      <w:r>
        <w:t>Hettige</w:t>
      </w:r>
      <w:proofErr w:type="spellEnd"/>
      <w:r>
        <w:t>, et al., 2025) have also demonstrated effectiveness. The duration and frequency will also require input from the health leaders on what is practical and which topics are to be prioritised, as previously noted.</w:t>
      </w:r>
    </w:p>
    <w:p w14:paraId="7B49F913" w14:textId="77777777" w:rsidR="006C17FF" w:rsidRDefault="006C17FF" w:rsidP="006C17FF">
      <w:pPr>
        <w:spacing w:line="480" w:lineRule="auto"/>
      </w:pPr>
      <w:r>
        <w:lastRenderedPageBreak/>
        <w:t>Interprofessional learning and practicing of skills has demonstrated value in medical education (</w:t>
      </w:r>
      <w:proofErr w:type="spellStart"/>
      <w:r>
        <w:t>Challa</w:t>
      </w:r>
      <w:proofErr w:type="spellEnd"/>
      <w:r>
        <w:t xml:space="preserve"> et al., 2021). This is highly applicable to how health leaders receive education and/or training on climate change and health topics. There is value in having leaders contribute to the design of this education and to develop through an inter-disciplinary lens. Continuing to build and practice competencies is an important consideration. Subsequently, leaders will need to be engaged prior to and during their leadership function in health organisations across the spectrum of climate change and health topics, while prioritising those that are most impactful to their organisation. This approach, with enabling capacity, will develop competent leaders that are better able to navigate their organisations through climate change. </w:t>
      </w:r>
    </w:p>
    <w:p w14:paraId="5FE5432A" w14:textId="77777777" w:rsidR="006C17FF" w:rsidRDefault="006C17FF" w:rsidP="006C17FF">
      <w:pPr>
        <w:pStyle w:val="Heading3"/>
      </w:pPr>
      <w:bookmarkStart w:id="101" w:name="_Toc225937221"/>
      <w:r>
        <w:t>Climate and health topics for leadership</w:t>
      </w:r>
      <w:bookmarkEnd w:id="101"/>
    </w:p>
    <w:p w14:paraId="794E866F" w14:textId="77777777" w:rsidR="006C17FF" w:rsidRDefault="006C17FF" w:rsidP="006C17FF">
      <w:pPr>
        <w:spacing w:line="480" w:lineRule="auto"/>
      </w:pPr>
      <w:r>
        <w:t>When asked about the health and climate topics health leaders in the UK and Canada viewed education and/or training as applicable to all levels of leadership. However, there was less agreement to whether there was a person or team responsible and if their organisation had developed content for health professionals. This was also the case if their organisation promoted external education and/or training. There clearly is a need for this content and an awareness of climate influenced hazards within health leader’s geographical jurisdiction of where their duties are carried out. However, there are gaps in which health leaders receive climate and health education and/or training, which is evident in grouping of health leaders.</w:t>
      </w:r>
    </w:p>
    <w:p w14:paraId="54884AE8" w14:textId="77777777" w:rsidR="006C17FF" w:rsidRDefault="006C17FF" w:rsidP="006C17FF">
      <w:pPr>
        <w:spacing w:line="480" w:lineRule="auto"/>
      </w:pPr>
      <w:r>
        <w:t xml:space="preserve">As noted in the literature review chapter, climate and health education varies in competencies covered and is found to be provided through a variety of types of intervention. More specifically, when assessing climate and health studies only 2 of 30 education or training interventions were comprehensive (contain material related to all 11 domains of competency). Even when considering that health leaders are likely to have received education and/or training, there is gaps in the material covered. While there are inconsistencies in material covered, albeit not all education </w:t>
      </w:r>
      <w:r>
        <w:lastRenderedPageBreak/>
        <w:t>and/or training is designed to be comprehensive, there is also a high level of variance in duration and type of intervention. It is important to consider that not all interventions have the same learning objectives and may be specific to segments of the health professional group in developed countries such as Canada and the UK.</w:t>
      </w:r>
    </w:p>
    <w:p w14:paraId="0BAE866B" w14:textId="0FFDF6E4" w:rsidR="006C17FF" w:rsidRDefault="006C17FF" w:rsidP="006C17FF">
      <w:pPr>
        <w:spacing w:line="480" w:lineRule="auto"/>
      </w:pPr>
      <w:r>
        <w:t>From a practice perspective, a lack of a common set of competencies that health leaders aim to achieve has not been seamlessly integrate</w:t>
      </w:r>
      <w:sdt>
        <w:sdtPr>
          <w:tag w:val="goog_rdk_288"/>
          <w:id w:val="-950839582"/>
        </w:sdtPr>
        <w:sdtContent>
          <w:r>
            <w:t>d</w:t>
          </w:r>
        </w:sdtContent>
      </w:sdt>
      <w:r>
        <w:t xml:space="preserve"> into climate change education. Conversely, climate change education is not uniform, inconsistent and lacks a univers</w:t>
      </w:r>
      <w:sdt>
        <w:sdtPr>
          <w:tag w:val="goog_rdk_289"/>
          <w:id w:val="-486732220"/>
        </w:sdtPr>
        <w:sdtContent>
          <w:r>
            <w:t>al</w:t>
          </w:r>
        </w:sdtContent>
      </w:sdt>
      <w:r>
        <w:t xml:space="preserve"> approach to the phenomenon of climate change. This does</w:t>
      </w:r>
      <w:sdt>
        <w:sdtPr>
          <w:tag w:val="goog_rdk_291"/>
          <w:id w:val="1228071577"/>
        </w:sdtPr>
        <w:sdtContent>
          <w:r>
            <w:t xml:space="preserve"> </w:t>
          </w:r>
        </w:sdtContent>
      </w:sdt>
      <w:r>
        <w:t>n</w:t>
      </w:r>
      <w:sdt>
        <w:sdtPr>
          <w:tag w:val="goog_rdk_292"/>
          <w:id w:val="1157238351"/>
        </w:sdtPr>
        <w:sdtContent>
          <w:r>
            <w:t>o</w:t>
          </w:r>
        </w:sdtContent>
      </w:sdt>
      <w:r>
        <w:t xml:space="preserve">t come as a surprise as universities often provide health professional training and national, in the UK, and federal and provincial health systems, in Canada, guide continuing education within the health sector. </w:t>
      </w:r>
    </w:p>
    <w:p w14:paraId="41676C12" w14:textId="0AA07E75" w:rsidR="006C17FF" w:rsidRDefault="006C17FF" w:rsidP="006C17FF">
      <w:pPr>
        <w:spacing w:line="480" w:lineRule="auto"/>
      </w:pPr>
      <w:r>
        <w:t>Of greatest concern, when considering the central research question, is health leaders do not have specific content developed that is comprehensive and can be used to help them navigate organisations through climate change. While training exist for those within health professions, in some cases being a part of their professional education and/or training, it is not mandatory for those in health leadership roles. This is not to say that is</w:t>
      </w:r>
      <w:sdt>
        <w:sdtPr>
          <w:tag w:val="goog_rdk_294"/>
          <w:id w:val="1863001794"/>
        </w:sdtPr>
        <w:sdtContent>
          <w:r>
            <w:t xml:space="preserve"> </w:t>
          </w:r>
        </w:sdtContent>
      </w:sdt>
      <w:r>
        <w:t>n</w:t>
      </w:r>
      <w:sdt>
        <w:sdtPr>
          <w:tag w:val="goog_rdk_295"/>
          <w:id w:val="-545551496"/>
        </w:sdtPr>
        <w:sdtContent>
          <w:r>
            <w:t>o</w:t>
          </w:r>
        </w:sdtContent>
      </w:sdt>
      <w:r>
        <w:t xml:space="preserve">t being further developed or there is a lack of awareness of its importance. </w:t>
      </w:r>
    </w:p>
    <w:p w14:paraId="37A9C708" w14:textId="77777777" w:rsidR="006C17FF" w:rsidRDefault="006C17FF" w:rsidP="006C17FF">
      <w:pPr>
        <w:spacing w:line="480" w:lineRule="auto"/>
      </w:pPr>
      <w:r>
        <w:t xml:space="preserve">There is also a case to be made about the experiential factors in being competent in relation to climate and health topics. Only so much can be gained through education and/or training related to climate and health. Effectiveness of training is often hard to measure. This is evident in a lack of follow up with those who have been educated and or trained, as described in the review of literature. While evaluations are common within interventions summarized in chapter 2, they are not evaluated to determine when a competency has been achieved. This is a limitation of this body of research given the </w:t>
      </w:r>
      <w:sdt>
        <w:sdtPr>
          <w:tag w:val="goog_rdk_297"/>
          <w:id w:val="641212577"/>
        </w:sdtPr>
        <w:sdtContent>
          <w:sdt>
            <w:sdtPr>
              <w:tag w:val="goog_rdk_298"/>
              <w:id w:val="-1166982645"/>
            </w:sdtPr>
            <w:sdtContent>
              <w:r>
                <w:t>self-reported</w:t>
              </w:r>
            </w:sdtContent>
          </w:sdt>
        </w:sdtContent>
      </w:sdt>
      <w:r>
        <w:t xml:space="preserve"> nature of competencies by respondents. In other words, there </w:t>
      </w:r>
      <w:r>
        <w:lastRenderedPageBreak/>
        <w:t xml:space="preserve">are no tools to measure, let alone that are universally accepted, attached to education and/or training. </w:t>
      </w:r>
    </w:p>
    <w:p w14:paraId="0745453E" w14:textId="77777777" w:rsidR="006C17FF" w:rsidRDefault="006C17FF" w:rsidP="006C17FF">
      <w:pPr>
        <w:spacing w:line="480" w:lineRule="auto"/>
      </w:pPr>
      <w:r>
        <w:t xml:space="preserve">In a practical sense having a competency-based paradigm to climate and health education is important for health leaders. Health professions and their respective education and training curriculum have recently shifted to a more competency-based approach. To accomplish this health leaders will require opportunities and the capacity to receive education and/or training on these topics. Therefore, this will need to be a priority within health organisations to further develop their human resources and leaders across all levels of the organisation. </w:t>
      </w:r>
    </w:p>
    <w:p w14:paraId="077E0C01" w14:textId="77777777" w:rsidR="006C17FF" w:rsidRDefault="006C17FF" w:rsidP="006C17FF">
      <w:pPr>
        <w:spacing w:line="480" w:lineRule="auto"/>
      </w:pPr>
      <w:r>
        <w:t>As previously described</w:t>
      </w:r>
      <w:sdt>
        <w:sdtPr>
          <w:tag w:val="goog_rdk_301"/>
          <w:id w:val="273642807"/>
        </w:sdtPr>
        <w:sdtContent>
          <w:r>
            <w:t>,</w:t>
          </w:r>
        </w:sdtContent>
      </w:sdt>
      <w:r>
        <w:t xml:space="preserve"> competency-based education is beneficial to health professional</w:t>
      </w:r>
      <w:sdt>
        <w:sdtPr>
          <w:tag w:val="goog_rdk_302"/>
          <w:id w:val="-1374797000"/>
        </w:sdtPr>
        <w:sdtContent>
          <w:r>
            <w:t>s</w:t>
          </w:r>
        </w:sdtContent>
      </w:sdt>
      <w:r>
        <w:t xml:space="preserve"> in a variety of ways. In addition, it has been utilized in health professional education and found as an effective way to transfer knowledge that can be measured. Specifically, </w:t>
      </w:r>
      <w:proofErr w:type="spellStart"/>
      <w:r>
        <w:t>Frenk</w:t>
      </w:r>
      <w:proofErr w:type="spellEnd"/>
      <w:r>
        <w:t xml:space="preserve"> (et al., 2022), in a health policy paper, highlighted the need for competency-based education for climate change and health. Competency frameworks specific to climate change and health will be identified and explored further in the following section of this confirmation review. </w:t>
      </w:r>
    </w:p>
    <w:p w14:paraId="099F49D9" w14:textId="77777777" w:rsidR="006C17FF" w:rsidRDefault="006C17FF" w:rsidP="006C17FF">
      <w:pPr>
        <w:spacing w:line="480" w:lineRule="auto"/>
      </w:pPr>
      <w:r>
        <w:t xml:space="preserve">Based on this research it is also clear that the setting of the leader may limit exposure to climate change education and/or training. Respondents working in a corporate or administrative setting were more likely to have received education or training than those in the hospital and community setting. To remedy this, health leaders across role settings can advocate for opportunities to build their competencies. From the top down, organisations and leaders at higher levels can remove barriers. One example to encourage leaders across the organisation to build competency is by tying education and/or training to performance goals. Acknowledging the importance of developing leaders in these competencies is only one aspect of the solution. Leaders must also have capacity in which to build these competencies. </w:t>
      </w:r>
    </w:p>
    <w:p w14:paraId="3EE0C83F" w14:textId="77777777" w:rsidR="006C17FF" w:rsidRDefault="006C17FF" w:rsidP="006C17FF">
      <w:pPr>
        <w:spacing w:line="480" w:lineRule="auto"/>
      </w:pPr>
      <w:r>
        <w:lastRenderedPageBreak/>
        <w:t xml:space="preserve">Leaders at all levels indicated that competency and capacity to manage climate influenced </w:t>
      </w:r>
      <w:sdt>
        <w:sdtPr>
          <w:tag w:val="goog_rdk_303"/>
          <w:id w:val="-1831227630"/>
        </w:sdtPr>
        <w:sdtContent>
          <w:sdt>
            <w:sdtPr>
              <w:tag w:val="goog_rdk_304"/>
              <w:id w:val="-2114273350"/>
            </w:sdtPr>
            <w:sdtContent>
              <w:r>
                <w:t>crises</w:t>
              </w:r>
            </w:sdtContent>
          </w:sdt>
        </w:sdtContent>
      </w:sdt>
      <w:sdt>
        <w:sdtPr>
          <w:tag w:val="goog_rdk_305"/>
          <w:id w:val="-1078323159"/>
        </w:sdtPr>
        <w:sdtContent>
          <w:sdt>
            <w:sdtPr>
              <w:tag w:val="goog_rdk_306"/>
              <w:id w:val="1319863298"/>
              <w:showingPlcHdr/>
            </w:sdtPr>
            <w:sdtContent>
              <w:r>
                <w:t xml:space="preserve">     </w:t>
              </w:r>
            </w:sdtContent>
          </w:sdt>
        </w:sdtContent>
      </w:sdt>
      <w:r>
        <w:t xml:space="preserve"> is required. In other words, to navigate the more acute experience of climate change, extreme weather as one example, demands educated and/or trained leaders across the health system. Based on the evidence presented above, climate influenced emergencies happen across healthcare settings and </w:t>
      </w:r>
      <w:sdt>
        <w:sdtPr>
          <w:tag w:val="goog_rdk_307"/>
          <w:id w:val="1085954107"/>
        </w:sdtPr>
        <w:sdtContent>
          <w:sdt>
            <w:sdtPr>
              <w:tag w:val="goog_rdk_308"/>
              <w:id w:val="-795593421"/>
            </w:sdtPr>
            <w:sdtContent>
              <w:r>
                <w:t>are more</w:t>
              </w:r>
            </w:sdtContent>
          </w:sdt>
        </w:sdtContent>
      </w:sdt>
      <w:sdt>
        <w:sdtPr>
          <w:tag w:val="goog_rdk_309"/>
          <w:id w:val="-1568084123"/>
        </w:sdtPr>
        <w:sdtContent>
          <w:sdt>
            <w:sdtPr>
              <w:tag w:val="goog_rdk_310"/>
              <w:id w:val="1806490760"/>
              <w:showingPlcHdr/>
            </w:sdtPr>
            <w:sdtContent>
              <w:r>
                <w:t xml:space="preserve">     </w:t>
              </w:r>
            </w:sdtContent>
          </w:sdt>
        </w:sdtContent>
      </w:sdt>
      <w:r>
        <w:t xml:space="preserve"> prevalent in community and hospital settings than in corporate or administrative settings. However, it was reported that those in corporate/administrative settings are more likely to receive climate change education and/or training through their organisation.</w:t>
      </w:r>
    </w:p>
    <w:p w14:paraId="506EFE7D" w14:textId="77777777" w:rsidR="006C17FF" w:rsidRDefault="006C17FF" w:rsidP="006C17FF">
      <w:pPr>
        <w:spacing w:line="480" w:lineRule="auto"/>
      </w:pPr>
      <w:r>
        <w:t>Business continuity and disruptions to providing health care services will also test health organisations, which is identified through this research as a topic that leaders are less familiar with. Critical infrastructure challenges are on the rise and sharing lessons learned from responses will assist with a greater awareness of short- and longer-term impacts. Climate mitigation activities at the local level will lessen the burden of the more acute shocks to the health system, and there is opportunity for further development of health leaders in this respect. Health leaders regardless of level of seniority will need to advocate and share how their organisations are being impacted and disrupted. National and federal levels of the health system will need information from those at local and community levels and communication and reporting will be vital to adapt to the changing climate.</w:t>
      </w:r>
    </w:p>
    <w:p w14:paraId="4D25E6F0" w14:textId="77777777" w:rsidR="006C17FF" w:rsidRPr="0005447E" w:rsidRDefault="006C17FF" w:rsidP="006C17FF">
      <w:pPr>
        <w:pStyle w:val="Heading2"/>
      </w:pPr>
      <w:bookmarkStart w:id="102" w:name="_Toc225937222"/>
      <w:r w:rsidRPr="0005447E">
        <w:t>Suggestions for Future Research</w:t>
      </w:r>
      <w:bookmarkEnd w:id="102"/>
    </w:p>
    <w:p w14:paraId="421963BF" w14:textId="77777777" w:rsidR="006C17FF" w:rsidRDefault="006C17FF" w:rsidP="006C17FF">
      <w:pPr>
        <w:pStyle w:val="Heading3"/>
      </w:pPr>
      <w:bookmarkStart w:id="103" w:name="_Toc225937223"/>
      <w:r>
        <w:t>A case for mix methods research</w:t>
      </w:r>
      <w:bookmarkEnd w:id="103"/>
    </w:p>
    <w:p w14:paraId="63147911" w14:textId="77777777" w:rsidR="006C17FF" w:rsidRDefault="006C17FF" w:rsidP="006C17FF">
      <w:pPr>
        <w:spacing w:line="480" w:lineRule="auto"/>
      </w:pPr>
      <w:r>
        <w:t xml:space="preserve">Despite the survey being anonymous, bias may be present within the results, especially given </w:t>
      </w:r>
      <w:sdt>
        <w:sdtPr>
          <w:tag w:val="goog_rdk_311"/>
          <w:id w:val="421261955"/>
        </w:sdtPr>
        <w:sdtContent>
          <w:sdt>
            <w:sdtPr>
              <w:tag w:val="goog_rdk_312"/>
              <w:id w:val="-825376824"/>
            </w:sdtPr>
            <w:sdtContent>
              <w:r>
                <w:t>self-report</w:t>
              </w:r>
            </w:sdtContent>
          </w:sdt>
        </w:sdtContent>
      </w:sdt>
      <w:r>
        <w:t xml:space="preserve">ing scales were used to report competence and capacity. Respondents may over or underestimate their competence. It may be that respondents may not understand the topic statements, as some of the terminology is specific to climate and health topics. Given the lower rates of respondent groups, such as those in the community, there may be unfamiliarity with the </w:t>
      </w:r>
      <w:r>
        <w:lastRenderedPageBreak/>
        <w:t>statements themselves. Adding a qualitative approach and using mixed methods would allow for a deeper understanding of the qualitative results.</w:t>
      </w:r>
    </w:p>
    <w:p w14:paraId="2375637C" w14:textId="77777777" w:rsidR="006C17FF" w:rsidRDefault="006C17FF" w:rsidP="006C17FF">
      <w:pPr>
        <w:spacing w:line="480" w:lineRule="auto"/>
      </w:pPr>
      <w:r>
        <w:t xml:space="preserve">As captured in the literature review section, competency and capacity topics for this research were based on Sorensen et al. (2023) and </w:t>
      </w:r>
      <w:proofErr w:type="spellStart"/>
      <w:r>
        <w:t>Jagals</w:t>
      </w:r>
      <w:proofErr w:type="spellEnd"/>
      <w:r>
        <w:t xml:space="preserve"> and </w:t>
      </w:r>
      <w:proofErr w:type="spellStart"/>
      <w:r>
        <w:t>Ebi</w:t>
      </w:r>
      <w:proofErr w:type="spellEnd"/>
      <w:r>
        <w:t xml:space="preserve"> (2021) work. These two frameworks, while foundational, can be further reviewed and expanded upon with input from experts in the field. Furthermore, specific climate and health competencies could be identified as those relevant to leadership. This was a limitation of the research, the topic list was not weighted nor stratified to competencies relevant to different roles, including leadership, within health organisations- as it was out of scope. </w:t>
      </w:r>
    </w:p>
    <w:p w14:paraId="69764B82" w14:textId="06FC85DE" w:rsidR="006C17FF" w:rsidRDefault="006C17FF" w:rsidP="006C17FF">
      <w:pPr>
        <w:spacing w:line="480" w:lineRule="auto"/>
      </w:pPr>
      <w:r>
        <w:t xml:space="preserve">Climate change influenced extreme weather events in </w:t>
      </w:r>
      <w:r w:rsidR="00906651">
        <w:t>Canada,</w:t>
      </w:r>
      <w:r>
        <w:t xml:space="preserve"> and the UK present an opportunity to understand how leadership functions during emergencies. Healthcare organisations across Canada have inconsistent approaches to developing leaders to effectively manage emergencies. As described in Wolter et al. (2015; cited in </w:t>
      </w:r>
      <w:proofErr w:type="spellStart"/>
      <w:r>
        <w:t>Sriharan</w:t>
      </w:r>
      <w:proofErr w:type="spellEnd"/>
      <w:r>
        <w:t xml:space="preserve">, et al., 2022) healthcare leaders commonly progress through health organisations based on their years of experience in a specific area of focus. This recruitment strategy </w:t>
      </w:r>
      <w:r w:rsidR="006A0BD2">
        <w:t xml:space="preserve">does not </w:t>
      </w:r>
      <w:r>
        <w:t xml:space="preserve">necessarily account for exposure nor performance when managing emergencies. </w:t>
      </w:r>
    </w:p>
    <w:p w14:paraId="25DF64BF" w14:textId="77777777" w:rsidR="00C5745A" w:rsidRDefault="00C5745A" w:rsidP="00C5745A">
      <w:pPr>
        <w:spacing w:line="480" w:lineRule="auto"/>
      </w:pPr>
      <w:r>
        <w:t xml:space="preserve">There is an inherent methodological limitation with the </w:t>
      </w:r>
      <w:proofErr w:type="spellStart"/>
      <w:r>
        <w:t>self reporting</w:t>
      </w:r>
      <w:proofErr w:type="spellEnd"/>
      <w:r>
        <w:t xml:space="preserve"> nature of this study. </w:t>
      </w:r>
      <w:proofErr w:type="spellStart"/>
      <w:r>
        <w:t>Self reporting</w:t>
      </w:r>
      <w:proofErr w:type="spellEnd"/>
      <w:r>
        <w:t>, while effective in cost and efficient in time (Woodfield, 2026), the way in which information is processed by respondents may be biased (</w:t>
      </w:r>
      <w:proofErr w:type="spellStart"/>
      <w:r>
        <w:t>Oeberst</w:t>
      </w:r>
      <w:proofErr w:type="spellEnd"/>
      <w:r>
        <w:t xml:space="preserve"> and Imhoff, 2023). Using instrumentation that account for established psychometric properties (Martinez, Lewis, and Weiner, 2014), is one potential solution to the limitation of this work. A mixed methods approach could be used to review evaluation data drawn from the climate education programmes within respondent’s organisations. </w:t>
      </w:r>
    </w:p>
    <w:p w14:paraId="0628C523" w14:textId="77777777" w:rsidR="00C5745A" w:rsidRDefault="00C5745A" w:rsidP="00C5745A">
      <w:pPr>
        <w:spacing w:line="480" w:lineRule="auto"/>
      </w:pPr>
      <w:r>
        <w:lastRenderedPageBreak/>
        <w:t>Furthermore, triangulating through mixed methods could be used to enhance this research and to gain greater clarity (Tonkin-</w:t>
      </w:r>
      <w:proofErr w:type="spellStart"/>
      <w:r>
        <w:t>Crine</w:t>
      </w:r>
      <w:proofErr w:type="spellEnd"/>
      <w:r>
        <w:t>, et al., 2016). One method, as outlined in Chapter 3, is the use of explanatory sequential design. This mixed methods design could be used to consider the self-reporting data and to verify with organisational leaders how actions taken demonstrated competence. This approach could further explore barriers to capacity, not only from a leader perspective, but in how staff prepare for climate change influenced disasters. In addition, leaders could be asked, through a semi-structured interview, to report on observable performance from previous responses.</w:t>
      </w:r>
    </w:p>
    <w:p w14:paraId="0EC0F3A2" w14:textId="737624FA" w:rsidR="00BB033B" w:rsidRDefault="00BB033B" w:rsidP="00C5745A">
      <w:pPr>
        <w:spacing w:line="480" w:lineRule="auto"/>
      </w:pPr>
      <w:r>
        <w:t xml:space="preserve">Therein lies the methodological imperative to explore this topic through a mixed methods approach. As this study has captured, quantitative measures are limited in providing a definitive answer to the question “how do health leaders navigate organisations through climate change”. The analysis must go beyond </w:t>
      </w:r>
      <w:proofErr w:type="spellStart"/>
      <w:r>
        <w:t>self perceptions</w:t>
      </w:r>
      <w:proofErr w:type="spellEnd"/>
      <w:r>
        <w:t xml:space="preserve"> and explore how real-world performance can be measured and how it is influenced by climate and health education. </w:t>
      </w:r>
      <w:r w:rsidR="00137CA1">
        <w:t xml:space="preserve">There is </w:t>
      </w:r>
      <w:proofErr w:type="gramStart"/>
      <w:r w:rsidR="00137CA1">
        <w:t>a</w:t>
      </w:r>
      <w:proofErr w:type="gramEnd"/>
      <w:r w:rsidR="00137CA1">
        <w:t xml:space="preserve"> urgency to this inquiry and a need to further engage health leaders on their competence in relation to the climate crisis. </w:t>
      </w:r>
    </w:p>
    <w:p w14:paraId="7A3BB4A8" w14:textId="77777777" w:rsidR="006C17FF" w:rsidRDefault="006C17FF" w:rsidP="006C17FF">
      <w:pPr>
        <w:pStyle w:val="Heading3"/>
      </w:pPr>
      <w:bookmarkStart w:id="104" w:name="_Toc225937224"/>
      <w:r>
        <w:t>Climate change and health competencies and measuring effectiveness</w:t>
      </w:r>
      <w:bookmarkEnd w:id="104"/>
    </w:p>
    <w:p w14:paraId="5F8E8997" w14:textId="77777777" w:rsidR="006C17FF" w:rsidRDefault="006C17FF" w:rsidP="006C17FF">
      <w:pPr>
        <w:spacing w:line="480" w:lineRule="auto"/>
      </w:pPr>
      <w:r>
        <w:t xml:space="preserve">This research describes the extent of education and health leader competency and capacity for related topics. As noted in Chapter 2 whether education and/or training is effective in building competencies is not well understood in the context of climate change. An area of inquiry that can be considered in future research is to determine if education and/or training is effective. This can include research design aimed at having health leaders reflect on their current level of competence, such as using a scale to </w:t>
      </w:r>
      <w:proofErr w:type="spellStart"/>
      <w:r>
        <w:t>self rate</w:t>
      </w:r>
      <w:proofErr w:type="spellEnd"/>
      <w:r>
        <w:t xml:space="preserve">, and share how they reached competence. By determining activities that lead to competence in climate change and health topics, research could </w:t>
      </w:r>
      <w:r>
        <w:lastRenderedPageBreak/>
        <w:t xml:space="preserve">better guide educational practices. This has general applicability for health professionals, however given the gap in education and/or training for health leaders there is a primacy to this research. </w:t>
      </w:r>
    </w:p>
    <w:p w14:paraId="7A4149BB" w14:textId="77777777" w:rsidR="006C17FF" w:rsidRDefault="006C17FF" w:rsidP="006C17FF">
      <w:pPr>
        <w:spacing w:line="480" w:lineRule="auto"/>
      </w:pPr>
      <w:r>
        <w:t>Recently core competencies in climate change have gained attention including assessment approaches for climate change preparedness, response and recovery in groups such as public health professionals (Perreault-Carranza, et al., 2024). However, approaches are reliant on evaluations of the material and lack demonstrating competency. There is a movement to build knowledge within health professional groups on climate change (</w:t>
      </w:r>
      <w:proofErr w:type="spellStart"/>
      <w:r>
        <w:t>Boekels</w:t>
      </w:r>
      <w:proofErr w:type="spellEnd"/>
      <w:r>
        <w:t>, et al., 2023), but again those aimed at leaders using effectiveness instruments are limited.</w:t>
      </w:r>
    </w:p>
    <w:p w14:paraId="485BEB70" w14:textId="6CE5DAE1" w:rsidR="009B3E36" w:rsidRDefault="00210B96" w:rsidP="006C17FF">
      <w:pPr>
        <w:spacing w:line="480" w:lineRule="auto"/>
      </w:pPr>
      <w:r>
        <w:t>As mentioned above, a mixed methods approach, specifically drawing from triangulation methods would benefit further inquiry (Tonkin-</w:t>
      </w:r>
      <w:proofErr w:type="spellStart"/>
      <w:r>
        <w:t>Crine</w:t>
      </w:r>
      <w:proofErr w:type="spellEnd"/>
      <w:r>
        <w:t>, et al., 2016). A 360-degree qualitative interview is one approach that could be used to assist in measuring objective preparedness, competence and capacity (Garbett, et al., 2007). Health leader assessments could be compared against self-reported data to look for how the data between interviews and questionnaires aligns or diverges. This would be more resource intensive and require that leaders to be open to assessment.</w:t>
      </w:r>
    </w:p>
    <w:p w14:paraId="35B69002" w14:textId="77777777" w:rsidR="006C17FF" w:rsidRDefault="006C17FF" w:rsidP="006C17FF">
      <w:pPr>
        <w:pStyle w:val="Heading3"/>
      </w:pPr>
      <w:bookmarkStart w:id="105" w:name="_Toc225937225"/>
      <w:r>
        <w:t>Further exploration of higher income healthcare systems</w:t>
      </w:r>
      <w:bookmarkEnd w:id="105"/>
    </w:p>
    <w:p w14:paraId="37BF66FB" w14:textId="77777777" w:rsidR="006C17FF" w:rsidRDefault="006C17FF" w:rsidP="006C17FF">
      <w:pPr>
        <w:spacing w:line="480" w:lineRule="auto"/>
      </w:pPr>
      <w:r>
        <w:t xml:space="preserve">The UK and Canada are only two of several higher income countries that face climate change impacts. While these health systems share similarities, such as </w:t>
      </w:r>
      <w:sdt>
        <w:sdtPr>
          <w:tag w:val="goog_rdk_316"/>
          <w:id w:val="617512200"/>
        </w:sdtPr>
        <w:sdtContent>
          <w:sdt>
            <w:sdtPr>
              <w:tag w:val="goog_rdk_317"/>
              <w:id w:val="-1094617739"/>
            </w:sdtPr>
            <w:sdtContent>
              <w:r>
                <w:t>receiving</w:t>
              </w:r>
            </w:sdtContent>
          </w:sdt>
        </w:sdtContent>
      </w:sdt>
      <w:r>
        <w:t xml:space="preserve"> public funding to operate, there is an opportunity to compare leader competencies and capacity between other health systems. Additional insights may be drawn from countries with greater differences in their health systems, such as the United States. Recently, much discourse has been happening in relation to the education of the workforce and enhancing health system climate resilience. By comparing additional countries would shine a light on this phenomenon and provide a more complete picture.</w:t>
      </w:r>
    </w:p>
    <w:p w14:paraId="44DE853F" w14:textId="7188F3A0" w:rsidR="006C17FF" w:rsidRDefault="006C17FF" w:rsidP="006C17FF">
      <w:pPr>
        <w:spacing w:line="480" w:lineRule="auto"/>
      </w:pPr>
      <w:r>
        <w:lastRenderedPageBreak/>
        <w:t xml:space="preserve">Digging deeper into climate influenced disaster education and training between countries is of value. </w:t>
      </w:r>
      <w:r w:rsidR="00906651">
        <w:t>To</w:t>
      </w:r>
      <w:r>
        <w:t xml:space="preserve"> what degree does </w:t>
      </w:r>
      <w:sdt>
        <w:sdtPr>
          <w:tag w:val="goog_rdk_320"/>
          <w:id w:val="886670262"/>
        </w:sdtPr>
        <w:sdtContent/>
      </w:sdt>
      <w:r>
        <w:t>frequency of exposure and/or experience influence competence of health leaders in managing climate influenced emergencies or disasters. Furthermore, what will be required during longer duration events or those of a poly-crisis nature. In addition, how are lessons learned shared within the health sector and does this occur between health systems.</w:t>
      </w:r>
    </w:p>
    <w:p w14:paraId="27AAA877" w14:textId="77777777" w:rsidR="006C17FF" w:rsidRDefault="006C17FF" w:rsidP="006C17FF">
      <w:pPr>
        <w:pStyle w:val="Heading3"/>
      </w:pPr>
      <w:bookmarkStart w:id="106" w:name="_Toc225937226"/>
      <w:r>
        <w:t>Integrating climate change and health education with low- and middle-income health care systems</w:t>
      </w:r>
      <w:bookmarkEnd w:id="106"/>
    </w:p>
    <w:p w14:paraId="590DAA41" w14:textId="77777777" w:rsidR="006C17FF" w:rsidRDefault="006C17FF" w:rsidP="006C17FF">
      <w:pPr>
        <w:spacing w:line="480" w:lineRule="auto"/>
      </w:pPr>
      <w:r>
        <w:t xml:space="preserve">Low and middle-income countries (LMICs) are disproportionately impacted by the effects of climate change on human health (Bianco, 2024). While resources may be limited and critical infrastructure less effective during climate influenced emergencies the management of these events has similarities. There is much that can be learned from through the experience of LMICs, especially given these challenges. </w:t>
      </w:r>
    </w:p>
    <w:p w14:paraId="7C497553" w14:textId="77777777" w:rsidR="006C17FF" w:rsidRDefault="006C17FF" w:rsidP="006C17FF">
      <w:pPr>
        <w:spacing w:line="480" w:lineRule="auto"/>
      </w:pPr>
      <w:r>
        <w:t xml:space="preserve">Levels of education on climate change and health topics such as emergency management could provide further insights on health leader gaps. Unique trends may become more evident that are specific to countries within proximity to one another or uncover regional opportunities. From this data more effective strategies could be considered between health systems. The work to address leadership competencies and capacity does not have to be limited to national or local level health systems, rather could be developed jointly through partnerships. </w:t>
      </w:r>
    </w:p>
    <w:p w14:paraId="2926D8B4" w14:textId="77777777" w:rsidR="006C17FF" w:rsidRDefault="006C17FF" w:rsidP="006C17FF">
      <w:pPr>
        <w:spacing w:line="480" w:lineRule="auto"/>
      </w:pPr>
      <w:r>
        <w:t xml:space="preserve"> As suggested by </w:t>
      </w:r>
      <w:proofErr w:type="spellStart"/>
      <w:r>
        <w:t>Mournier</w:t>
      </w:r>
      <w:proofErr w:type="spellEnd"/>
      <w:r>
        <w:t xml:space="preserve">-Jack et al. (2017) there is value in integrating comparative learning between health systems in high-and low-income health care systems. This research provides a method in which to build knowledge of the levels of competency and capacity but is limited to two high income countries. Expanding methods across to low-and middle income and high-income countries would allow for further comparative analysis. There is also value in integrating findings into international level health system guidance for health leader education. While development of </w:t>
      </w:r>
      <w:r>
        <w:lastRenderedPageBreak/>
        <w:t xml:space="preserve">education and/or training is likely to occur, and has importance, at a more local level, best practices can be highlighted in a global context. </w:t>
      </w:r>
    </w:p>
    <w:p w14:paraId="52544C6D" w14:textId="77777777" w:rsidR="006C17FF" w:rsidRDefault="006C17FF" w:rsidP="006C17FF">
      <w:pPr>
        <w:pStyle w:val="Heading3"/>
      </w:pPr>
      <w:bookmarkStart w:id="107" w:name="_Toc225937227"/>
      <w:r>
        <w:t>Crisis Management Paradigm</w:t>
      </w:r>
      <w:bookmarkEnd w:id="107"/>
    </w:p>
    <w:p w14:paraId="0704E60A" w14:textId="77777777" w:rsidR="006C17FF" w:rsidRDefault="006C17FF" w:rsidP="006C17FF">
      <w:pPr>
        <w:spacing w:line="480" w:lineRule="auto"/>
      </w:pPr>
      <w:r>
        <w:t>Another opportunity for future research is to further explore crisis management in the context of climate influenced emergencies. This body of research used a general approach to determining competency and capacity for ‘managing’ extreme weather, to offer a glimpse into this function. Future research can expand on the management to include the dimensions of crisis management and its aspects. For example, how does the organisation mitigate and/or prevent climate influenced hazards and what are effective strategies. Another aspect is how organisations recover from climate influenced hazards and what are the key differences from non-climate influenced hazards.</w:t>
      </w:r>
    </w:p>
    <w:p w14:paraId="61F9CB72" w14:textId="77777777" w:rsidR="006C17FF" w:rsidRDefault="006C17FF" w:rsidP="006C17FF">
      <w:pPr>
        <w:spacing w:line="480" w:lineRule="auto"/>
      </w:pPr>
      <w:r>
        <w:t>While attention has been given more recently to adaptation</w:t>
      </w:r>
      <w:sdt>
        <w:sdtPr>
          <w:tag w:val="goog_rdk_321"/>
          <w:id w:val="1165715904"/>
        </w:sdtPr>
        <w:sdtContent>
          <w:r>
            <w:t>,</w:t>
          </w:r>
        </w:sdtContent>
      </w:sdt>
      <w:r>
        <w:t xml:space="preserve"> a question for future research is how does health leader education in climate and health effect adaptation to climate change. While workforce capacity has been linked to health system resilience (Clarke et al., 2025) to what degree does this influence the health organisation’s ability to adapt to crisis. This can be expanded to levels of adaptation during prolonged or poly-crisis events. </w:t>
      </w:r>
    </w:p>
    <w:p w14:paraId="46FECEFF" w14:textId="77777777" w:rsidR="006C17FF" w:rsidRDefault="006C17FF" w:rsidP="006C17FF">
      <w:pPr>
        <w:pStyle w:val="Heading2"/>
      </w:pPr>
      <w:bookmarkStart w:id="108" w:name="_Toc225937228"/>
      <w:r>
        <w:t>Conclusion</w:t>
      </w:r>
      <w:bookmarkEnd w:id="108"/>
    </w:p>
    <w:p w14:paraId="3857ECC5" w14:textId="77777777" w:rsidR="006C17FF" w:rsidRDefault="006C17FF" w:rsidP="006C17FF">
      <w:pPr>
        <w:spacing w:line="480" w:lineRule="auto"/>
      </w:pPr>
      <w:r>
        <w:t>Health systems will need to better measure climate and health education and/or training and whether competencies are being achieve</w:t>
      </w:r>
      <w:sdt>
        <w:sdtPr>
          <w:tag w:val="goog_rdk_322"/>
          <w:id w:val="1744783983"/>
        </w:sdtPr>
        <w:sdtContent>
          <w:r>
            <w:t>d</w:t>
          </w:r>
        </w:sdtContent>
      </w:sdt>
      <w:r>
        <w:t xml:space="preserve">. This may include having systems that monitor and measure performance. In addition, climate change and health education can be added to performance evaluations if made a clear requirement for health leaders. Time is running out with the more acute presentations of climate change becoming more frequent and severe through </w:t>
      </w:r>
      <w:r>
        <w:lastRenderedPageBreak/>
        <w:t xml:space="preserve">extreme weather events. This research highlights this with those working as health leaders in Canada and the UK experiencing climate influenced extreme weather within the past two years. </w:t>
      </w:r>
    </w:p>
    <w:p w14:paraId="20231D22" w14:textId="77777777" w:rsidR="006C17FF" w:rsidRDefault="006C17FF" w:rsidP="006C17FF">
      <w:pPr>
        <w:spacing w:line="480" w:lineRule="auto"/>
      </w:pPr>
      <w:r>
        <w:t xml:space="preserve">When revisiting the main research question health leaders are mostly educated and/or trained through </w:t>
      </w:r>
      <w:proofErr w:type="spellStart"/>
      <w:r>
        <w:t>self learning</w:t>
      </w:r>
      <w:proofErr w:type="spellEnd"/>
      <w:r>
        <w:t xml:space="preserve"> opportunities outside of their organisations. Capacity to achieve competencies is dependent on factors such as role setting, however moderate levels of capacity were reported by respondents in the UK and Canada. Whether health leaders are competent to navigate health organisations through a changing climate is a more nuanced answer. Overall health leaders have ranging levels of competency, however, generally are competent in health and climate topics of competence. These competencies can be applied to leading health organisations. In terms of the more acute impacts of changing climate</w:t>
      </w:r>
      <w:sdt>
        <w:sdtPr>
          <w:tag w:val="goog_rdk_325"/>
          <w:id w:val="-500067267"/>
        </w:sdtPr>
        <w:sdtContent>
          <w:r>
            <w:t>,</w:t>
          </w:r>
        </w:sdtContent>
      </w:sdt>
      <w:r>
        <w:t xml:space="preserve"> leaders are more limited in both competency and capacity to managing extreme weather events and impacts on their organisations. There are also inconsistencies in the level of seniority amongst leaders in health organisations as it relates to competency. Leaders across the organisation regardless of their role setting will need to contribute and navigate organisations in a coordinated way.</w:t>
      </w:r>
    </w:p>
    <w:p w14:paraId="7E21537A" w14:textId="77777777" w:rsidR="006C17FF" w:rsidRDefault="006C17FF" w:rsidP="006C17FF">
      <w:pPr>
        <w:spacing w:line="480" w:lineRule="auto"/>
      </w:pPr>
      <w:r>
        <w:t>Secondarily to this question is</w:t>
      </w:r>
      <w:sdt>
        <w:sdtPr>
          <w:tag w:val="goog_rdk_327"/>
          <w:id w:val="-826565372"/>
        </w:sdtPr>
        <w:sdtContent>
          <w:r>
            <w:t xml:space="preserve"> whether</w:t>
          </w:r>
        </w:sdtContent>
      </w:sdt>
      <w:r>
        <w:t xml:space="preserve"> climate change and health education is available, and applicable, to health professionals through a variety of opportunities. This research demonstrated that climate change and health education and/or training is applicable to health leaders in both Canada and the UK regardless of seniority or setting of roles. Education is available through a variety of opportunities external to the organisation. Within health organisations opportunities for health and climate education are less available and vary greatly across health organisations. </w:t>
      </w:r>
    </w:p>
    <w:p w14:paraId="5F8C5D04" w14:textId="77777777" w:rsidR="006C17FF" w:rsidRDefault="006C17FF" w:rsidP="006C17FF">
      <w:pPr>
        <w:spacing w:line="480" w:lineRule="auto"/>
      </w:pPr>
      <w:r>
        <w:t>Limitations exist within this body of research with opportunities to build on this knowledge utilizing mixed methods approaches. The intent was to determine the extent of leader competence and competency, however asking what</w:t>
      </w:r>
      <w:sdt>
        <w:sdtPr>
          <w:tag w:val="goog_rdk_328"/>
          <w:id w:val="-1765837209"/>
        </w:sdtPr>
        <w:sdtContent>
          <w:r>
            <w:t xml:space="preserve"> i</w:t>
          </w:r>
        </w:sdtContent>
      </w:sdt>
      <w:r>
        <w:t>s missing and what’s importan</w:t>
      </w:r>
      <w:sdt>
        <w:sdtPr>
          <w:tag w:val="goog_rdk_333"/>
          <w:id w:val="504589244"/>
        </w:sdtPr>
        <w:sdtContent>
          <w:r>
            <w:t>t</w:t>
          </w:r>
        </w:sdtContent>
      </w:sdt>
      <w:r>
        <w:t xml:space="preserve"> are two questions to guide </w:t>
      </w:r>
      <w:r>
        <w:lastRenderedPageBreak/>
        <w:t xml:space="preserve">future research. The scoping review provides insights into the types of education intervention targeting health professionals. Although competencies were mapped, there is still </w:t>
      </w:r>
      <w:sdt>
        <w:sdtPr>
          <w:tag w:val="goog_rdk_335"/>
          <w:id w:val="-69943305"/>
        </w:sdtPr>
        <w:sdtContent>
          <w:r>
            <w:t>the</w:t>
          </w:r>
        </w:sdtContent>
      </w:sdt>
      <w:r>
        <w:t xml:space="preserve"> question around effectiveness on the type, duration and frequency of interventions and if they led to heightened levels of competence. This leads to the importance of this research that can be built upon with climate change education that considers how to increase and measure competence in health leaders.</w:t>
      </w:r>
    </w:p>
    <w:p w14:paraId="26D9394C" w14:textId="229FDC83" w:rsidR="006C17FF" w:rsidRDefault="006C17FF" w:rsidP="006C17FF">
      <w:pPr>
        <w:spacing w:line="480" w:lineRule="auto"/>
      </w:pPr>
      <w:r>
        <w:t>This research encourages further exploration of climate change and health competencies, most notably what leaders see as the priorities and how they can be developed and supported by their organisations. There is an opportunity for a mixed methods approach and to build a competency inventory specific to leaders and to further align leadership competencies with those used within health and climate change topics. Climate change will challenge health leaders and adapting to this level of change requires leaders who are competent and have capacity to grow.</w:t>
      </w:r>
      <w:r w:rsidR="00A00EFC">
        <w:t xml:space="preserve"> Furthermore, opportunities exist to integrate systems leadership framework into climate change education to prepare leaders at all levels of health organisations to navigate complexities exacerbated by the changing climate. </w:t>
      </w:r>
    </w:p>
    <w:p w14:paraId="0CCFE46C" w14:textId="77777777" w:rsidR="006C17FF" w:rsidRDefault="006C17FF" w:rsidP="006C17FF">
      <w:pPr>
        <w:spacing w:line="480" w:lineRule="auto"/>
      </w:pPr>
    </w:p>
    <w:p w14:paraId="6913FF26" w14:textId="77777777" w:rsidR="006C17FF" w:rsidRDefault="006C17FF" w:rsidP="006C17FF"/>
    <w:p w14:paraId="6ED99F57" w14:textId="77777777" w:rsidR="00FD1774" w:rsidRDefault="00FD1774" w:rsidP="006C17FF"/>
    <w:p w14:paraId="480E06C5" w14:textId="77777777" w:rsidR="00FD1774" w:rsidRDefault="00FD1774" w:rsidP="006C17FF"/>
    <w:p w14:paraId="7E05AE20" w14:textId="77777777" w:rsidR="00906651" w:rsidRDefault="00906651" w:rsidP="006C17FF"/>
    <w:p w14:paraId="0B5A8C36" w14:textId="77777777" w:rsidR="00906651" w:rsidRDefault="00906651" w:rsidP="006C17FF"/>
    <w:p w14:paraId="168EDA6A" w14:textId="77777777" w:rsidR="00906651" w:rsidRDefault="00906651" w:rsidP="006C17FF"/>
    <w:p w14:paraId="7581D452" w14:textId="77777777" w:rsidR="00906651" w:rsidRDefault="00906651" w:rsidP="006C17FF"/>
    <w:p w14:paraId="65C528A7" w14:textId="77777777" w:rsidR="00906651" w:rsidRDefault="00906651" w:rsidP="006C17FF"/>
    <w:p w14:paraId="06B61D59" w14:textId="77777777" w:rsidR="00906651" w:rsidRDefault="00906651" w:rsidP="006C17FF"/>
    <w:p w14:paraId="6DC3A551" w14:textId="77777777" w:rsidR="00906651" w:rsidRDefault="00906651" w:rsidP="006C17FF"/>
    <w:p w14:paraId="1A009691" w14:textId="77777777" w:rsidR="00906651" w:rsidRDefault="00906651" w:rsidP="006C17FF"/>
    <w:p w14:paraId="25344230" w14:textId="77777777" w:rsidR="00906651" w:rsidRDefault="00906651" w:rsidP="006C17FF"/>
    <w:p w14:paraId="138C451E" w14:textId="77777777" w:rsidR="00906651" w:rsidRDefault="00906651" w:rsidP="006C17FF"/>
    <w:p w14:paraId="53F954BE" w14:textId="77777777" w:rsidR="00906651" w:rsidRDefault="00906651" w:rsidP="006C17FF"/>
    <w:p w14:paraId="32BC8966" w14:textId="77777777" w:rsidR="00906651" w:rsidRDefault="00906651" w:rsidP="006C17FF"/>
    <w:p w14:paraId="4E43E41F" w14:textId="77777777" w:rsidR="00906651" w:rsidRDefault="00906651" w:rsidP="006C17FF"/>
    <w:p w14:paraId="4FE174BD" w14:textId="77777777" w:rsidR="00906651" w:rsidRDefault="00906651" w:rsidP="006C17FF"/>
    <w:p w14:paraId="41927F01" w14:textId="77777777" w:rsidR="00906651" w:rsidRDefault="00906651" w:rsidP="006C17FF"/>
    <w:p w14:paraId="2397EB32" w14:textId="77777777" w:rsidR="00906651" w:rsidRDefault="00906651" w:rsidP="006C17FF"/>
    <w:p w14:paraId="64A0AD75" w14:textId="77777777" w:rsidR="00906651" w:rsidRDefault="00906651" w:rsidP="006C17FF"/>
    <w:p w14:paraId="314E54C7" w14:textId="77777777" w:rsidR="00906651" w:rsidRDefault="00906651" w:rsidP="006C17FF"/>
    <w:p w14:paraId="799F96A1" w14:textId="77777777" w:rsidR="00D8283E" w:rsidRPr="00D8283E" w:rsidRDefault="00D8283E" w:rsidP="007C0914">
      <w:pPr>
        <w:pStyle w:val="Heading1"/>
      </w:pPr>
      <w:bookmarkStart w:id="109" w:name="_Toc225937229"/>
      <w:r w:rsidRPr="00D8283E">
        <w:t>Appendices</w:t>
      </w:r>
      <w:bookmarkEnd w:id="109"/>
    </w:p>
    <w:p w14:paraId="7A629339" w14:textId="77777777" w:rsidR="00D8283E" w:rsidRPr="00D8283E" w:rsidRDefault="00D8283E" w:rsidP="007C0914">
      <w:pPr>
        <w:pStyle w:val="Heading2"/>
      </w:pPr>
      <w:bookmarkStart w:id="110" w:name="_Toc225937230"/>
      <w:r w:rsidRPr="00D8283E">
        <w:t>Appendix I: Search strategy</w:t>
      </w:r>
      <w:bookmarkEnd w:id="110"/>
    </w:p>
    <w:p w14:paraId="32B6F1E9" w14:textId="77777777" w:rsidR="00D8283E" w:rsidRPr="00D8283E" w:rsidRDefault="00D8283E" w:rsidP="00D8283E">
      <w:pPr>
        <w:spacing w:after="0" w:line="240" w:lineRule="auto"/>
        <w:rPr>
          <w:color w:val="000000"/>
        </w:rPr>
      </w:pPr>
    </w:p>
    <w:p w14:paraId="2F6B4965" w14:textId="77777777" w:rsidR="00D8283E" w:rsidRPr="00D8283E" w:rsidRDefault="00D8283E" w:rsidP="00D8283E">
      <w:pPr>
        <w:spacing w:after="0" w:line="240" w:lineRule="auto"/>
        <w:rPr>
          <w:rFonts w:eastAsia="Times New Roman" w:cstheme="minorHAnsi"/>
          <w:lang w:eastAsia="en-CA"/>
        </w:rPr>
      </w:pPr>
      <w:r w:rsidRPr="00D8283E">
        <w:rPr>
          <w:rFonts w:eastAsia="Times New Roman" w:cstheme="minorHAnsi"/>
          <w:b/>
          <w:bCs/>
          <w:color w:val="222222"/>
          <w:shd w:val="clear" w:color="auto" w:fill="FFFFFF"/>
          <w:lang w:eastAsia="en-CA"/>
        </w:rPr>
        <w:t>Database:</w:t>
      </w:r>
      <w:r w:rsidRPr="00D8283E">
        <w:rPr>
          <w:rFonts w:eastAsia="Times New Roman" w:cstheme="minorHAnsi"/>
          <w:color w:val="222222"/>
          <w:lang w:eastAsia="en-CA"/>
        </w:rPr>
        <w:br/>
      </w:r>
      <w:r w:rsidRPr="00D8283E">
        <w:rPr>
          <w:rFonts w:eastAsia="Times New Roman" w:cstheme="minorHAnsi"/>
          <w:color w:val="222222"/>
          <w:shd w:val="clear" w:color="auto" w:fill="FFFFFF"/>
          <w:lang w:eastAsia="en-CA"/>
        </w:rPr>
        <w:t xml:space="preserve">Ovid MEDLINE(R) and </w:t>
      </w:r>
      <w:proofErr w:type="spellStart"/>
      <w:r w:rsidRPr="00D8283E">
        <w:rPr>
          <w:rFonts w:eastAsia="Times New Roman" w:cstheme="minorHAnsi"/>
          <w:color w:val="222222"/>
          <w:shd w:val="clear" w:color="auto" w:fill="FFFFFF"/>
          <w:lang w:eastAsia="en-CA"/>
        </w:rPr>
        <w:t>Epub</w:t>
      </w:r>
      <w:proofErr w:type="spellEnd"/>
      <w:r w:rsidRPr="00D8283E">
        <w:rPr>
          <w:rFonts w:eastAsia="Times New Roman" w:cstheme="minorHAnsi"/>
          <w:color w:val="222222"/>
          <w:shd w:val="clear" w:color="auto" w:fill="FFFFFF"/>
          <w:lang w:eastAsia="en-CA"/>
        </w:rPr>
        <w:t xml:space="preserve"> Ahead of Print, In-Process, In-Data-Review &amp; Other Non-Indexed Citations, Daily and Versions &lt;1946 to April 18, 2024&gt;</w:t>
      </w:r>
      <w:r w:rsidRPr="00D8283E">
        <w:rPr>
          <w:rFonts w:eastAsia="Times New Roman" w:cstheme="minorHAnsi"/>
          <w:color w:val="222222"/>
          <w:lang w:eastAsia="en-CA"/>
        </w:rPr>
        <w:br/>
      </w:r>
      <w:r w:rsidRPr="00D8283E">
        <w:rPr>
          <w:rFonts w:eastAsia="Times New Roman" w:cstheme="minorHAnsi"/>
          <w:color w:val="222222"/>
          <w:lang w:eastAsia="en-CA"/>
        </w:rPr>
        <w:br/>
      </w:r>
    </w:p>
    <w:tbl>
      <w:tblPr>
        <w:tblW w:w="5306"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
        <w:gridCol w:w="6499"/>
        <w:gridCol w:w="3120"/>
      </w:tblGrid>
      <w:tr w:rsidR="00D8283E" w:rsidRPr="00D8283E" w14:paraId="465FDD15" w14:textId="77777777" w:rsidTr="00855B62">
        <w:tc>
          <w:tcPr>
            <w:tcW w:w="1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EB61B0" w14:textId="77777777" w:rsidR="00D8283E" w:rsidRPr="00D8283E" w:rsidRDefault="00D8283E" w:rsidP="00D8283E">
            <w:pPr>
              <w:spacing w:after="0" w:line="240" w:lineRule="auto"/>
              <w:rPr>
                <w:rFonts w:eastAsia="Times New Roman" w:cstheme="minorHAnsi"/>
                <w:b/>
                <w:bCs/>
                <w:color w:val="222222"/>
                <w:lang w:eastAsia="en-CA"/>
              </w:rPr>
            </w:pPr>
            <w:r w:rsidRPr="00D8283E">
              <w:rPr>
                <w:rFonts w:eastAsia="Times New Roman" w:cstheme="minorHAnsi"/>
                <w:b/>
                <w:bCs/>
                <w:color w:val="222222"/>
                <w:lang w:eastAsia="en-CA"/>
              </w:rPr>
              <w:t>#</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0F670A" w14:textId="77777777" w:rsidR="00D8283E" w:rsidRPr="00D8283E" w:rsidRDefault="00D8283E" w:rsidP="00D8283E">
            <w:pPr>
              <w:spacing w:after="0" w:line="240" w:lineRule="auto"/>
              <w:rPr>
                <w:rFonts w:eastAsia="Times New Roman" w:cstheme="minorHAnsi"/>
                <w:b/>
                <w:bCs/>
                <w:color w:val="222222"/>
                <w:lang w:eastAsia="en-CA"/>
              </w:rPr>
            </w:pPr>
            <w:r w:rsidRPr="00D8283E">
              <w:rPr>
                <w:rFonts w:eastAsia="Times New Roman" w:cstheme="minorHAnsi"/>
                <w:b/>
                <w:bCs/>
                <w:color w:val="222222"/>
                <w:lang w:eastAsia="en-CA"/>
              </w:rPr>
              <w:t>Query</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F0DD20" w14:textId="77777777" w:rsidR="00D8283E" w:rsidRPr="00D8283E" w:rsidRDefault="00D8283E" w:rsidP="00D8283E">
            <w:pPr>
              <w:spacing w:after="0" w:line="240" w:lineRule="auto"/>
              <w:rPr>
                <w:rFonts w:eastAsia="Times New Roman" w:cstheme="minorHAnsi"/>
                <w:b/>
                <w:bCs/>
                <w:color w:val="222222"/>
                <w:lang w:eastAsia="en-CA"/>
              </w:rPr>
            </w:pPr>
            <w:r w:rsidRPr="00D8283E">
              <w:rPr>
                <w:rFonts w:eastAsia="Times New Roman" w:cstheme="minorHAnsi"/>
                <w:b/>
                <w:bCs/>
                <w:color w:val="222222"/>
                <w:lang w:eastAsia="en-CA"/>
              </w:rPr>
              <w:t>Results from 19 Apr 2024</w:t>
            </w:r>
          </w:p>
        </w:tc>
      </w:tr>
      <w:tr w:rsidR="00D8283E" w:rsidRPr="00D8283E" w14:paraId="5E34B13E"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B13AE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2DACA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climate change/ or climate change mitigation/</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462CE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28,480</w:t>
            </w:r>
          </w:p>
        </w:tc>
      </w:tr>
      <w:tr w:rsidR="00D8283E" w:rsidRPr="00D8283E" w14:paraId="5DC2E42B"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807AE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F6DE0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proficien</w:t>
            </w:r>
            <w:proofErr w:type="spellEnd"/>
            <w:r w:rsidRPr="00D8283E">
              <w:rPr>
                <w:rFonts w:eastAsia="Times New Roman" w:cstheme="minorHAnsi"/>
                <w:color w:val="222222"/>
                <w:lang w:eastAsia="en-CA"/>
              </w:rPr>
              <w:t xml:space="preserve">* or skill* or </w:t>
            </w:r>
            <w:proofErr w:type="spellStart"/>
            <w:r w:rsidRPr="00D8283E">
              <w:rPr>
                <w:rFonts w:eastAsia="Times New Roman" w:cstheme="minorHAnsi"/>
                <w:color w:val="222222"/>
                <w:lang w:eastAsia="en-CA"/>
              </w:rPr>
              <w:t>knowled</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competenc</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capacit</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capabil</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abili</w:t>
            </w:r>
            <w:proofErr w:type="spellEnd"/>
            <w:r w:rsidRPr="00D8283E">
              <w:rPr>
                <w:rFonts w:eastAsia="Times New Roman" w:cstheme="minorHAnsi"/>
                <w:color w:val="222222"/>
                <w:lang w:eastAsia="en-CA"/>
              </w:rPr>
              <w:t>*).</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B0C00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3,421,204</w:t>
            </w:r>
          </w:p>
        </w:tc>
      </w:tr>
      <w:tr w:rsidR="00D8283E" w:rsidRPr="00D8283E" w14:paraId="79084678"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B81E90"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3</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79451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drought/</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5C67D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12,924</w:t>
            </w:r>
          </w:p>
        </w:tc>
      </w:tr>
      <w:tr w:rsidR="00D8283E" w:rsidRPr="00D8283E" w14:paraId="3D4A7AE6"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845F9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4</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549A7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educat</w:t>
            </w:r>
            <w:proofErr w:type="spellEnd"/>
            <w:r w:rsidRPr="00D8283E">
              <w:rPr>
                <w:rFonts w:eastAsia="Times New Roman" w:cstheme="minorHAnsi"/>
                <w:color w:val="222222"/>
                <w:lang w:eastAsia="en-CA"/>
              </w:rPr>
              <w:t xml:space="preserve">* or train* or </w:t>
            </w:r>
            <w:proofErr w:type="spellStart"/>
            <w:r w:rsidRPr="00D8283E">
              <w:rPr>
                <w:rFonts w:eastAsia="Times New Roman" w:cstheme="minorHAnsi"/>
                <w:color w:val="222222"/>
                <w:lang w:eastAsia="en-CA"/>
              </w:rPr>
              <w:t>instruc</w:t>
            </w:r>
            <w:proofErr w:type="spellEnd"/>
            <w:r w:rsidRPr="00D8283E">
              <w:rPr>
                <w:rFonts w:eastAsia="Times New Roman" w:cstheme="minorHAnsi"/>
                <w:color w:val="222222"/>
                <w:lang w:eastAsia="en-CA"/>
              </w:rPr>
              <w:t>* or teach* or coach* or taught or course* or pre-</w:t>
            </w:r>
            <w:proofErr w:type="spellStart"/>
            <w:r w:rsidRPr="00D8283E">
              <w:rPr>
                <w:rFonts w:eastAsia="Times New Roman" w:cstheme="minorHAnsi"/>
                <w:color w:val="222222"/>
                <w:lang w:eastAsia="en-CA"/>
              </w:rPr>
              <w:t>regist</w:t>
            </w:r>
            <w:proofErr w:type="spellEnd"/>
            <w:r w:rsidRPr="00D8283E">
              <w:rPr>
                <w:rFonts w:eastAsia="Times New Roman" w:cstheme="minorHAnsi"/>
                <w:color w:val="222222"/>
                <w:lang w:eastAsia="en-CA"/>
              </w:rPr>
              <w:t xml:space="preserve">* or preregistration or degree or baccalaureate or CPD or </w:t>
            </w:r>
            <w:proofErr w:type="spellStart"/>
            <w:r w:rsidRPr="00D8283E">
              <w:rPr>
                <w:rFonts w:eastAsia="Times New Roman" w:cstheme="minorHAnsi"/>
                <w:color w:val="222222"/>
                <w:lang w:eastAsia="en-CA"/>
              </w:rPr>
              <w:t>syllab</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curricu</w:t>
            </w:r>
            <w:proofErr w:type="spellEnd"/>
            <w:r w:rsidRPr="00D8283E">
              <w:rPr>
                <w:rFonts w:eastAsia="Times New Roman" w:cstheme="minorHAnsi"/>
                <w:color w:val="222222"/>
                <w:lang w:eastAsia="en-CA"/>
              </w:rPr>
              <w:t>*).</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xml:space="preserve">=title, book title, abstract, original title, name of substance word, subject heading word, floating sub-heading word, keyword heading word, organism </w:t>
            </w:r>
            <w:r w:rsidRPr="00D8283E">
              <w:rPr>
                <w:rFonts w:eastAsia="Times New Roman" w:cstheme="minorHAnsi"/>
                <w:color w:val="222222"/>
                <w:lang w:eastAsia="en-CA"/>
              </w:rPr>
              <w:lastRenderedPageBreak/>
              <w:t>supplementary concept word, protocol supplementary concept word, rare disease supplementary concept word, unique identifier, synonyms, population supplementary concept word, anatomy supplementary concept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B5D8C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lastRenderedPageBreak/>
              <w:t>3,310,157</w:t>
            </w:r>
          </w:p>
        </w:tc>
      </w:tr>
      <w:tr w:rsidR="00D8283E" w:rsidRPr="00D8283E" w14:paraId="3F3691A0"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59A843"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9902F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midwi</w:t>
            </w:r>
            <w:proofErr w:type="spellEnd"/>
            <w:r w:rsidRPr="00D8283E">
              <w:rPr>
                <w:rFonts w:eastAsia="Times New Roman" w:cstheme="minorHAnsi"/>
                <w:color w:val="222222"/>
                <w:lang w:eastAsia="en-CA"/>
              </w:rPr>
              <w:t xml:space="preserve">* or surgeon* or radiographer* or paramedic* or registrar* or consultant* or emergency physician* or </w:t>
            </w:r>
            <w:proofErr w:type="spellStart"/>
            <w:r w:rsidRPr="00D8283E">
              <w:rPr>
                <w:rFonts w:eastAsia="Times New Roman" w:cstheme="minorHAnsi"/>
                <w:color w:val="222222"/>
                <w:lang w:eastAsia="en-CA"/>
              </w:rPr>
              <w:t>nurs</w:t>
            </w:r>
            <w:proofErr w:type="spellEnd"/>
            <w:r w:rsidRPr="00D8283E">
              <w:rPr>
                <w:rFonts w:eastAsia="Times New Roman" w:cstheme="minorHAnsi"/>
                <w:color w:val="222222"/>
                <w:lang w:eastAsia="en-CA"/>
              </w:rPr>
              <w:t>* or doctor* or health worker* or health* staff or health* employ* or health* worker*).</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134B25"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1,330,082</w:t>
            </w:r>
          </w:p>
        </w:tc>
      </w:tr>
      <w:tr w:rsidR="00D8283E" w:rsidRPr="00D8283E" w14:paraId="3297EA9A"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7D700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3FB2A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exp Health Personnel/</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B4AE84"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631,166</w:t>
            </w:r>
          </w:p>
        </w:tc>
      </w:tr>
      <w:tr w:rsidR="00D8283E" w:rsidRPr="00D8283E" w14:paraId="6CB1520B"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0FD7F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DCACD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climate change/ or global warming/ or droughts/ or floods/</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DEAD7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47,275</w:t>
            </w:r>
          </w:p>
        </w:tc>
      </w:tr>
      <w:tr w:rsidR="00D8283E" w:rsidRPr="00D8283E" w14:paraId="498B7C3D"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A56974"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8</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CB71E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proficien</w:t>
            </w:r>
            <w:proofErr w:type="spellEnd"/>
            <w:r w:rsidRPr="00D8283E">
              <w:rPr>
                <w:rFonts w:eastAsia="Times New Roman" w:cstheme="minorHAnsi"/>
                <w:color w:val="222222"/>
                <w:lang w:eastAsia="en-CA"/>
              </w:rPr>
              <w:t xml:space="preserve">* or skill* or </w:t>
            </w:r>
            <w:proofErr w:type="spellStart"/>
            <w:r w:rsidRPr="00D8283E">
              <w:rPr>
                <w:rFonts w:eastAsia="Times New Roman" w:cstheme="minorHAnsi"/>
                <w:color w:val="222222"/>
                <w:lang w:eastAsia="en-CA"/>
              </w:rPr>
              <w:t>knowled</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competenc</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capacit</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capabil</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abili</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educat</w:t>
            </w:r>
            <w:proofErr w:type="spellEnd"/>
            <w:r w:rsidRPr="00D8283E">
              <w:rPr>
                <w:rFonts w:eastAsia="Times New Roman" w:cstheme="minorHAnsi"/>
                <w:color w:val="222222"/>
                <w:lang w:eastAsia="en-CA"/>
              </w:rPr>
              <w:t xml:space="preserve">* or train* or </w:t>
            </w:r>
            <w:proofErr w:type="spellStart"/>
            <w:r w:rsidRPr="00D8283E">
              <w:rPr>
                <w:rFonts w:eastAsia="Times New Roman" w:cstheme="minorHAnsi"/>
                <w:color w:val="222222"/>
                <w:lang w:eastAsia="en-CA"/>
              </w:rPr>
              <w:t>instruc</w:t>
            </w:r>
            <w:proofErr w:type="spellEnd"/>
            <w:r w:rsidRPr="00D8283E">
              <w:rPr>
                <w:rFonts w:eastAsia="Times New Roman" w:cstheme="minorHAnsi"/>
                <w:color w:val="222222"/>
                <w:lang w:eastAsia="en-CA"/>
              </w:rPr>
              <w:t>* or course* or pre-</w:t>
            </w:r>
            <w:proofErr w:type="spellStart"/>
            <w:r w:rsidRPr="00D8283E">
              <w:rPr>
                <w:rFonts w:eastAsia="Times New Roman" w:cstheme="minorHAnsi"/>
                <w:color w:val="222222"/>
                <w:lang w:eastAsia="en-CA"/>
              </w:rPr>
              <w:t>regist</w:t>
            </w:r>
            <w:proofErr w:type="spellEnd"/>
            <w:r w:rsidRPr="00D8283E">
              <w:rPr>
                <w:rFonts w:eastAsia="Times New Roman" w:cstheme="minorHAnsi"/>
                <w:color w:val="222222"/>
                <w:lang w:eastAsia="en-CA"/>
              </w:rPr>
              <w:t xml:space="preserve">* or preregistration or CPD or </w:t>
            </w:r>
            <w:proofErr w:type="spellStart"/>
            <w:r w:rsidRPr="00D8283E">
              <w:rPr>
                <w:rFonts w:eastAsia="Times New Roman" w:cstheme="minorHAnsi"/>
                <w:color w:val="222222"/>
                <w:lang w:eastAsia="en-CA"/>
              </w:rPr>
              <w:t>syllab</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curricu</w:t>
            </w:r>
            <w:proofErr w:type="spellEnd"/>
            <w:r w:rsidRPr="00D8283E">
              <w:rPr>
                <w:rFonts w:eastAsia="Times New Roman" w:cstheme="minorHAnsi"/>
                <w:color w:val="222222"/>
                <w:lang w:eastAsia="en-CA"/>
              </w:rPr>
              <w:t>*).</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DDF1A0"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5,398,995</w:t>
            </w:r>
          </w:p>
        </w:tc>
      </w:tr>
      <w:tr w:rsidR="00D8283E" w:rsidRPr="00D8283E" w14:paraId="6E3413A9"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2A0655"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9</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419A0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 or 6 or 8</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BE223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6,426,828</w:t>
            </w:r>
          </w:p>
        </w:tc>
      </w:tr>
      <w:tr w:rsidR="00D8283E" w:rsidRPr="00D8283E" w14:paraId="6805B9F4"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E33F9E"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0C68B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 and 9</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1AFA6C"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10,232</w:t>
            </w:r>
          </w:p>
        </w:tc>
      </w:tr>
      <w:tr w:rsidR="00D8283E" w:rsidRPr="00D8283E" w14:paraId="2A6CF51D"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BBB2B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11</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C4C21E"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 xml:space="preserve">(physician* or </w:t>
            </w:r>
            <w:proofErr w:type="spellStart"/>
            <w:r w:rsidRPr="00D8283E">
              <w:rPr>
                <w:rFonts w:eastAsia="Times New Roman" w:cstheme="minorHAnsi"/>
                <w:color w:val="222222"/>
                <w:lang w:eastAsia="en-CA"/>
              </w:rPr>
              <w:t>nurs</w:t>
            </w:r>
            <w:proofErr w:type="spellEnd"/>
            <w:r w:rsidRPr="00D8283E">
              <w:rPr>
                <w:rFonts w:eastAsia="Times New Roman" w:cstheme="minorHAnsi"/>
                <w:color w:val="222222"/>
                <w:lang w:eastAsia="en-CA"/>
              </w:rPr>
              <w:t>* or doctor* or health worker* or health* staff or health* employ* or health* worker*).</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57E15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1,575,038</w:t>
            </w:r>
          </w:p>
        </w:tc>
      </w:tr>
      <w:tr w:rsidR="00D8283E" w:rsidRPr="00D8283E" w14:paraId="30C7D0BC"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0434F3"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12</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7018D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 or 8 or 11</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7572F4"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6,514,453</w:t>
            </w:r>
          </w:p>
        </w:tc>
      </w:tr>
      <w:tr w:rsidR="00D8283E" w:rsidRPr="00D8283E" w14:paraId="636F1389"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9F8AD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13</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9D81E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 and 12</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8DCFF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10,290</w:t>
            </w:r>
          </w:p>
        </w:tc>
      </w:tr>
      <w:tr w:rsidR="00D8283E" w:rsidRPr="00D8283E" w14:paraId="01038ECD"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4D577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14</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2080B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proficien</w:t>
            </w:r>
            <w:proofErr w:type="spellEnd"/>
            <w:r w:rsidRPr="00D8283E">
              <w:rPr>
                <w:rFonts w:eastAsia="Times New Roman" w:cstheme="minorHAnsi"/>
                <w:color w:val="222222"/>
                <w:lang w:eastAsia="en-CA"/>
              </w:rPr>
              <w:t xml:space="preserve">* or skill* or </w:t>
            </w:r>
            <w:proofErr w:type="spellStart"/>
            <w:r w:rsidRPr="00D8283E">
              <w:rPr>
                <w:rFonts w:eastAsia="Times New Roman" w:cstheme="minorHAnsi"/>
                <w:color w:val="222222"/>
                <w:lang w:eastAsia="en-CA"/>
              </w:rPr>
              <w:t>knowled</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competenc</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capacit</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capabil</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abili</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educat</w:t>
            </w:r>
            <w:proofErr w:type="spellEnd"/>
            <w:r w:rsidRPr="00D8283E">
              <w:rPr>
                <w:rFonts w:eastAsia="Times New Roman" w:cstheme="minorHAnsi"/>
                <w:color w:val="222222"/>
                <w:lang w:eastAsia="en-CA"/>
              </w:rPr>
              <w:t xml:space="preserve">* or train* or </w:t>
            </w:r>
            <w:proofErr w:type="spellStart"/>
            <w:r w:rsidRPr="00D8283E">
              <w:rPr>
                <w:rFonts w:eastAsia="Times New Roman" w:cstheme="minorHAnsi"/>
                <w:color w:val="222222"/>
                <w:lang w:eastAsia="en-CA"/>
              </w:rPr>
              <w:t>instruc</w:t>
            </w:r>
            <w:proofErr w:type="spellEnd"/>
            <w:r w:rsidRPr="00D8283E">
              <w:rPr>
                <w:rFonts w:eastAsia="Times New Roman" w:cstheme="minorHAnsi"/>
                <w:color w:val="222222"/>
                <w:lang w:eastAsia="en-CA"/>
              </w:rPr>
              <w:t xml:space="preserve">* or course* or </w:t>
            </w:r>
            <w:proofErr w:type="spellStart"/>
            <w:r w:rsidRPr="00D8283E">
              <w:rPr>
                <w:rFonts w:eastAsia="Times New Roman" w:cstheme="minorHAnsi"/>
                <w:color w:val="222222"/>
                <w:lang w:eastAsia="en-CA"/>
              </w:rPr>
              <w:t>syllab</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curricu</w:t>
            </w:r>
            <w:proofErr w:type="spellEnd"/>
            <w:r w:rsidRPr="00D8283E">
              <w:rPr>
                <w:rFonts w:eastAsia="Times New Roman" w:cstheme="minorHAnsi"/>
                <w:color w:val="222222"/>
                <w:lang w:eastAsia="en-CA"/>
              </w:rPr>
              <w:t>*).</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F7A1B5"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5,391,592</w:t>
            </w:r>
          </w:p>
        </w:tc>
      </w:tr>
      <w:tr w:rsidR="00D8283E" w:rsidRPr="00D8283E" w14:paraId="16882A2A"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89ED1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15</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5A7CE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 or 6 or 14</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768990"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6,419,662</w:t>
            </w:r>
          </w:p>
        </w:tc>
      </w:tr>
      <w:tr w:rsidR="00D8283E" w:rsidRPr="00D8283E" w14:paraId="5715D9B9"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C6405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lastRenderedPageBreak/>
              <w:t>16</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9FDE9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 and 15</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2C1B0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10,228</w:t>
            </w:r>
          </w:p>
        </w:tc>
      </w:tr>
      <w:tr w:rsidR="00D8283E" w:rsidRPr="00D8283E" w14:paraId="1105976A"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4E638C"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17</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4DEDCA"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 or 11 or 14</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A8490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6,507,293</w:t>
            </w:r>
          </w:p>
        </w:tc>
      </w:tr>
      <w:tr w:rsidR="00D8283E" w:rsidRPr="00D8283E" w14:paraId="299A68D2"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8E6E23"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18</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240A2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 and 17</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A596E3"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10,286</w:t>
            </w:r>
          </w:p>
        </w:tc>
      </w:tr>
      <w:tr w:rsidR="00D8283E" w:rsidRPr="00D8283E" w14:paraId="06298B01"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B3F86A"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19</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4DAFD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limit 18 to (</w:t>
            </w:r>
            <w:proofErr w:type="spellStart"/>
            <w:r w:rsidRPr="00D8283E">
              <w:rPr>
                <w:rFonts w:eastAsia="Times New Roman" w:cstheme="minorHAnsi"/>
                <w:color w:val="222222"/>
                <w:lang w:eastAsia="en-CA"/>
              </w:rPr>
              <w:t>english</w:t>
            </w:r>
            <w:proofErr w:type="spellEnd"/>
            <w:r w:rsidRPr="00D8283E">
              <w:rPr>
                <w:rFonts w:eastAsia="Times New Roman" w:cstheme="minorHAnsi"/>
                <w:color w:val="222222"/>
                <w:lang w:eastAsia="en-CA"/>
              </w:rPr>
              <w:t xml:space="preserve"> language and </w:t>
            </w:r>
            <w:proofErr w:type="spellStart"/>
            <w:r w:rsidRPr="00D8283E">
              <w:rPr>
                <w:rFonts w:eastAsia="Times New Roman" w:cstheme="minorHAnsi"/>
                <w:color w:val="222222"/>
                <w:lang w:eastAsia="en-CA"/>
              </w:rPr>
              <w:t>yr</w:t>
            </w:r>
            <w:proofErr w:type="spellEnd"/>
            <w:r w:rsidRPr="00D8283E">
              <w:rPr>
                <w:rFonts w:eastAsia="Times New Roman" w:cstheme="minorHAnsi"/>
                <w:color w:val="222222"/>
                <w:lang w:eastAsia="en-CA"/>
              </w:rPr>
              <w:t>="2015 -Current")</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604AF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7,911</w:t>
            </w:r>
          </w:p>
        </w:tc>
      </w:tr>
      <w:tr w:rsidR="00D8283E" w:rsidRPr="00D8283E" w14:paraId="43B8A0B8"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C6569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20</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F4C5A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climate change/ or global warming/</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4F9FF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32,318</w:t>
            </w:r>
          </w:p>
        </w:tc>
      </w:tr>
      <w:tr w:rsidR="00D8283E" w:rsidRPr="00D8283E" w14:paraId="099CCF11"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FA9275"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21</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D1544A"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17 and 20</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9B872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7,046</w:t>
            </w:r>
          </w:p>
        </w:tc>
      </w:tr>
      <w:tr w:rsidR="00D8283E" w:rsidRPr="00D8283E" w14:paraId="18012B56"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C0883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22</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371D1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limit 21 to (</w:t>
            </w:r>
            <w:proofErr w:type="spellStart"/>
            <w:r w:rsidRPr="00D8283E">
              <w:rPr>
                <w:rFonts w:eastAsia="Times New Roman" w:cstheme="minorHAnsi"/>
                <w:color w:val="222222"/>
                <w:lang w:eastAsia="en-CA"/>
              </w:rPr>
              <w:t>english</w:t>
            </w:r>
            <w:proofErr w:type="spellEnd"/>
            <w:r w:rsidRPr="00D8283E">
              <w:rPr>
                <w:rFonts w:eastAsia="Times New Roman" w:cstheme="minorHAnsi"/>
                <w:color w:val="222222"/>
                <w:lang w:eastAsia="en-CA"/>
              </w:rPr>
              <w:t xml:space="preserve"> language and </w:t>
            </w:r>
            <w:proofErr w:type="spellStart"/>
            <w:r w:rsidRPr="00D8283E">
              <w:rPr>
                <w:rFonts w:eastAsia="Times New Roman" w:cstheme="minorHAnsi"/>
                <w:color w:val="222222"/>
                <w:lang w:eastAsia="en-CA"/>
              </w:rPr>
              <w:t>yr</w:t>
            </w:r>
            <w:proofErr w:type="spellEnd"/>
            <w:r w:rsidRPr="00D8283E">
              <w:rPr>
                <w:rFonts w:eastAsia="Times New Roman" w:cstheme="minorHAnsi"/>
                <w:color w:val="222222"/>
                <w:lang w:eastAsia="en-CA"/>
              </w:rPr>
              <w:t>="2015 -Current")</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63FD8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5,500</w:t>
            </w:r>
          </w:p>
        </w:tc>
      </w:tr>
    </w:tbl>
    <w:p w14:paraId="7FE84440" w14:textId="77777777" w:rsidR="00D8283E" w:rsidRPr="00D8283E" w:rsidRDefault="00D8283E" w:rsidP="00D8283E">
      <w:pPr>
        <w:spacing w:after="0" w:line="240" w:lineRule="auto"/>
        <w:rPr>
          <w:rFonts w:eastAsia="Times New Roman" w:cstheme="minorHAnsi"/>
          <w:color w:val="222222"/>
          <w:shd w:val="clear" w:color="auto" w:fill="FFFFFF"/>
          <w:lang w:eastAsia="en-CA"/>
        </w:rPr>
      </w:pPr>
    </w:p>
    <w:p w14:paraId="0C8F4C6E" w14:textId="77777777" w:rsidR="00D8283E" w:rsidRPr="00D8283E" w:rsidRDefault="00D8283E" w:rsidP="00D8283E">
      <w:pPr>
        <w:spacing w:after="0" w:line="240" w:lineRule="auto"/>
        <w:rPr>
          <w:rFonts w:eastAsia="Times New Roman" w:cstheme="minorHAnsi"/>
          <w:lang w:eastAsia="en-CA"/>
        </w:rPr>
      </w:pPr>
      <w:r w:rsidRPr="00D8283E">
        <w:rPr>
          <w:rFonts w:eastAsia="Times New Roman" w:cstheme="minorHAnsi"/>
          <w:color w:val="222222"/>
          <w:shd w:val="clear" w:color="auto" w:fill="FFFFFF"/>
          <w:lang w:eastAsia="en-CA"/>
        </w:rPr>
        <w:t>Embase (Via Ovid) &lt;1974 to 2024 Week 15&gt;</w:t>
      </w:r>
      <w:r w:rsidRPr="00D8283E">
        <w:rPr>
          <w:rFonts w:eastAsia="Times New Roman" w:cstheme="minorHAnsi"/>
          <w:color w:val="222222"/>
          <w:lang w:eastAsia="en-CA"/>
        </w:rPr>
        <w:br/>
        <w:t>Search conducted on April 19, 2024</w:t>
      </w:r>
      <w:r w:rsidRPr="00D8283E">
        <w:rPr>
          <w:rFonts w:eastAsia="Times New Roman" w:cstheme="minorHAnsi"/>
          <w:color w:val="222222"/>
          <w:lang w:eastAsia="en-CA"/>
        </w:rPr>
        <w:br/>
      </w:r>
    </w:p>
    <w:tbl>
      <w:tblPr>
        <w:tblW w:w="5306"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
        <w:gridCol w:w="6499"/>
        <w:gridCol w:w="3120"/>
      </w:tblGrid>
      <w:tr w:rsidR="00D8283E" w:rsidRPr="00D8283E" w14:paraId="675D43F0" w14:textId="77777777" w:rsidTr="00855B62">
        <w:tc>
          <w:tcPr>
            <w:tcW w:w="1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73D121" w14:textId="77777777" w:rsidR="00D8283E" w:rsidRPr="00D8283E" w:rsidRDefault="00D8283E" w:rsidP="00D8283E">
            <w:pPr>
              <w:spacing w:after="0" w:line="240" w:lineRule="auto"/>
              <w:rPr>
                <w:rFonts w:eastAsia="Times New Roman" w:cstheme="minorHAnsi"/>
                <w:b/>
                <w:bCs/>
                <w:color w:val="222222"/>
                <w:lang w:eastAsia="en-CA"/>
              </w:rPr>
            </w:pPr>
            <w:r w:rsidRPr="00D8283E">
              <w:rPr>
                <w:rFonts w:eastAsia="Times New Roman" w:cstheme="minorHAnsi"/>
                <w:b/>
                <w:bCs/>
                <w:color w:val="222222"/>
                <w:lang w:eastAsia="en-CA"/>
              </w:rPr>
              <w:t>#</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2ACF88" w14:textId="77777777" w:rsidR="00D8283E" w:rsidRPr="00D8283E" w:rsidRDefault="00D8283E" w:rsidP="00D8283E">
            <w:pPr>
              <w:spacing w:after="0" w:line="240" w:lineRule="auto"/>
              <w:rPr>
                <w:rFonts w:eastAsia="Times New Roman" w:cstheme="minorHAnsi"/>
                <w:b/>
                <w:bCs/>
                <w:color w:val="222222"/>
                <w:lang w:eastAsia="en-CA"/>
              </w:rPr>
            </w:pPr>
            <w:r w:rsidRPr="00D8283E">
              <w:rPr>
                <w:rFonts w:eastAsia="Times New Roman" w:cstheme="minorHAnsi"/>
                <w:b/>
                <w:bCs/>
                <w:color w:val="222222"/>
                <w:lang w:eastAsia="en-CA"/>
              </w:rPr>
              <w:t>Query</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6867A7" w14:textId="77777777" w:rsidR="00D8283E" w:rsidRPr="00D8283E" w:rsidRDefault="00D8283E" w:rsidP="00D8283E">
            <w:pPr>
              <w:spacing w:after="0" w:line="240" w:lineRule="auto"/>
              <w:rPr>
                <w:rFonts w:eastAsia="Times New Roman" w:cstheme="minorHAnsi"/>
                <w:b/>
                <w:bCs/>
                <w:color w:val="222222"/>
                <w:lang w:eastAsia="en-CA"/>
              </w:rPr>
            </w:pPr>
            <w:r w:rsidRPr="00D8283E">
              <w:rPr>
                <w:rFonts w:eastAsia="Times New Roman" w:cstheme="minorHAnsi"/>
                <w:b/>
                <w:bCs/>
                <w:color w:val="222222"/>
                <w:lang w:eastAsia="en-CA"/>
              </w:rPr>
              <w:t>Results from 19 Apr 2024</w:t>
            </w:r>
          </w:p>
        </w:tc>
      </w:tr>
      <w:tr w:rsidR="00D8283E" w:rsidRPr="00D8283E" w14:paraId="50AB576C"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0438F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0A08F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climate change/ or climate change mitigation/</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07A0A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64,555</w:t>
            </w:r>
          </w:p>
        </w:tc>
      </w:tr>
      <w:tr w:rsidR="00D8283E" w:rsidRPr="00D8283E" w14:paraId="5333EADD"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45B6E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85BE1E"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proficien</w:t>
            </w:r>
            <w:proofErr w:type="spellEnd"/>
            <w:r w:rsidRPr="00D8283E">
              <w:rPr>
                <w:rFonts w:eastAsia="Times New Roman" w:cstheme="minorHAnsi"/>
                <w:color w:val="222222"/>
                <w:lang w:eastAsia="en-CA"/>
              </w:rPr>
              <w:t xml:space="preserve">* or skill* or </w:t>
            </w:r>
            <w:proofErr w:type="spellStart"/>
            <w:r w:rsidRPr="00D8283E">
              <w:rPr>
                <w:rFonts w:eastAsia="Times New Roman" w:cstheme="minorHAnsi"/>
                <w:color w:val="222222"/>
                <w:lang w:eastAsia="en-CA"/>
              </w:rPr>
              <w:t>knowled</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competenc</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capacit</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capabil</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abili</w:t>
            </w:r>
            <w:proofErr w:type="spellEnd"/>
            <w:r w:rsidRPr="00D8283E">
              <w:rPr>
                <w:rFonts w:eastAsia="Times New Roman" w:cstheme="minorHAnsi"/>
                <w:color w:val="222222"/>
                <w:lang w:eastAsia="en-CA"/>
              </w:rPr>
              <w:t>*).</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abstract, heading word, drug trade name, original title, device manufacturer, drug manufacturer, device trade name, keyword heading word, floating subheading word, candidate term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DB395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4,161,741</w:t>
            </w:r>
          </w:p>
        </w:tc>
      </w:tr>
      <w:tr w:rsidR="00D8283E" w:rsidRPr="00D8283E" w14:paraId="45735BDE"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C610E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3</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8347FC"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drought/</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6D4EC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16,629</w:t>
            </w:r>
          </w:p>
        </w:tc>
      </w:tr>
      <w:tr w:rsidR="00D8283E" w:rsidRPr="00D8283E" w14:paraId="1200AA66"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9822F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4</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83782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flooding/</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A6A47A"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10,555</w:t>
            </w:r>
          </w:p>
        </w:tc>
      </w:tr>
      <w:tr w:rsidR="00D8283E" w:rsidRPr="00D8283E" w14:paraId="3D2F703D"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95C8D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47E73C"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educat</w:t>
            </w:r>
            <w:proofErr w:type="spellEnd"/>
            <w:r w:rsidRPr="00D8283E">
              <w:rPr>
                <w:rFonts w:eastAsia="Times New Roman" w:cstheme="minorHAnsi"/>
                <w:color w:val="222222"/>
                <w:lang w:eastAsia="en-CA"/>
              </w:rPr>
              <w:t xml:space="preserve">* or train* or </w:t>
            </w:r>
            <w:proofErr w:type="spellStart"/>
            <w:r w:rsidRPr="00D8283E">
              <w:rPr>
                <w:rFonts w:eastAsia="Times New Roman" w:cstheme="minorHAnsi"/>
                <w:color w:val="222222"/>
                <w:lang w:eastAsia="en-CA"/>
              </w:rPr>
              <w:t>instruc</w:t>
            </w:r>
            <w:proofErr w:type="spellEnd"/>
            <w:r w:rsidRPr="00D8283E">
              <w:rPr>
                <w:rFonts w:eastAsia="Times New Roman" w:cstheme="minorHAnsi"/>
                <w:color w:val="222222"/>
                <w:lang w:eastAsia="en-CA"/>
              </w:rPr>
              <w:t>* or teach* or coach* or taught or course* or pre-</w:t>
            </w:r>
            <w:proofErr w:type="spellStart"/>
            <w:r w:rsidRPr="00D8283E">
              <w:rPr>
                <w:rFonts w:eastAsia="Times New Roman" w:cstheme="minorHAnsi"/>
                <w:color w:val="222222"/>
                <w:lang w:eastAsia="en-CA"/>
              </w:rPr>
              <w:t>regist</w:t>
            </w:r>
            <w:proofErr w:type="spellEnd"/>
            <w:r w:rsidRPr="00D8283E">
              <w:rPr>
                <w:rFonts w:eastAsia="Times New Roman" w:cstheme="minorHAnsi"/>
                <w:color w:val="222222"/>
                <w:lang w:eastAsia="en-CA"/>
              </w:rPr>
              <w:t xml:space="preserve">* or preregistration or degree or baccalaureate or CPD or </w:t>
            </w:r>
            <w:proofErr w:type="spellStart"/>
            <w:r w:rsidRPr="00D8283E">
              <w:rPr>
                <w:rFonts w:eastAsia="Times New Roman" w:cstheme="minorHAnsi"/>
                <w:color w:val="222222"/>
                <w:lang w:eastAsia="en-CA"/>
              </w:rPr>
              <w:t>syllab</w:t>
            </w:r>
            <w:proofErr w:type="spellEnd"/>
            <w:r w:rsidRPr="00D8283E">
              <w:rPr>
                <w:rFonts w:eastAsia="Times New Roman" w:cstheme="minorHAnsi"/>
                <w:color w:val="222222"/>
                <w:lang w:eastAsia="en-CA"/>
              </w:rPr>
              <w:t xml:space="preserve">* or </w:t>
            </w:r>
            <w:proofErr w:type="spellStart"/>
            <w:r w:rsidRPr="00D8283E">
              <w:rPr>
                <w:rFonts w:eastAsia="Times New Roman" w:cstheme="minorHAnsi"/>
                <w:color w:val="222222"/>
                <w:lang w:eastAsia="en-CA"/>
              </w:rPr>
              <w:t>Curricu</w:t>
            </w:r>
            <w:proofErr w:type="spellEnd"/>
            <w:r w:rsidRPr="00D8283E">
              <w:rPr>
                <w:rFonts w:eastAsia="Times New Roman" w:cstheme="minorHAnsi"/>
                <w:color w:val="222222"/>
                <w:lang w:eastAsia="en-CA"/>
              </w:rPr>
              <w:t>*).</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abstract, heading word, drug trade name, original title, device manufacturer, drug manufacturer, device trade name, keyword heading word, floating subheading word, candidate term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7EA291"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4,811,007</w:t>
            </w:r>
          </w:p>
        </w:tc>
      </w:tr>
      <w:tr w:rsidR="00D8283E" w:rsidRPr="00D8283E" w14:paraId="3477FDF4"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1ACA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794A00"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w:t>
            </w:r>
            <w:proofErr w:type="spellStart"/>
            <w:r w:rsidRPr="00D8283E">
              <w:rPr>
                <w:rFonts w:eastAsia="Times New Roman" w:cstheme="minorHAnsi"/>
                <w:color w:val="222222"/>
                <w:lang w:eastAsia="en-CA"/>
              </w:rPr>
              <w:t>midwi</w:t>
            </w:r>
            <w:proofErr w:type="spellEnd"/>
            <w:r w:rsidRPr="00D8283E">
              <w:rPr>
                <w:rFonts w:eastAsia="Times New Roman" w:cstheme="minorHAnsi"/>
                <w:color w:val="222222"/>
                <w:lang w:eastAsia="en-CA"/>
              </w:rPr>
              <w:t xml:space="preserve">* or surgeon* or radiographer* or paramedic* or registrar* or consultant* or emergency physician* or </w:t>
            </w:r>
            <w:proofErr w:type="spellStart"/>
            <w:r w:rsidRPr="00D8283E">
              <w:rPr>
                <w:rFonts w:eastAsia="Times New Roman" w:cstheme="minorHAnsi"/>
                <w:color w:val="222222"/>
                <w:lang w:eastAsia="en-CA"/>
              </w:rPr>
              <w:t>nurs</w:t>
            </w:r>
            <w:proofErr w:type="spellEnd"/>
            <w:r w:rsidRPr="00D8283E">
              <w:rPr>
                <w:rFonts w:eastAsia="Times New Roman" w:cstheme="minorHAnsi"/>
                <w:color w:val="222222"/>
                <w:lang w:eastAsia="en-CA"/>
              </w:rPr>
              <w:t>* or doctor* or health worker* or health* staff or health* employ* or health* worker*).</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 [</w:t>
            </w:r>
            <w:proofErr w:type="spellStart"/>
            <w:r w:rsidRPr="00D8283E">
              <w:rPr>
                <w:rFonts w:eastAsia="Times New Roman" w:cstheme="minorHAnsi"/>
                <w:color w:val="222222"/>
                <w:lang w:eastAsia="en-CA"/>
              </w:rPr>
              <w:t>mp</w:t>
            </w:r>
            <w:proofErr w:type="spellEnd"/>
            <w:r w:rsidRPr="00D8283E">
              <w:rPr>
                <w:rFonts w:eastAsia="Times New Roman" w:cstheme="minorHAnsi"/>
                <w:color w:val="222222"/>
                <w:lang w:eastAsia="en-CA"/>
              </w:rPr>
              <w:t>=title, abstract, heading word, drug trade name, original title, device manufacturer, drug manufacturer, device trade name, keyword heading word, floating subheading word, candidate term word]</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18B8D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1,788,449</w:t>
            </w:r>
          </w:p>
        </w:tc>
      </w:tr>
      <w:tr w:rsidR="00D8283E" w:rsidRPr="00D8283E" w14:paraId="065B4ACB"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56380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B156B0"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exp health care personnel/</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57837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2,047,390</w:t>
            </w:r>
          </w:p>
        </w:tc>
      </w:tr>
      <w:tr w:rsidR="00D8283E" w:rsidRPr="00D8283E" w14:paraId="26DEC1B7"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510A0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8</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FBEA1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climate change/ or global warming/ or droughts/ or floods/</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5166BA"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97,429</w:t>
            </w:r>
          </w:p>
        </w:tc>
      </w:tr>
      <w:tr w:rsidR="00D8283E" w:rsidRPr="00D8283E" w14:paraId="00506A62"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BA62A5"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9</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67339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exp Health Personnel/</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34593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2,047,390</w:t>
            </w:r>
          </w:p>
        </w:tc>
      </w:tr>
      <w:tr w:rsidR="00D8283E" w:rsidRPr="00D8283E" w14:paraId="2CC7C433"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0DD06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10</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00A5A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 or 6 or 7</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DF1223"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6,825,970</w:t>
            </w:r>
          </w:p>
        </w:tc>
      </w:tr>
      <w:tr w:rsidR="00D8283E" w:rsidRPr="00D8283E" w14:paraId="0A90E34F"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BE993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11</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07BD46"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8 and 10</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F5036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9,911</w:t>
            </w:r>
          </w:p>
        </w:tc>
      </w:tr>
      <w:tr w:rsidR="00D8283E" w:rsidRPr="00D8283E" w14:paraId="79129AB1"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6D1374"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12</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904D7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limit 11 to (</w:t>
            </w:r>
            <w:proofErr w:type="spellStart"/>
            <w:r w:rsidRPr="00D8283E">
              <w:rPr>
                <w:rFonts w:eastAsia="Times New Roman" w:cstheme="minorHAnsi"/>
                <w:color w:val="222222"/>
                <w:lang w:eastAsia="en-CA"/>
              </w:rPr>
              <w:t>english</w:t>
            </w:r>
            <w:proofErr w:type="spellEnd"/>
            <w:r w:rsidRPr="00D8283E">
              <w:rPr>
                <w:rFonts w:eastAsia="Times New Roman" w:cstheme="minorHAnsi"/>
                <w:color w:val="222222"/>
                <w:lang w:eastAsia="en-CA"/>
              </w:rPr>
              <w:t xml:space="preserve"> language and </w:t>
            </w:r>
            <w:proofErr w:type="spellStart"/>
            <w:r w:rsidRPr="00D8283E">
              <w:rPr>
                <w:rFonts w:eastAsia="Times New Roman" w:cstheme="minorHAnsi"/>
                <w:color w:val="222222"/>
                <w:lang w:eastAsia="en-CA"/>
              </w:rPr>
              <w:t>yr</w:t>
            </w:r>
            <w:proofErr w:type="spellEnd"/>
            <w:r w:rsidRPr="00D8283E">
              <w:rPr>
                <w:rFonts w:eastAsia="Times New Roman" w:cstheme="minorHAnsi"/>
                <w:color w:val="222222"/>
                <w:lang w:eastAsia="en-CA"/>
              </w:rPr>
              <w:t>="2015 -Current")</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F89FAD"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7,226</w:t>
            </w:r>
          </w:p>
        </w:tc>
      </w:tr>
      <w:tr w:rsidR="00D8283E" w:rsidRPr="00D8283E" w14:paraId="4AC1EA0A"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C57940"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13</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C97D5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 or 3 or 4</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D969EF"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86,146</w:t>
            </w:r>
          </w:p>
        </w:tc>
      </w:tr>
      <w:tr w:rsidR="00D8283E" w:rsidRPr="00D8283E" w14:paraId="7A84605F"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3C50E9"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14</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F8B4DE"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5 or 6 or 7</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3F614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6,825,970</w:t>
            </w:r>
          </w:p>
        </w:tc>
      </w:tr>
      <w:tr w:rsidR="00D8283E" w:rsidRPr="00D8283E" w14:paraId="27DE2017"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7217EB"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15</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0C7282"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13 and 14</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919A6C"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9,209</w:t>
            </w:r>
          </w:p>
        </w:tc>
      </w:tr>
      <w:tr w:rsidR="00D8283E" w:rsidRPr="00D8283E" w14:paraId="7E1ED6B1" w14:textId="77777777" w:rsidTr="00855B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81D9C4"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16</w:t>
            </w:r>
          </w:p>
        </w:tc>
        <w:tc>
          <w:tcPr>
            <w:tcW w:w="327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8BEBA7"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limit 15 to (</w:t>
            </w:r>
            <w:proofErr w:type="spellStart"/>
            <w:r w:rsidRPr="00D8283E">
              <w:rPr>
                <w:rFonts w:eastAsia="Times New Roman" w:cstheme="minorHAnsi"/>
                <w:color w:val="222222"/>
                <w:lang w:eastAsia="en-CA"/>
              </w:rPr>
              <w:t>english</w:t>
            </w:r>
            <w:proofErr w:type="spellEnd"/>
            <w:r w:rsidRPr="00D8283E">
              <w:rPr>
                <w:rFonts w:eastAsia="Times New Roman" w:cstheme="minorHAnsi"/>
                <w:color w:val="222222"/>
                <w:lang w:eastAsia="en-CA"/>
              </w:rPr>
              <w:t xml:space="preserve"> language and "remove </w:t>
            </w:r>
            <w:proofErr w:type="spellStart"/>
            <w:r w:rsidRPr="00D8283E">
              <w:rPr>
                <w:rFonts w:eastAsia="Times New Roman" w:cstheme="minorHAnsi"/>
                <w:color w:val="222222"/>
                <w:lang w:eastAsia="en-CA"/>
              </w:rPr>
              <w:t>medline</w:t>
            </w:r>
            <w:proofErr w:type="spellEnd"/>
            <w:r w:rsidRPr="00D8283E">
              <w:rPr>
                <w:rFonts w:eastAsia="Times New Roman" w:cstheme="minorHAnsi"/>
                <w:color w:val="222222"/>
                <w:lang w:eastAsia="en-CA"/>
              </w:rPr>
              <w:t xml:space="preserve"> records" and </w:t>
            </w:r>
            <w:proofErr w:type="spellStart"/>
            <w:r w:rsidRPr="00D8283E">
              <w:rPr>
                <w:rFonts w:eastAsia="Times New Roman" w:cstheme="minorHAnsi"/>
                <w:color w:val="222222"/>
                <w:lang w:eastAsia="en-CA"/>
              </w:rPr>
              <w:t>yr</w:t>
            </w:r>
            <w:proofErr w:type="spellEnd"/>
            <w:r w:rsidRPr="00D8283E">
              <w:rPr>
                <w:rFonts w:eastAsia="Times New Roman" w:cstheme="minorHAnsi"/>
                <w:color w:val="222222"/>
                <w:lang w:eastAsia="en-CA"/>
              </w:rPr>
              <w:t>="2015 -Current")</w:t>
            </w:r>
          </w:p>
        </w:tc>
        <w:tc>
          <w:tcPr>
            <w:tcW w:w="157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DC2908" w14:textId="77777777" w:rsidR="00D8283E" w:rsidRPr="00D8283E" w:rsidRDefault="00D8283E" w:rsidP="00D8283E">
            <w:pPr>
              <w:spacing w:after="0" w:line="240" w:lineRule="auto"/>
              <w:rPr>
                <w:rFonts w:eastAsia="Times New Roman" w:cstheme="minorHAnsi"/>
                <w:color w:val="222222"/>
                <w:lang w:eastAsia="en-CA"/>
              </w:rPr>
            </w:pPr>
            <w:r w:rsidRPr="00D8283E">
              <w:rPr>
                <w:rFonts w:eastAsia="Times New Roman" w:cstheme="minorHAnsi"/>
                <w:color w:val="222222"/>
                <w:lang w:eastAsia="en-CA"/>
              </w:rPr>
              <w:t>3,323</w:t>
            </w:r>
          </w:p>
        </w:tc>
      </w:tr>
    </w:tbl>
    <w:p w14:paraId="001F4CC0" w14:textId="77777777" w:rsidR="00D8283E" w:rsidRPr="00D8283E" w:rsidRDefault="00D8283E" w:rsidP="00D8283E">
      <w:pPr>
        <w:spacing w:beforeAutospacing="1" w:afterAutospacing="1"/>
        <w:rPr>
          <w:rFonts w:cstheme="minorHAnsi"/>
        </w:rPr>
      </w:pPr>
      <w:r w:rsidRPr="00D8283E">
        <w:rPr>
          <w:rFonts w:cstheme="minorHAnsi"/>
        </w:rPr>
        <w:lastRenderedPageBreak/>
        <w:t xml:space="preserve">CINAHL (Via </w:t>
      </w:r>
      <w:proofErr w:type="spellStart"/>
      <w:r w:rsidRPr="00D8283E">
        <w:rPr>
          <w:rFonts w:cstheme="minorHAnsi"/>
        </w:rPr>
        <w:t>Ebscohost</w:t>
      </w:r>
      <w:proofErr w:type="spellEnd"/>
      <w:r w:rsidRPr="00D8283E">
        <w:rPr>
          <w:rFonts w:cstheme="minorHAnsi"/>
        </w:rPr>
        <w:t xml:space="preserve">) </w:t>
      </w:r>
    </w:p>
    <w:p w14:paraId="4BD00C62" w14:textId="77777777" w:rsidR="00D8283E" w:rsidRPr="00D8283E" w:rsidRDefault="00D8283E" w:rsidP="00D8283E">
      <w:pPr>
        <w:spacing w:beforeAutospacing="1" w:afterAutospacing="1"/>
        <w:rPr>
          <w:rFonts w:cstheme="minorHAnsi"/>
          <w:color w:val="333333"/>
          <w:shd w:val="clear" w:color="auto" w:fill="FFFFFF"/>
        </w:rPr>
      </w:pPr>
      <w:r w:rsidRPr="00D8283E">
        <w:rPr>
          <w:rFonts w:cstheme="minorHAnsi"/>
          <w:color w:val="333333"/>
          <w:bdr w:val="none" w:sz="0" w:space="0" w:color="auto" w:frame="1"/>
          <w:shd w:val="clear" w:color="auto" w:fill="FFFFFF"/>
        </w:rPr>
        <w:t xml:space="preserve">( climate change or global warming ) AND ( </w:t>
      </w:r>
      <w:proofErr w:type="spellStart"/>
      <w:r w:rsidRPr="00D8283E">
        <w:rPr>
          <w:rFonts w:cstheme="minorHAnsi"/>
          <w:color w:val="333333"/>
          <w:bdr w:val="none" w:sz="0" w:space="0" w:color="auto" w:frame="1"/>
          <w:shd w:val="clear" w:color="auto" w:fill="FFFFFF"/>
        </w:rPr>
        <w:t>proficien</w:t>
      </w:r>
      <w:proofErr w:type="spellEnd"/>
      <w:r w:rsidRPr="00D8283E">
        <w:rPr>
          <w:rFonts w:cstheme="minorHAnsi"/>
          <w:color w:val="333333"/>
          <w:bdr w:val="none" w:sz="0" w:space="0" w:color="auto" w:frame="1"/>
          <w:shd w:val="clear" w:color="auto" w:fill="FFFFFF"/>
        </w:rPr>
        <w:t xml:space="preserve">* or skill* or </w:t>
      </w:r>
      <w:proofErr w:type="spellStart"/>
      <w:r w:rsidRPr="00D8283E">
        <w:rPr>
          <w:rFonts w:cstheme="minorHAnsi"/>
          <w:color w:val="333333"/>
          <w:bdr w:val="none" w:sz="0" w:space="0" w:color="auto" w:frame="1"/>
          <w:shd w:val="clear" w:color="auto" w:fill="FFFFFF"/>
        </w:rPr>
        <w:t>knowled</w:t>
      </w:r>
      <w:proofErr w:type="spellEnd"/>
      <w:r w:rsidRPr="00D8283E">
        <w:rPr>
          <w:rFonts w:cstheme="minorHAnsi"/>
          <w:color w:val="333333"/>
          <w:bdr w:val="none" w:sz="0" w:space="0" w:color="auto" w:frame="1"/>
          <w:shd w:val="clear" w:color="auto" w:fill="FFFFFF"/>
        </w:rPr>
        <w:t xml:space="preserve">* or </w:t>
      </w:r>
      <w:proofErr w:type="spellStart"/>
      <w:r w:rsidRPr="00D8283E">
        <w:rPr>
          <w:rFonts w:cstheme="minorHAnsi"/>
          <w:color w:val="333333"/>
          <w:bdr w:val="none" w:sz="0" w:space="0" w:color="auto" w:frame="1"/>
          <w:shd w:val="clear" w:color="auto" w:fill="FFFFFF"/>
        </w:rPr>
        <w:t>competenc</w:t>
      </w:r>
      <w:proofErr w:type="spellEnd"/>
      <w:r w:rsidRPr="00D8283E">
        <w:rPr>
          <w:rFonts w:cstheme="minorHAnsi"/>
          <w:color w:val="333333"/>
          <w:bdr w:val="none" w:sz="0" w:space="0" w:color="auto" w:frame="1"/>
          <w:shd w:val="clear" w:color="auto" w:fill="FFFFFF"/>
        </w:rPr>
        <w:t xml:space="preserve">* or </w:t>
      </w:r>
      <w:proofErr w:type="spellStart"/>
      <w:r w:rsidRPr="00D8283E">
        <w:rPr>
          <w:rFonts w:cstheme="minorHAnsi"/>
          <w:color w:val="333333"/>
          <w:bdr w:val="none" w:sz="0" w:space="0" w:color="auto" w:frame="1"/>
          <w:shd w:val="clear" w:color="auto" w:fill="FFFFFF"/>
        </w:rPr>
        <w:t>capacit</w:t>
      </w:r>
      <w:proofErr w:type="spellEnd"/>
      <w:r w:rsidRPr="00D8283E">
        <w:rPr>
          <w:rFonts w:cstheme="minorHAnsi"/>
          <w:color w:val="333333"/>
          <w:bdr w:val="none" w:sz="0" w:space="0" w:color="auto" w:frame="1"/>
          <w:shd w:val="clear" w:color="auto" w:fill="FFFFFF"/>
        </w:rPr>
        <w:t xml:space="preserve">* or </w:t>
      </w:r>
      <w:proofErr w:type="spellStart"/>
      <w:r w:rsidRPr="00D8283E">
        <w:rPr>
          <w:rFonts w:cstheme="minorHAnsi"/>
          <w:color w:val="333333"/>
          <w:bdr w:val="none" w:sz="0" w:space="0" w:color="auto" w:frame="1"/>
          <w:shd w:val="clear" w:color="auto" w:fill="FFFFFF"/>
        </w:rPr>
        <w:t>capabil</w:t>
      </w:r>
      <w:proofErr w:type="spellEnd"/>
      <w:r w:rsidRPr="00D8283E">
        <w:rPr>
          <w:rFonts w:cstheme="minorHAnsi"/>
          <w:color w:val="333333"/>
          <w:bdr w:val="none" w:sz="0" w:space="0" w:color="auto" w:frame="1"/>
          <w:shd w:val="clear" w:color="auto" w:fill="FFFFFF"/>
        </w:rPr>
        <w:t xml:space="preserve">* or </w:t>
      </w:r>
      <w:proofErr w:type="spellStart"/>
      <w:r w:rsidRPr="00D8283E">
        <w:rPr>
          <w:rFonts w:cstheme="minorHAnsi"/>
          <w:color w:val="333333"/>
          <w:bdr w:val="none" w:sz="0" w:space="0" w:color="auto" w:frame="1"/>
          <w:shd w:val="clear" w:color="auto" w:fill="FFFFFF"/>
        </w:rPr>
        <w:t>abili</w:t>
      </w:r>
      <w:proofErr w:type="spellEnd"/>
      <w:r w:rsidRPr="00D8283E">
        <w:rPr>
          <w:rFonts w:cstheme="minorHAnsi"/>
          <w:color w:val="333333"/>
          <w:bdr w:val="none" w:sz="0" w:space="0" w:color="auto" w:frame="1"/>
          <w:shd w:val="clear" w:color="auto" w:fill="FFFFFF"/>
        </w:rPr>
        <w:t xml:space="preserve">* or </w:t>
      </w:r>
      <w:proofErr w:type="spellStart"/>
      <w:r w:rsidRPr="00D8283E">
        <w:rPr>
          <w:rFonts w:cstheme="minorHAnsi"/>
          <w:color w:val="333333"/>
          <w:bdr w:val="none" w:sz="0" w:space="0" w:color="auto" w:frame="1"/>
          <w:shd w:val="clear" w:color="auto" w:fill="FFFFFF"/>
        </w:rPr>
        <w:t>educat</w:t>
      </w:r>
      <w:proofErr w:type="spellEnd"/>
      <w:r w:rsidRPr="00D8283E">
        <w:rPr>
          <w:rFonts w:cstheme="minorHAnsi"/>
          <w:color w:val="333333"/>
          <w:bdr w:val="none" w:sz="0" w:space="0" w:color="auto" w:frame="1"/>
          <w:shd w:val="clear" w:color="auto" w:fill="FFFFFF"/>
        </w:rPr>
        <w:t xml:space="preserve">* or train* or </w:t>
      </w:r>
      <w:proofErr w:type="spellStart"/>
      <w:r w:rsidRPr="00D8283E">
        <w:rPr>
          <w:rFonts w:cstheme="minorHAnsi"/>
          <w:color w:val="333333"/>
          <w:bdr w:val="none" w:sz="0" w:space="0" w:color="auto" w:frame="1"/>
          <w:shd w:val="clear" w:color="auto" w:fill="FFFFFF"/>
        </w:rPr>
        <w:t>instruc</w:t>
      </w:r>
      <w:proofErr w:type="spellEnd"/>
      <w:r w:rsidRPr="00D8283E">
        <w:rPr>
          <w:rFonts w:cstheme="minorHAnsi"/>
          <w:color w:val="333333"/>
          <w:bdr w:val="none" w:sz="0" w:space="0" w:color="auto" w:frame="1"/>
          <w:shd w:val="clear" w:color="auto" w:fill="FFFFFF"/>
        </w:rPr>
        <w:t>* or teach* or coach* or taught or course* or pre-</w:t>
      </w:r>
      <w:proofErr w:type="spellStart"/>
      <w:r w:rsidRPr="00D8283E">
        <w:rPr>
          <w:rFonts w:cstheme="minorHAnsi"/>
          <w:color w:val="333333"/>
          <w:bdr w:val="none" w:sz="0" w:space="0" w:color="auto" w:frame="1"/>
          <w:shd w:val="clear" w:color="auto" w:fill="FFFFFF"/>
        </w:rPr>
        <w:t>regist</w:t>
      </w:r>
      <w:proofErr w:type="spellEnd"/>
      <w:r w:rsidRPr="00D8283E">
        <w:rPr>
          <w:rFonts w:cstheme="minorHAnsi"/>
          <w:color w:val="333333"/>
          <w:bdr w:val="none" w:sz="0" w:space="0" w:color="auto" w:frame="1"/>
          <w:shd w:val="clear" w:color="auto" w:fill="FFFFFF"/>
        </w:rPr>
        <w:t xml:space="preserve">* or preregistration or degree or baccalaureate or CPD or </w:t>
      </w:r>
      <w:proofErr w:type="spellStart"/>
      <w:r w:rsidRPr="00D8283E">
        <w:rPr>
          <w:rFonts w:cstheme="minorHAnsi"/>
          <w:color w:val="333333"/>
          <w:bdr w:val="none" w:sz="0" w:space="0" w:color="auto" w:frame="1"/>
          <w:shd w:val="clear" w:color="auto" w:fill="FFFFFF"/>
        </w:rPr>
        <w:t>syllab</w:t>
      </w:r>
      <w:proofErr w:type="spellEnd"/>
      <w:r w:rsidRPr="00D8283E">
        <w:rPr>
          <w:rFonts w:cstheme="minorHAnsi"/>
          <w:color w:val="333333"/>
          <w:bdr w:val="none" w:sz="0" w:space="0" w:color="auto" w:frame="1"/>
          <w:shd w:val="clear" w:color="auto" w:fill="FFFFFF"/>
        </w:rPr>
        <w:t xml:space="preserve">* or </w:t>
      </w:r>
      <w:proofErr w:type="spellStart"/>
      <w:r w:rsidRPr="00D8283E">
        <w:rPr>
          <w:rFonts w:cstheme="minorHAnsi"/>
          <w:color w:val="333333"/>
          <w:bdr w:val="none" w:sz="0" w:space="0" w:color="auto" w:frame="1"/>
          <w:shd w:val="clear" w:color="auto" w:fill="FFFFFF"/>
        </w:rPr>
        <w:t>Curricu</w:t>
      </w:r>
      <w:proofErr w:type="spellEnd"/>
      <w:r w:rsidRPr="00D8283E">
        <w:rPr>
          <w:rFonts w:cstheme="minorHAnsi"/>
          <w:color w:val="333333"/>
          <w:bdr w:val="none" w:sz="0" w:space="0" w:color="auto" w:frame="1"/>
          <w:shd w:val="clear" w:color="auto" w:fill="FFFFFF"/>
        </w:rPr>
        <w:t xml:space="preserve">* ) AND ( </w:t>
      </w:r>
      <w:proofErr w:type="spellStart"/>
      <w:r w:rsidRPr="00D8283E">
        <w:rPr>
          <w:rFonts w:cstheme="minorHAnsi"/>
          <w:color w:val="333333"/>
          <w:bdr w:val="none" w:sz="0" w:space="0" w:color="auto" w:frame="1"/>
          <w:shd w:val="clear" w:color="auto" w:fill="FFFFFF"/>
        </w:rPr>
        <w:t>midwi</w:t>
      </w:r>
      <w:proofErr w:type="spellEnd"/>
      <w:r w:rsidRPr="00D8283E">
        <w:rPr>
          <w:rFonts w:cstheme="minorHAnsi"/>
          <w:color w:val="333333"/>
          <w:bdr w:val="none" w:sz="0" w:space="0" w:color="auto" w:frame="1"/>
          <w:shd w:val="clear" w:color="auto" w:fill="FFFFFF"/>
        </w:rPr>
        <w:t xml:space="preserve">* or surgeon* or radiographer* or paramedic* or registrar* or consultant* or emergency physician* or </w:t>
      </w:r>
      <w:proofErr w:type="spellStart"/>
      <w:r w:rsidRPr="00D8283E">
        <w:rPr>
          <w:rFonts w:cstheme="minorHAnsi"/>
          <w:color w:val="333333"/>
          <w:bdr w:val="none" w:sz="0" w:space="0" w:color="auto" w:frame="1"/>
          <w:shd w:val="clear" w:color="auto" w:fill="FFFFFF"/>
        </w:rPr>
        <w:t>nurs</w:t>
      </w:r>
      <w:proofErr w:type="spellEnd"/>
      <w:r w:rsidRPr="00D8283E">
        <w:rPr>
          <w:rFonts w:cstheme="minorHAnsi"/>
          <w:color w:val="333333"/>
          <w:bdr w:val="none" w:sz="0" w:space="0" w:color="auto" w:frame="1"/>
          <w:shd w:val="clear" w:color="auto" w:fill="FFFFFF"/>
        </w:rPr>
        <w:t>* or doctor* or health worker* or health* staff or health* employ* or health* worker* )</w:t>
      </w:r>
      <w:r w:rsidRPr="00D8283E">
        <w:rPr>
          <w:rFonts w:cstheme="minorHAnsi"/>
          <w:color w:val="333333"/>
          <w:shd w:val="clear" w:color="auto" w:fill="FFFFFF"/>
        </w:rPr>
        <w:t> </w:t>
      </w:r>
    </w:p>
    <w:p w14:paraId="0777F302" w14:textId="77777777" w:rsidR="00D8283E" w:rsidRPr="00D8283E" w:rsidRDefault="00D8283E" w:rsidP="00D8283E">
      <w:pPr>
        <w:spacing w:beforeAutospacing="1" w:afterAutospacing="1"/>
        <w:rPr>
          <w:rFonts w:cstheme="minorHAnsi"/>
        </w:rPr>
      </w:pPr>
      <w:r w:rsidRPr="00D8283E">
        <w:rPr>
          <w:rFonts w:cstheme="minorHAnsi"/>
          <w:color w:val="333333"/>
          <w:shd w:val="clear" w:color="auto" w:fill="FFFFFF"/>
        </w:rPr>
        <w:t>Results: 356</w:t>
      </w:r>
    </w:p>
    <w:p w14:paraId="159BE4FB" w14:textId="244315F3" w:rsidR="00D8283E" w:rsidRPr="00D8283E" w:rsidRDefault="00D8283E" w:rsidP="007C0914">
      <w:pPr>
        <w:pStyle w:val="Heading2"/>
      </w:pPr>
      <w:bookmarkStart w:id="111" w:name="_Toc225937231"/>
      <w:r w:rsidRPr="00D8283E">
        <w:t>Appendix II: Data extraction instrument</w:t>
      </w:r>
      <w:bookmarkEnd w:id="111"/>
    </w:p>
    <w:tbl>
      <w:tblPr>
        <w:tblStyle w:val="TableGrid"/>
        <w:tblW w:w="0" w:type="auto"/>
        <w:tblLook w:val="04A0" w:firstRow="1" w:lastRow="0" w:firstColumn="1" w:lastColumn="0" w:noHBand="0" w:noVBand="1"/>
      </w:tblPr>
      <w:tblGrid>
        <w:gridCol w:w="9350"/>
      </w:tblGrid>
      <w:tr w:rsidR="00D8283E" w:rsidRPr="00D8283E" w14:paraId="1E1B83AC" w14:textId="77777777" w:rsidTr="00855B62">
        <w:tc>
          <w:tcPr>
            <w:tcW w:w="9350" w:type="dxa"/>
          </w:tcPr>
          <w:p w14:paraId="18AC1E85"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Reference, First Author, Date</w:t>
            </w:r>
          </w:p>
        </w:tc>
      </w:tr>
      <w:tr w:rsidR="00D8283E" w:rsidRPr="00D8283E" w14:paraId="63074A46" w14:textId="77777777" w:rsidTr="00855B62">
        <w:tc>
          <w:tcPr>
            <w:tcW w:w="9350" w:type="dxa"/>
          </w:tcPr>
          <w:p w14:paraId="20972F88" w14:textId="77777777" w:rsidR="00D8283E" w:rsidRPr="00D8283E" w:rsidRDefault="00D8283E" w:rsidP="00D8283E">
            <w:pPr>
              <w:rPr>
                <w:rFonts w:ascii="Roboto" w:hAnsi="Roboto"/>
                <w:color w:val="212121"/>
                <w:sz w:val="26"/>
                <w:szCs w:val="26"/>
                <w:shd w:val="clear" w:color="auto" w:fill="FFFFFF"/>
              </w:rPr>
            </w:pPr>
          </w:p>
        </w:tc>
      </w:tr>
      <w:tr w:rsidR="00D8283E" w:rsidRPr="00D8283E" w14:paraId="42C29322" w14:textId="77777777" w:rsidTr="00855B62">
        <w:tc>
          <w:tcPr>
            <w:tcW w:w="9350" w:type="dxa"/>
          </w:tcPr>
          <w:p w14:paraId="29B93F6A"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Country National or Regional</w:t>
            </w:r>
          </w:p>
        </w:tc>
      </w:tr>
      <w:tr w:rsidR="00D8283E" w:rsidRPr="00D8283E" w14:paraId="59D9F293" w14:textId="77777777" w:rsidTr="00855B62">
        <w:tc>
          <w:tcPr>
            <w:tcW w:w="9350" w:type="dxa"/>
          </w:tcPr>
          <w:p w14:paraId="3D936016" w14:textId="77777777" w:rsidR="00D8283E" w:rsidRPr="00D8283E" w:rsidRDefault="00D8283E" w:rsidP="00D8283E">
            <w:pPr>
              <w:rPr>
                <w:rFonts w:ascii="Roboto" w:hAnsi="Roboto"/>
                <w:color w:val="212121"/>
                <w:sz w:val="26"/>
                <w:szCs w:val="26"/>
                <w:shd w:val="clear" w:color="auto" w:fill="FFFFFF"/>
              </w:rPr>
            </w:pPr>
          </w:p>
        </w:tc>
      </w:tr>
      <w:tr w:rsidR="00D8283E" w:rsidRPr="00D8283E" w14:paraId="268C1437" w14:textId="77777777" w:rsidTr="00855B62">
        <w:tc>
          <w:tcPr>
            <w:tcW w:w="9350" w:type="dxa"/>
          </w:tcPr>
          <w:p w14:paraId="193BCF4A"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 xml:space="preserve">Organisational, Academic Institution, Conference </w:t>
            </w:r>
          </w:p>
        </w:tc>
      </w:tr>
      <w:tr w:rsidR="00D8283E" w:rsidRPr="00D8283E" w14:paraId="29538EC3" w14:textId="77777777" w:rsidTr="00855B62">
        <w:tc>
          <w:tcPr>
            <w:tcW w:w="9350" w:type="dxa"/>
          </w:tcPr>
          <w:p w14:paraId="66F03CA6" w14:textId="77777777" w:rsidR="00D8283E" w:rsidRPr="00D8283E" w:rsidRDefault="00D8283E" w:rsidP="00D8283E">
            <w:pPr>
              <w:rPr>
                <w:rFonts w:ascii="Roboto" w:hAnsi="Roboto"/>
                <w:color w:val="212121"/>
                <w:sz w:val="26"/>
                <w:szCs w:val="26"/>
                <w:shd w:val="clear" w:color="auto" w:fill="FFFFFF"/>
              </w:rPr>
            </w:pPr>
          </w:p>
        </w:tc>
      </w:tr>
      <w:tr w:rsidR="00D8283E" w:rsidRPr="00D8283E" w14:paraId="4AAEC25A" w14:textId="77777777" w:rsidTr="00855B62">
        <w:tc>
          <w:tcPr>
            <w:tcW w:w="9350" w:type="dxa"/>
          </w:tcPr>
          <w:p w14:paraId="05989C3F"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Grey Literature (y/n)</w:t>
            </w:r>
          </w:p>
        </w:tc>
      </w:tr>
      <w:tr w:rsidR="00D8283E" w:rsidRPr="00D8283E" w14:paraId="41DE7557" w14:textId="77777777" w:rsidTr="00855B62">
        <w:tc>
          <w:tcPr>
            <w:tcW w:w="9350" w:type="dxa"/>
          </w:tcPr>
          <w:p w14:paraId="2D62C9A4" w14:textId="77777777" w:rsidR="00D8283E" w:rsidRPr="00D8283E" w:rsidRDefault="00D8283E" w:rsidP="00D8283E">
            <w:pPr>
              <w:rPr>
                <w:rFonts w:ascii="Roboto" w:hAnsi="Roboto"/>
                <w:color w:val="212121"/>
                <w:sz w:val="26"/>
                <w:szCs w:val="26"/>
                <w:shd w:val="clear" w:color="auto" w:fill="FFFFFF"/>
              </w:rPr>
            </w:pPr>
          </w:p>
        </w:tc>
      </w:tr>
      <w:tr w:rsidR="00D8283E" w:rsidRPr="00D8283E" w14:paraId="098483A0" w14:textId="77777777" w:rsidTr="00855B62">
        <w:tc>
          <w:tcPr>
            <w:tcW w:w="9350" w:type="dxa"/>
          </w:tcPr>
          <w:p w14:paraId="0E485F81"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Date of intervention/ type/duration</w:t>
            </w:r>
          </w:p>
        </w:tc>
      </w:tr>
      <w:tr w:rsidR="00D8283E" w:rsidRPr="00D8283E" w14:paraId="74599471" w14:textId="77777777" w:rsidTr="00855B62">
        <w:tc>
          <w:tcPr>
            <w:tcW w:w="9350" w:type="dxa"/>
          </w:tcPr>
          <w:p w14:paraId="3BBA4799" w14:textId="77777777" w:rsidR="00D8283E" w:rsidRPr="00D8283E" w:rsidRDefault="00D8283E" w:rsidP="00D8283E">
            <w:pPr>
              <w:rPr>
                <w:rFonts w:ascii="Roboto" w:hAnsi="Roboto"/>
                <w:color w:val="212121"/>
                <w:sz w:val="26"/>
                <w:szCs w:val="26"/>
                <w:shd w:val="clear" w:color="auto" w:fill="FFFFFF"/>
              </w:rPr>
            </w:pPr>
          </w:p>
        </w:tc>
      </w:tr>
      <w:tr w:rsidR="00D8283E" w:rsidRPr="00D8283E" w14:paraId="4D436ACB" w14:textId="77777777" w:rsidTr="00855B62">
        <w:tc>
          <w:tcPr>
            <w:tcW w:w="9350" w:type="dxa"/>
          </w:tcPr>
          <w:p w14:paraId="2BA0A76A"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Outcome Measures</w:t>
            </w:r>
          </w:p>
        </w:tc>
      </w:tr>
      <w:tr w:rsidR="00D8283E" w:rsidRPr="00D8283E" w14:paraId="6C1B6DB9" w14:textId="77777777" w:rsidTr="00855B62">
        <w:tc>
          <w:tcPr>
            <w:tcW w:w="9350" w:type="dxa"/>
          </w:tcPr>
          <w:p w14:paraId="2E64CD0E" w14:textId="77777777" w:rsidR="00D8283E" w:rsidRPr="00D8283E" w:rsidRDefault="00D8283E" w:rsidP="00D8283E">
            <w:pPr>
              <w:rPr>
                <w:rFonts w:ascii="Roboto" w:hAnsi="Roboto"/>
                <w:color w:val="212121"/>
                <w:sz w:val="26"/>
                <w:szCs w:val="26"/>
                <w:shd w:val="clear" w:color="auto" w:fill="FFFFFF"/>
              </w:rPr>
            </w:pPr>
          </w:p>
        </w:tc>
      </w:tr>
      <w:tr w:rsidR="00D8283E" w:rsidRPr="00D8283E" w14:paraId="7377307B" w14:textId="77777777" w:rsidTr="00855B62">
        <w:tc>
          <w:tcPr>
            <w:tcW w:w="9350" w:type="dxa"/>
          </w:tcPr>
          <w:p w14:paraId="734D31AA"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Participants, n</w:t>
            </w:r>
          </w:p>
        </w:tc>
      </w:tr>
      <w:tr w:rsidR="00D8283E" w:rsidRPr="00D8283E" w14:paraId="12E7AAC6" w14:textId="77777777" w:rsidTr="00855B62">
        <w:tc>
          <w:tcPr>
            <w:tcW w:w="9350" w:type="dxa"/>
          </w:tcPr>
          <w:p w14:paraId="3E8BC3EA" w14:textId="77777777" w:rsidR="00D8283E" w:rsidRPr="00D8283E" w:rsidRDefault="00D8283E" w:rsidP="00D8283E">
            <w:pPr>
              <w:rPr>
                <w:rFonts w:ascii="Roboto" w:hAnsi="Roboto"/>
                <w:color w:val="212121"/>
                <w:sz w:val="26"/>
                <w:szCs w:val="26"/>
                <w:shd w:val="clear" w:color="auto" w:fill="FFFFFF"/>
              </w:rPr>
            </w:pPr>
          </w:p>
        </w:tc>
      </w:tr>
      <w:tr w:rsidR="00D8283E" w:rsidRPr="00D8283E" w14:paraId="79188EED" w14:textId="77777777" w:rsidTr="00855B62">
        <w:tc>
          <w:tcPr>
            <w:tcW w:w="9350" w:type="dxa"/>
          </w:tcPr>
          <w:p w14:paraId="5C8F1B56"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Competencies addressed (</w:t>
            </w:r>
            <w:proofErr w:type="spellStart"/>
            <w:r w:rsidRPr="00D8283E">
              <w:rPr>
                <w:rFonts w:ascii="Calibri" w:eastAsia="Times New Roman" w:hAnsi="Calibri" w:cs="Calibri"/>
                <w:color w:val="000000"/>
                <w:lang w:eastAsia="en-CA"/>
              </w:rPr>
              <w:t>Jagals</w:t>
            </w:r>
            <w:proofErr w:type="spellEnd"/>
            <w:r w:rsidRPr="00D8283E">
              <w:rPr>
                <w:rFonts w:ascii="Calibri" w:eastAsia="Times New Roman" w:hAnsi="Calibri" w:cs="Calibri"/>
                <w:color w:val="000000"/>
                <w:lang w:eastAsia="en-CA"/>
              </w:rPr>
              <w:t xml:space="preserve"> and </w:t>
            </w:r>
            <w:proofErr w:type="spellStart"/>
            <w:r w:rsidRPr="00D8283E">
              <w:rPr>
                <w:rFonts w:ascii="Calibri" w:eastAsia="Times New Roman" w:hAnsi="Calibri" w:cs="Calibri"/>
                <w:color w:val="000000"/>
                <w:lang w:eastAsia="en-CA"/>
              </w:rPr>
              <w:t>Ebi</w:t>
            </w:r>
            <w:proofErr w:type="spellEnd"/>
            <w:r w:rsidRPr="00D8283E">
              <w:rPr>
                <w:rFonts w:ascii="Calibri" w:eastAsia="Times New Roman" w:hAnsi="Calibri" w:cs="Calibri"/>
                <w:color w:val="000000"/>
                <w:lang w:eastAsia="en-CA"/>
              </w:rPr>
              <w:t xml:space="preserve"> 1-6)</w:t>
            </w:r>
          </w:p>
        </w:tc>
      </w:tr>
      <w:tr w:rsidR="00D8283E" w:rsidRPr="00D8283E" w14:paraId="54A4C235" w14:textId="77777777" w:rsidTr="00855B62">
        <w:tc>
          <w:tcPr>
            <w:tcW w:w="9350" w:type="dxa"/>
          </w:tcPr>
          <w:p w14:paraId="3E300E63" w14:textId="77777777" w:rsidR="00D8283E" w:rsidRPr="00D8283E" w:rsidRDefault="00D8283E" w:rsidP="00D8283E">
            <w:pPr>
              <w:rPr>
                <w:rFonts w:ascii="Roboto" w:hAnsi="Roboto"/>
                <w:color w:val="212121"/>
                <w:sz w:val="26"/>
                <w:szCs w:val="26"/>
                <w:shd w:val="clear" w:color="auto" w:fill="FFFFFF"/>
              </w:rPr>
            </w:pPr>
          </w:p>
        </w:tc>
      </w:tr>
      <w:tr w:rsidR="00D8283E" w:rsidRPr="00D8283E" w14:paraId="5EBB16DD" w14:textId="77777777" w:rsidTr="00855B62">
        <w:tc>
          <w:tcPr>
            <w:tcW w:w="9350" w:type="dxa"/>
          </w:tcPr>
          <w:p w14:paraId="4FBB47B7"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Competencies addressed (GCCEH 1-5)</w:t>
            </w:r>
          </w:p>
        </w:tc>
      </w:tr>
      <w:tr w:rsidR="00D8283E" w:rsidRPr="00D8283E" w14:paraId="39074C2B" w14:textId="77777777" w:rsidTr="00855B62">
        <w:tc>
          <w:tcPr>
            <w:tcW w:w="9350" w:type="dxa"/>
          </w:tcPr>
          <w:p w14:paraId="4A68FEE4" w14:textId="77777777" w:rsidR="00D8283E" w:rsidRPr="00D8283E" w:rsidRDefault="00D8283E" w:rsidP="00D8283E"/>
        </w:tc>
      </w:tr>
      <w:tr w:rsidR="00D8283E" w:rsidRPr="00D8283E" w14:paraId="28C3B1F3" w14:textId="77777777" w:rsidTr="00855B62">
        <w:tc>
          <w:tcPr>
            <w:tcW w:w="9350" w:type="dxa"/>
          </w:tcPr>
          <w:p w14:paraId="6801D134"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Target health professional group</w:t>
            </w:r>
          </w:p>
        </w:tc>
      </w:tr>
      <w:tr w:rsidR="00D8283E" w:rsidRPr="00D8283E" w14:paraId="55C3E4AF" w14:textId="77777777" w:rsidTr="00855B62">
        <w:tc>
          <w:tcPr>
            <w:tcW w:w="9350" w:type="dxa"/>
          </w:tcPr>
          <w:p w14:paraId="768E8CFE" w14:textId="77777777" w:rsidR="00D8283E" w:rsidRPr="00D8283E" w:rsidRDefault="00D8283E" w:rsidP="00D8283E">
            <w:pPr>
              <w:rPr>
                <w:rFonts w:ascii="Calibri" w:eastAsia="Times New Roman" w:hAnsi="Calibri" w:cs="Calibri"/>
                <w:color w:val="000000"/>
                <w:lang w:eastAsia="en-CA"/>
              </w:rPr>
            </w:pPr>
          </w:p>
        </w:tc>
      </w:tr>
      <w:tr w:rsidR="00D8283E" w:rsidRPr="00D8283E" w14:paraId="56AD25E7" w14:textId="77777777" w:rsidTr="00855B62">
        <w:tc>
          <w:tcPr>
            <w:tcW w:w="9350" w:type="dxa"/>
          </w:tcPr>
          <w:p w14:paraId="5728E384" w14:textId="77777777" w:rsidR="00D8283E" w:rsidRPr="00D8283E" w:rsidRDefault="00D8283E" w:rsidP="00D8283E">
            <w:pPr>
              <w:rPr>
                <w:rFonts w:ascii="Calibri" w:eastAsia="Times New Roman" w:hAnsi="Calibri" w:cs="Calibri"/>
                <w:color w:val="000000"/>
                <w:lang w:eastAsia="en-CA"/>
              </w:rPr>
            </w:pPr>
          </w:p>
        </w:tc>
      </w:tr>
      <w:tr w:rsidR="00D8283E" w:rsidRPr="00D8283E" w14:paraId="07A24621" w14:textId="77777777" w:rsidTr="00855B62">
        <w:tc>
          <w:tcPr>
            <w:tcW w:w="9350" w:type="dxa"/>
          </w:tcPr>
          <w:p w14:paraId="4B93FEC9"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color w:val="000000"/>
                <w:lang w:eastAsia="en-CA"/>
              </w:rPr>
              <w:t>Key Findings</w:t>
            </w:r>
          </w:p>
        </w:tc>
      </w:tr>
      <w:tr w:rsidR="00D8283E" w:rsidRPr="00D8283E" w14:paraId="17727301" w14:textId="77777777" w:rsidTr="00855B62">
        <w:tc>
          <w:tcPr>
            <w:tcW w:w="9350" w:type="dxa"/>
          </w:tcPr>
          <w:p w14:paraId="7769230C" w14:textId="77777777" w:rsidR="00D8283E" w:rsidRPr="00D8283E" w:rsidRDefault="00D8283E" w:rsidP="00D8283E"/>
        </w:tc>
      </w:tr>
      <w:tr w:rsidR="00D8283E" w:rsidRPr="00D8283E" w14:paraId="0F8B7ED8" w14:textId="77777777" w:rsidTr="00855B62">
        <w:tc>
          <w:tcPr>
            <w:tcW w:w="9350" w:type="dxa"/>
          </w:tcPr>
          <w:p w14:paraId="1CB2B9B8" w14:textId="77777777" w:rsidR="00D8283E" w:rsidRPr="00D8283E" w:rsidRDefault="00D8283E" w:rsidP="00D8283E">
            <w:pPr>
              <w:rPr>
                <w:rFonts w:ascii="Calibri" w:eastAsia="Times New Roman" w:hAnsi="Calibri" w:cs="Calibri"/>
                <w:color w:val="000000"/>
                <w:lang w:eastAsia="en-CA"/>
              </w:rPr>
            </w:pPr>
            <w:r w:rsidRPr="00D8283E">
              <w:rPr>
                <w:rFonts w:ascii="Calibri" w:eastAsia="Times New Roman" w:hAnsi="Calibri" w:cs="Calibri"/>
                <w:lang w:eastAsia="en-CA"/>
              </w:rPr>
              <w:t>Teaching materials available Y/N</w:t>
            </w:r>
          </w:p>
        </w:tc>
      </w:tr>
    </w:tbl>
    <w:p w14:paraId="7318EFEA" w14:textId="77777777" w:rsidR="00906651" w:rsidRPr="00D8283E" w:rsidRDefault="00906651" w:rsidP="00D8283E">
      <w:pPr>
        <w:keepNext/>
        <w:keepLines/>
        <w:spacing w:before="360" w:after="80" w:line="278" w:lineRule="auto"/>
        <w:outlineLvl w:val="0"/>
        <w:rPr>
          <w:rFonts w:asciiTheme="majorHAnsi" w:eastAsiaTheme="majorEastAsia" w:hAnsiTheme="majorHAnsi" w:cstheme="majorBidi"/>
          <w:color w:val="0F4761" w:themeColor="accent1" w:themeShade="BF"/>
          <w:kern w:val="2"/>
          <w:sz w:val="40"/>
          <w:szCs w:val="40"/>
          <w:lang w:val="en-US"/>
          <w14:ligatures w14:val="standardContextual"/>
        </w:rPr>
      </w:pPr>
    </w:p>
    <w:p w14:paraId="5F7F5B1E" w14:textId="77777777" w:rsidR="00D8283E" w:rsidRPr="00D8283E" w:rsidRDefault="00D8283E" w:rsidP="007C0914">
      <w:pPr>
        <w:pStyle w:val="Heading1"/>
        <w:rPr>
          <w:lang w:val="en-US"/>
        </w:rPr>
      </w:pPr>
      <w:bookmarkStart w:id="112" w:name="_Toc225937232"/>
      <w:r w:rsidRPr="00D8283E">
        <w:rPr>
          <w:lang w:val="en-US"/>
        </w:rPr>
        <w:t>References</w:t>
      </w:r>
      <w:bookmarkEnd w:id="112"/>
    </w:p>
    <w:p w14:paraId="6A9984FC" w14:textId="77777777" w:rsidR="00D8283E" w:rsidRPr="00D8283E" w:rsidRDefault="00D8283E" w:rsidP="00D8283E">
      <w:pPr>
        <w:spacing w:line="278" w:lineRule="auto"/>
        <w:rPr>
          <w:kern w:val="2"/>
          <w:sz w:val="24"/>
          <w:szCs w:val="24"/>
          <w:lang w:val="en-US"/>
          <w14:ligatures w14:val="standardContextual"/>
        </w:rPr>
      </w:pPr>
    </w:p>
    <w:p w14:paraId="1E8FA08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Aasheim</w:t>
      </w:r>
      <w:proofErr w:type="spellEnd"/>
      <w:r w:rsidRPr="00D8283E">
        <w:rPr>
          <w:rFonts w:ascii="Times New Roman" w:eastAsia="Times New Roman" w:hAnsi="Times New Roman" w:cs="Times New Roman"/>
          <w:kern w:val="2"/>
          <w:sz w:val="24"/>
          <w:szCs w:val="24"/>
          <w:lang w:eastAsia="en-CA"/>
          <w14:ligatures w14:val="standardContextual"/>
        </w:rPr>
        <w:t xml:space="preserve"> ET, Bhopal AS, O’Brien K, Lie AK, </w:t>
      </w:r>
      <w:proofErr w:type="spellStart"/>
      <w:r w:rsidRPr="00D8283E">
        <w:rPr>
          <w:rFonts w:ascii="Times New Roman" w:eastAsia="Times New Roman" w:hAnsi="Times New Roman" w:cs="Times New Roman"/>
          <w:kern w:val="2"/>
          <w:sz w:val="24"/>
          <w:szCs w:val="24"/>
          <w:lang w:eastAsia="en-CA"/>
          <w14:ligatures w14:val="standardContextual"/>
        </w:rPr>
        <w:t>Nakstad</w:t>
      </w:r>
      <w:proofErr w:type="spellEnd"/>
      <w:r w:rsidRPr="00D8283E">
        <w:rPr>
          <w:rFonts w:ascii="Times New Roman" w:eastAsia="Times New Roman" w:hAnsi="Times New Roman" w:cs="Times New Roman"/>
          <w:kern w:val="2"/>
          <w:sz w:val="24"/>
          <w:szCs w:val="24"/>
          <w:lang w:eastAsia="en-CA"/>
          <w14:ligatures w14:val="standardContextual"/>
        </w:rPr>
        <w:t xml:space="preserve"> ER, Andersen LF, et al. Climate change and health: a 2-week course for medical students to inspire change. The Lancet Planetary Health [Internet]. 2023 Jan 1;7(1</w:t>
      </w:r>
      <w:proofErr w:type="gramStart"/>
      <w:r w:rsidRPr="00D8283E">
        <w:rPr>
          <w:rFonts w:ascii="Times New Roman" w:eastAsia="Times New Roman" w:hAnsi="Times New Roman" w:cs="Times New Roman"/>
          <w:kern w:val="2"/>
          <w:sz w:val="24"/>
          <w:szCs w:val="24"/>
          <w:lang w:eastAsia="en-CA"/>
          <w14:ligatures w14:val="standardContextual"/>
        </w:rPr>
        <w:t>):e</w:t>
      </w:r>
      <w:proofErr w:type="gramEnd"/>
      <w:r w:rsidRPr="00D8283E">
        <w:rPr>
          <w:rFonts w:ascii="Times New Roman" w:eastAsia="Times New Roman" w:hAnsi="Times New Roman" w:cs="Times New Roman"/>
          <w:kern w:val="2"/>
          <w:sz w:val="24"/>
          <w:szCs w:val="24"/>
          <w:lang w:eastAsia="en-CA"/>
          <w14:ligatures w14:val="standardContextual"/>
        </w:rPr>
        <w:t>12–4. Available from: https://doi.org/10.1016/s2542-5196(22)00304-7</w:t>
      </w:r>
    </w:p>
    <w:p w14:paraId="070DFA84"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Adler RH. Engel’s biopsychosocial model is still relevant today. Journal of Psychosomatic Research [Internet]. 2009 Nov 14;67(6):607–11. Available from: https://doi.org/10.1016/j.jpsychores.2009.08.008</w:t>
      </w:r>
    </w:p>
    <w:p w14:paraId="3E505885" w14:textId="77777777" w:rsidR="00D8283E" w:rsidRPr="00D8283E" w:rsidRDefault="00D8283E" w:rsidP="00D8283E">
      <w:pPr>
        <w:spacing w:line="278"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14:ligatures w14:val="standardContextual"/>
        </w:rPr>
        <w:t xml:space="preserve">Affleck A, Roshan A, </w:t>
      </w:r>
      <w:proofErr w:type="spellStart"/>
      <w:r w:rsidRPr="00D8283E">
        <w:rPr>
          <w:rFonts w:ascii="Times New Roman" w:hAnsi="Times New Roman" w:cs="Times New Roman"/>
          <w:kern w:val="2"/>
          <w:sz w:val="24"/>
          <w:szCs w:val="24"/>
          <w14:ligatures w14:val="standardContextual"/>
        </w:rPr>
        <w:t>Stroshein</w:t>
      </w:r>
      <w:proofErr w:type="spellEnd"/>
      <w:r w:rsidRPr="00D8283E">
        <w:rPr>
          <w:rFonts w:ascii="Times New Roman" w:hAnsi="Times New Roman" w:cs="Times New Roman"/>
          <w:kern w:val="2"/>
          <w:sz w:val="24"/>
          <w:szCs w:val="24"/>
          <w14:ligatures w14:val="standardContextual"/>
        </w:rPr>
        <w:t xml:space="preserve"> S, Walker C, Luo OD. CFMS HEART National Report on Planetary Health Education 2021. Canadian Federation of Medical Students Health and Environment Committee (CFMS HEART Committee); 2021 Aug.</w:t>
      </w:r>
    </w:p>
    <w:p w14:paraId="2B60B37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AghaKouchak</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Huning</w:t>
      </w:r>
      <w:proofErr w:type="spellEnd"/>
      <w:r w:rsidRPr="00D8283E">
        <w:rPr>
          <w:rFonts w:ascii="Times New Roman" w:eastAsia="Times New Roman" w:hAnsi="Times New Roman" w:cs="Times New Roman"/>
          <w:kern w:val="2"/>
          <w:sz w:val="24"/>
          <w:szCs w:val="24"/>
          <w:lang w:eastAsia="en-CA"/>
          <w14:ligatures w14:val="standardContextual"/>
        </w:rPr>
        <w:t xml:space="preserve"> LS, Chiang F, Sadegh M, </w:t>
      </w:r>
      <w:proofErr w:type="spellStart"/>
      <w:r w:rsidRPr="00D8283E">
        <w:rPr>
          <w:rFonts w:ascii="Times New Roman" w:eastAsia="Times New Roman" w:hAnsi="Times New Roman" w:cs="Times New Roman"/>
          <w:kern w:val="2"/>
          <w:sz w:val="24"/>
          <w:szCs w:val="24"/>
          <w:lang w:eastAsia="en-CA"/>
          <w14:ligatures w14:val="standardContextual"/>
        </w:rPr>
        <w:t>Vahedifard</w:t>
      </w:r>
      <w:proofErr w:type="spellEnd"/>
      <w:r w:rsidRPr="00D8283E">
        <w:rPr>
          <w:rFonts w:ascii="Times New Roman" w:eastAsia="Times New Roman" w:hAnsi="Times New Roman" w:cs="Times New Roman"/>
          <w:kern w:val="2"/>
          <w:sz w:val="24"/>
          <w:szCs w:val="24"/>
          <w:lang w:eastAsia="en-CA"/>
          <w14:ligatures w14:val="standardContextual"/>
        </w:rPr>
        <w:t xml:space="preserve"> F, </w:t>
      </w:r>
      <w:proofErr w:type="spellStart"/>
      <w:r w:rsidRPr="00D8283E">
        <w:rPr>
          <w:rFonts w:ascii="Times New Roman" w:eastAsia="Times New Roman" w:hAnsi="Times New Roman" w:cs="Times New Roman"/>
          <w:kern w:val="2"/>
          <w:sz w:val="24"/>
          <w:szCs w:val="24"/>
          <w:lang w:eastAsia="en-CA"/>
          <w14:ligatures w14:val="standardContextual"/>
        </w:rPr>
        <w:t>Mazdiyasni</w:t>
      </w:r>
      <w:proofErr w:type="spellEnd"/>
      <w:r w:rsidRPr="00D8283E">
        <w:rPr>
          <w:rFonts w:ascii="Times New Roman" w:eastAsia="Times New Roman" w:hAnsi="Times New Roman" w:cs="Times New Roman"/>
          <w:kern w:val="2"/>
          <w:sz w:val="24"/>
          <w:szCs w:val="24"/>
          <w:lang w:eastAsia="en-CA"/>
          <w14:ligatures w14:val="standardContextual"/>
        </w:rPr>
        <w:t xml:space="preserve"> O, et al. How do natural hazards cascade to cause disasters? Nature [Internet]. 2018 Sep 1;561(7724):458–60. Available from: https://doi.org/10.1038/d41586-018-06783-6</w:t>
      </w:r>
    </w:p>
    <w:p w14:paraId="37D2C60F" w14:textId="55E01399"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Agyapong B, </w:t>
      </w:r>
      <w:proofErr w:type="spellStart"/>
      <w:r w:rsidRPr="00D8283E">
        <w:rPr>
          <w:rFonts w:ascii="Times New Roman" w:eastAsia="Times New Roman" w:hAnsi="Times New Roman" w:cs="Times New Roman"/>
          <w:kern w:val="2"/>
          <w:sz w:val="24"/>
          <w:szCs w:val="24"/>
          <w:lang w:eastAsia="en-CA"/>
          <w14:ligatures w14:val="standardContextual"/>
        </w:rPr>
        <w:t>Eboreime</w:t>
      </w:r>
      <w:proofErr w:type="spellEnd"/>
      <w:r w:rsidRPr="00D8283E">
        <w:rPr>
          <w:rFonts w:ascii="Times New Roman" w:eastAsia="Times New Roman" w:hAnsi="Times New Roman" w:cs="Times New Roman"/>
          <w:kern w:val="2"/>
          <w:sz w:val="24"/>
          <w:szCs w:val="24"/>
          <w:lang w:eastAsia="en-CA"/>
          <w14:ligatures w14:val="standardContextual"/>
        </w:rPr>
        <w:t xml:space="preserve"> E, </w:t>
      </w:r>
      <w:proofErr w:type="spellStart"/>
      <w:r w:rsidRPr="00D8283E">
        <w:rPr>
          <w:rFonts w:ascii="Times New Roman" w:eastAsia="Times New Roman" w:hAnsi="Times New Roman" w:cs="Times New Roman"/>
          <w:kern w:val="2"/>
          <w:sz w:val="24"/>
          <w:szCs w:val="24"/>
          <w:lang w:eastAsia="en-CA"/>
          <w14:ligatures w14:val="standardContextual"/>
        </w:rPr>
        <w:t>Shalaby</w:t>
      </w:r>
      <w:proofErr w:type="spellEnd"/>
      <w:r w:rsidRPr="00D8283E">
        <w:rPr>
          <w:rFonts w:ascii="Times New Roman" w:eastAsia="Times New Roman" w:hAnsi="Times New Roman" w:cs="Times New Roman"/>
          <w:kern w:val="2"/>
          <w:sz w:val="24"/>
          <w:szCs w:val="24"/>
          <w:lang w:eastAsia="en-CA"/>
          <w14:ligatures w14:val="standardContextual"/>
        </w:rPr>
        <w:t xml:space="preserve"> R, </w:t>
      </w:r>
      <w:proofErr w:type="spellStart"/>
      <w:r w:rsidRPr="00D8283E">
        <w:rPr>
          <w:rFonts w:ascii="Times New Roman" w:eastAsia="Times New Roman" w:hAnsi="Times New Roman" w:cs="Times New Roman"/>
          <w:kern w:val="2"/>
          <w:sz w:val="24"/>
          <w:szCs w:val="24"/>
          <w:lang w:eastAsia="en-CA"/>
          <w14:ligatures w14:val="standardContextual"/>
        </w:rPr>
        <w:t>Pazderka</w:t>
      </w:r>
      <w:proofErr w:type="spellEnd"/>
      <w:r w:rsidRPr="00D8283E">
        <w:rPr>
          <w:rFonts w:ascii="Times New Roman" w:eastAsia="Times New Roman" w:hAnsi="Times New Roman" w:cs="Times New Roman"/>
          <w:kern w:val="2"/>
          <w:sz w:val="24"/>
          <w:szCs w:val="24"/>
          <w:lang w:eastAsia="en-CA"/>
          <w14:ligatures w14:val="standardContextual"/>
        </w:rPr>
        <w:t xml:space="preserve"> H, </w:t>
      </w:r>
      <w:proofErr w:type="spellStart"/>
      <w:r w:rsidRPr="00D8283E">
        <w:rPr>
          <w:rFonts w:ascii="Times New Roman" w:eastAsia="Times New Roman" w:hAnsi="Times New Roman" w:cs="Times New Roman"/>
          <w:kern w:val="2"/>
          <w:sz w:val="24"/>
          <w:szCs w:val="24"/>
          <w:lang w:eastAsia="en-CA"/>
          <w14:ligatures w14:val="standardContextual"/>
        </w:rPr>
        <w:t>Obuobi</w:t>
      </w:r>
      <w:proofErr w:type="spellEnd"/>
      <w:r w:rsidRPr="00D8283E">
        <w:rPr>
          <w:rFonts w:ascii="Times New Roman" w:eastAsia="Times New Roman" w:hAnsi="Times New Roman" w:cs="Times New Roman"/>
          <w:kern w:val="2"/>
          <w:sz w:val="24"/>
          <w:szCs w:val="24"/>
          <w:lang w:eastAsia="en-CA"/>
          <w14:ligatures w14:val="standardContextual"/>
        </w:rPr>
        <w:t xml:space="preserve">-Donkor G, </w:t>
      </w:r>
      <w:proofErr w:type="spellStart"/>
      <w:r w:rsidRPr="00D8283E">
        <w:rPr>
          <w:rFonts w:ascii="Times New Roman" w:eastAsia="Times New Roman" w:hAnsi="Times New Roman" w:cs="Times New Roman"/>
          <w:kern w:val="2"/>
          <w:sz w:val="24"/>
          <w:szCs w:val="24"/>
          <w:lang w:eastAsia="en-CA"/>
          <w14:ligatures w14:val="standardContextual"/>
        </w:rPr>
        <w:t>Adu</w:t>
      </w:r>
      <w:proofErr w:type="spellEnd"/>
      <w:r w:rsidRPr="00D8283E">
        <w:rPr>
          <w:rFonts w:ascii="Times New Roman" w:eastAsia="Times New Roman" w:hAnsi="Times New Roman" w:cs="Times New Roman"/>
          <w:kern w:val="2"/>
          <w:sz w:val="24"/>
          <w:szCs w:val="24"/>
          <w:lang w:eastAsia="en-CA"/>
          <w14:ligatures w14:val="standardContextual"/>
        </w:rPr>
        <w:t xml:space="preserve"> MK, et al. Mental health Impacts of wildfire, flooding and COVID-19 on Fort McMurray School board staff and other employees: a comparative study. International Journal of Environmental Research and Public Health [Internet]. 2021 Dec 31;19(1):435. Available from: </w:t>
      </w:r>
      <w:hyperlink r:id="rId24" w:history="1">
        <w:r w:rsidR="009E0DE9" w:rsidRPr="001E0C8C">
          <w:rPr>
            <w:rStyle w:val="Hyperlink"/>
            <w:rFonts w:ascii="Times New Roman" w:eastAsia="Times New Roman" w:hAnsi="Times New Roman" w:cs="Times New Roman"/>
            <w:kern w:val="2"/>
            <w:sz w:val="24"/>
            <w:szCs w:val="24"/>
            <w:lang w:eastAsia="en-CA"/>
            <w14:ligatures w14:val="standardContextual"/>
          </w:rPr>
          <w:t>https://doi.org/10.3390/ijerph19010435</w:t>
        </w:r>
      </w:hyperlink>
    </w:p>
    <w:p w14:paraId="63F7FB2D" w14:textId="3C0DCBAB" w:rsidR="009E0DE9" w:rsidRPr="00824053" w:rsidRDefault="009E0DE9" w:rsidP="00824053">
      <w:pPr>
        <w:spacing w:after="0" w:line="360" w:lineRule="auto"/>
        <w:ind w:firstLine="720"/>
        <w:rPr>
          <w:rFonts w:ascii="Times New Roman" w:eastAsia="Times New Roman" w:hAnsi="Times New Roman" w:cs="Times New Roman"/>
          <w:color w:val="1B1B1B"/>
          <w:sz w:val="24"/>
          <w:szCs w:val="24"/>
          <w:lang w:eastAsia="en-CA"/>
        </w:rPr>
      </w:pPr>
      <w:r w:rsidRPr="00824053">
        <w:rPr>
          <w:rFonts w:ascii="Times New Roman" w:eastAsia="Times New Roman" w:hAnsi="Times New Roman" w:cs="Times New Roman"/>
          <w:color w:val="1B1B1B"/>
          <w:sz w:val="24"/>
          <w:szCs w:val="24"/>
          <w:lang w:eastAsia="en-CA"/>
        </w:rPr>
        <w:t>Al-</w:t>
      </w:r>
      <w:proofErr w:type="spellStart"/>
      <w:r w:rsidRPr="00824053">
        <w:rPr>
          <w:rFonts w:ascii="Times New Roman" w:eastAsia="Times New Roman" w:hAnsi="Times New Roman" w:cs="Times New Roman"/>
          <w:color w:val="1B1B1B"/>
          <w:sz w:val="24"/>
          <w:szCs w:val="24"/>
          <w:lang w:eastAsia="en-CA"/>
        </w:rPr>
        <w:t>Omary</w:t>
      </w:r>
      <w:proofErr w:type="spellEnd"/>
      <w:r w:rsidRPr="00824053">
        <w:rPr>
          <w:rFonts w:ascii="Times New Roman" w:eastAsia="Times New Roman" w:hAnsi="Times New Roman" w:cs="Times New Roman"/>
          <w:color w:val="1B1B1B"/>
          <w:sz w:val="24"/>
          <w:szCs w:val="24"/>
          <w:lang w:eastAsia="en-CA"/>
        </w:rPr>
        <w:t xml:space="preserve"> H, </w:t>
      </w:r>
      <w:proofErr w:type="spellStart"/>
      <w:r w:rsidRPr="00824053">
        <w:rPr>
          <w:rFonts w:ascii="Times New Roman" w:eastAsia="Times New Roman" w:hAnsi="Times New Roman" w:cs="Times New Roman"/>
          <w:color w:val="1B1B1B"/>
          <w:sz w:val="24"/>
          <w:szCs w:val="24"/>
          <w:lang w:eastAsia="en-CA"/>
        </w:rPr>
        <w:t>Soltani</w:t>
      </w:r>
      <w:proofErr w:type="spellEnd"/>
      <w:r w:rsidRPr="00824053">
        <w:rPr>
          <w:rFonts w:ascii="Times New Roman" w:eastAsia="Times New Roman" w:hAnsi="Times New Roman" w:cs="Times New Roman"/>
          <w:color w:val="1B1B1B"/>
          <w:sz w:val="24"/>
          <w:szCs w:val="24"/>
          <w:lang w:eastAsia="en-CA"/>
        </w:rPr>
        <w:t xml:space="preserve"> A, Stewart D, </w:t>
      </w:r>
      <w:proofErr w:type="spellStart"/>
      <w:r w:rsidRPr="00824053">
        <w:rPr>
          <w:rFonts w:ascii="Times New Roman" w:eastAsia="Times New Roman" w:hAnsi="Times New Roman" w:cs="Times New Roman"/>
          <w:color w:val="1B1B1B"/>
          <w:sz w:val="24"/>
          <w:szCs w:val="24"/>
          <w:lang w:eastAsia="en-CA"/>
        </w:rPr>
        <w:t>Nazar</w:t>
      </w:r>
      <w:proofErr w:type="spellEnd"/>
      <w:r w:rsidRPr="00824053">
        <w:rPr>
          <w:rFonts w:ascii="Times New Roman" w:eastAsia="Times New Roman" w:hAnsi="Times New Roman" w:cs="Times New Roman"/>
          <w:color w:val="1B1B1B"/>
          <w:sz w:val="24"/>
          <w:szCs w:val="24"/>
          <w:lang w:eastAsia="en-CA"/>
        </w:rPr>
        <w:t xml:space="preserve"> Z. Implementing learning into practice from continuous professional development activities: a scoping review of health professionals' views and experiences. BMC Med Educ. 2024 Sep 20;24(1):1031. </w:t>
      </w:r>
      <w:proofErr w:type="spellStart"/>
      <w:r w:rsidRPr="00824053">
        <w:rPr>
          <w:rFonts w:ascii="Times New Roman" w:eastAsia="Times New Roman" w:hAnsi="Times New Roman" w:cs="Times New Roman"/>
          <w:color w:val="1B1B1B"/>
          <w:sz w:val="24"/>
          <w:szCs w:val="24"/>
          <w:lang w:eastAsia="en-CA"/>
        </w:rPr>
        <w:t>doi</w:t>
      </w:r>
      <w:proofErr w:type="spellEnd"/>
      <w:r w:rsidRPr="00824053">
        <w:rPr>
          <w:rFonts w:ascii="Times New Roman" w:eastAsia="Times New Roman" w:hAnsi="Times New Roman" w:cs="Times New Roman"/>
          <w:color w:val="1B1B1B"/>
          <w:sz w:val="24"/>
          <w:szCs w:val="24"/>
          <w:lang w:eastAsia="en-CA"/>
        </w:rPr>
        <w:t>: 10.1186/s12909-024-06016-7. PMID: 39304841; PMCID: PMC11414194.</w:t>
      </w:r>
    </w:p>
    <w:p w14:paraId="2C050CC2"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Alban-Metcalfe J, </w:t>
      </w:r>
      <w:proofErr w:type="spellStart"/>
      <w:r w:rsidRPr="00D8283E">
        <w:rPr>
          <w:rFonts w:ascii="Times New Roman" w:eastAsia="Times New Roman" w:hAnsi="Times New Roman" w:cs="Times New Roman"/>
          <w:kern w:val="2"/>
          <w:sz w:val="24"/>
          <w:szCs w:val="24"/>
          <w:lang w:eastAsia="en-GB"/>
          <w14:ligatures w14:val="standardContextual"/>
        </w:rPr>
        <w:t>Alimo</w:t>
      </w:r>
      <w:proofErr w:type="spellEnd"/>
      <w:r w:rsidRPr="00D8283E">
        <w:rPr>
          <w:rFonts w:ascii="Times New Roman" w:eastAsia="Times New Roman" w:hAnsi="Times New Roman" w:cs="Times New Roman"/>
          <w:kern w:val="2"/>
          <w:sz w:val="24"/>
          <w:szCs w:val="24"/>
          <w:lang w:eastAsia="en-GB"/>
          <w14:ligatures w14:val="standardContextual"/>
        </w:rPr>
        <w:t>-Metcalfe B. Reliability and validity of the “leadership competencies and engaging leadership scale.” International Journal of Public Sector Management [Internet]. 2013 Jan 17;26(1):56–73. Available from: https://doi.org/10.1108/09513551311294281</w:t>
      </w:r>
    </w:p>
    <w:p w14:paraId="58C74A1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lastRenderedPageBreak/>
        <w:t xml:space="preserve">Alexander M, Alexander J, Arora M, Slocum C, Middleton J. A </w:t>
      </w:r>
      <w:proofErr w:type="spellStart"/>
      <w:r w:rsidRPr="00D8283E">
        <w:rPr>
          <w:rFonts w:ascii="Times New Roman" w:eastAsia="Times New Roman" w:hAnsi="Times New Roman" w:cs="Times New Roman"/>
          <w:kern w:val="2"/>
          <w:sz w:val="24"/>
          <w:szCs w:val="24"/>
          <w:lang w:eastAsia="en-GB"/>
          <w14:ligatures w14:val="standardContextual"/>
        </w:rPr>
        <w:t>bellweather</w:t>
      </w:r>
      <w:proofErr w:type="spellEnd"/>
      <w:r w:rsidRPr="00D8283E">
        <w:rPr>
          <w:rFonts w:ascii="Times New Roman" w:eastAsia="Times New Roman" w:hAnsi="Times New Roman" w:cs="Times New Roman"/>
          <w:kern w:val="2"/>
          <w:sz w:val="24"/>
          <w:szCs w:val="24"/>
          <w:lang w:eastAsia="en-GB"/>
          <w14:ligatures w14:val="standardContextual"/>
        </w:rPr>
        <w:t xml:space="preserve"> for climate change and disability: educational needs of rehabilitation professionals regarding disaster management and spinal cord injuries. Spinal Cord Series and Cases [Internet]. 2019 Nov 15;5(1). Available from: https://doi.org/10.1038/s41394-019-0239-z</w:t>
      </w:r>
    </w:p>
    <w:p w14:paraId="707319FE"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All Our Health: Climate change [Internet]. Available from: https://portal.e-lfh.org.uk/Component/Details/752711</w:t>
      </w:r>
    </w:p>
    <w:p w14:paraId="0AB90ED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Allemang</w:t>
      </w:r>
      <w:proofErr w:type="spellEnd"/>
      <w:r w:rsidRPr="00D8283E">
        <w:rPr>
          <w:rFonts w:ascii="Times New Roman" w:eastAsia="Times New Roman" w:hAnsi="Times New Roman" w:cs="Times New Roman"/>
          <w:kern w:val="2"/>
          <w:sz w:val="24"/>
          <w:szCs w:val="24"/>
          <w:lang w:eastAsia="en-CA"/>
          <w14:ligatures w14:val="standardContextual"/>
        </w:rPr>
        <w:t xml:space="preserve">, B., Sitter, K. and </w:t>
      </w:r>
      <w:proofErr w:type="spellStart"/>
      <w:r w:rsidRPr="00D8283E">
        <w:rPr>
          <w:rFonts w:ascii="Times New Roman" w:eastAsia="Times New Roman" w:hAnsi="Times New Roman" w:cs="Times New Roman"/>
          <w:kern w:val="2"/>
          <w:sz w:val="24"/>
          <w:szCs w:val="24"/>
          <w:lang w:eastAsia="en-CA"/>
          <w14:ligatures w14:val="standardContextual"/>
        </w:rPr>
        <w:t>Dimitropoulos</w:t>
      </w:r>
      <w:proofErr w:type="spellEnd"/>
      <w:r w:rsidRPr="00D8283E">
        <w:rPr>
          <w:rFonts w:ascii="Times New Roman" w:eastAsia="Times New Roman" w:hAnsi="Times New Roman" w:cs="Times New Roman"/>
          <w:kern w:val="2"/>
          <w:sz w:val="24"/>
          <w:szCs w:val="24"/>
          <w:lang w:eastAsia="en-CA"/>
          <w14:ligatures w14:val="standardContextual"/>
        </w:rPr>
        <w:t xml:space="preserve">, G. (2022) ‘Pragmatism as a paradigm for patient-oriented research’, </w:t>
      </w:r>
      <w:r w:rsidRPr="00D8283E">
        <w:rPr>
          <w:rFonts w:ascii="Times New Roman" w:eastAsia="Times New Roman" w:hAnsi="Times New Roman" w:cs="Times New Roman"/>
          <w:i/>
          <w:iCs/>
          <w:kern w:val="2"/>
          <w:sz w:val="24"/>
          <w:szCs w:val="24"/>
          <w:lang w:eastAsia="en-CA"/>
          <w14:ligatures w14:val="standardContextual"/>
        </w:rPr>
        <w:t>Health Expectations</w:t>
      </w:r>
      <w:r w:rsidRPr="00D8283E">
        <w:rPr>
          <w:rFonts w:ascii="Times New Roman" w:eastAsia="Times New Roman" w:hAnsi="Times New Roman" w:cs="Times New Roman"/>
          <w:kern w:val="2"/>
          <w:sz w:val="24"/>
          <w:szCs w:val="24"/>
          <w:lang w:eastAsia="en-CA"/>
          <w14:ligatures w14:val="standardContextual"/>
        </w:rPr>
        <w:t>, 25(1), pp. 38–47.</w:t>
      </w:r>
    </w:p>
    <w:p w14:paraId="787B721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hAnsi="Times New Roman" w:cs="Times New Roman"/>
          <w:color w:val="05103E"/>
          <w:kern w:val="2"/>
          <w:sz w:val="24"/>
          <w:szCs w:val="24"/>
          <w14:ligatures w14:val="standardContextual"/>
        </w:rPr>
        <w:t>Alsiö</w:t>
      </w:r>
      <w:proofErr w:type="spellEnd"/>
      <w:r w:rsidRPr="00D8283E">
        <w:rPr>
          <w:rFonts w:ascii="Times New Roman" w:hAnsi="Times New Roman" w:cs="Times New Roman"/>
          <w:color w:val="05103E"/>
          <w:kern w:val="2"/>
          <w:sz w:val="24"/>
          <w:szCs w:val="24"/>
          <w14:ligatures w14:val="standardContextual"/>
        </w:rPr>
        <w:t xml:space="preserve"> Å, </w:t>
      </w:r>
      <w:proofErr w:type="spellStart"/>
      <w:r w:rsidRPr="00D8283E">
        <w:rPr>
          <w:rFonts w:ascii="Times New Roman" w:hAnsi="Times New Roman" w:cs="Times New Roman"/>
          <w:color w:val="05103E"/>
          <w:kern w:val="2"/>
          <w:sz w:val="24"/>
          <w:szCs w:val="24"/>
          <w14:ligatures w14:val="standardContextual"/>
        </w:rPr>
        <w:t>Pettersson</w:t>
      </w:r>
      <w:proofErr w:type="spellEnd"/>
      <w:r w:rsidRPr="00D8283E">
        <w:rPr>
          <w:rFonts w:ascii="Times New Roman" w:hAnsi="Times New Roman" w:cs="Times New Roman"/>
          <w:color w:val="05103E"/>
          <w:kern w:val="2"/>
          <w:sz w:val="24"/>
          <w:szCs w:val="24"/>
          <w14:ligatures w14:val="standardContextual"/>
        </w:rPr>
        <w:t xml:space="preserve"> A, </w:t>
      </w:r>
      <w:proofErr w:type="spellStart"/>
      <w:r w:rsidRPr="00D8283E">
        <w:rPr>
          <w:rFonts w:ascii="Times New Roman" w:hAnsi="Times New Roman" w:cs="Times New Roman"/>
          <w:color w:val="05103E"/>
          <w:kern w:val="2"/>
          <w:sz w:val="24"/>
          <w:szCs w:val="24"/>
          <w14:ligatures w14:val="standardContextual"/>
        </w:rPr>
        <w:t>Silén</w:t>
      </w:r>
      <w:proofErr w:type="spellEnd"/>
      <w:r w:rsidRPr="00D8283E">
        <w:rPr>
          <w:rFonts w:ascii="Times New Roman" w:hAnsi="Times New Roman" w:cs="Times New Roman"/>
          <w:color w:val="05103E"/>
          <w:kern w:val="2"/>
          <w:sz w:val="24"/>
          <w:szCs w:val="24"/>
          <w14:ligatures w14:val="standardContextual"/>
        </w:rPr>
        <w:t xml:space="preserve"> C. Health care leaders’ perspectives on how continuous professional development can be promoted in a hospital organization. Journal of Continuing Education in the Health Professions [Internet]. 2022 Jun 20;42(3):159–63. Available from: </w:t>
      </w:r>
      <w:hyperlink r:id="rId25"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https://doi.org/10.1097/ceh.0000000000000451</w:t>
        </w:r>
      </w:hyperlink>
      <w:r w:rsidRPr="00D8283E">
        <w:rPr>
          <w:rFonts w:ascii="Times New Roman" w:eastAsia="Times New Roman" w:hAnsi="Times New Roman" w:cs="Times New Roman"/>
          <w:kern w:val="2"/>
          <w:sz w:val="24"/>
          <w:szCs w:val="24"/>
          <w:lang w:eastAsia="en-CA"/>
          <w14:ligatures w14:val="standardContextual"/>
        </w:rPr>
        <w:t xml:space="preserve"> </w:t>
      </w:r>
    </w:p>
    <w:p w14:paraId="32D6008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Álvarez-Nieto C, Álvarez-García C, Parra-</w:t>
      </w:r>
      <w:proofErr w:type="spellStart"/>
      <w:r w:rsidRPr="00D8283E">
        <w:rPr>
          <w:rFonts w:ascii="Times New Roman" w:eastAsia="Times New Roman" w:hAnsi="Times New Roman" w:cs="Times New Roman"/>
          <w:kern w:val="2"/>
          <w:sz w:val="24"/>
          <w:szCs w:val="24"/>
          <w:lang w:eastAsia="en-CA"/>
          <w14:ligatures w14:val="standardContextual"/>
        </w:rPr>
        <w:t>Anguita</w:t>
      </w:r>
      <w:proofErr w:type="spellEnd"/>
      <w:r w:rsidRPr="00D8283E">
        <w:rPr>
          <w:rFonts w:ascii="Times New Roman" w:eastAsia="Times New Roman" w:hAnsi="Times New Roman" w:cs="Times New Roman"/>
          <w:kern w:val="2"/>
          <w:sz w:val="24"/>
          <w:szCs w:val="24"/>
          <w:lang w:eastAsia="en-CA"/>
          <w14:ligatures w14:val="standardContextual"/>
        </w:rPr>
        <w:t xml:space="preserve"> L, Sanz-</w:t>
      </w:r>
      <w:proofErr w:type="spellStart"/>
      <w:r w:rsidRPr="00D8283E">
        <w:rPr>
          <w:rFonts w:ascii="Times New Roman" w:eastAsia="Times New Roman" w:hAnsi="Times New Roman" w:cs="Times New Roman"/>
          <w:kern w:val="2"/>
          <w:sz w:val="24"/>
          <w:szCs w:val="24"/>
          <w:lang w:eastAsia="en-CA"/>
          <w14:ligatures w14:val="standardContextual"/>
        </w:rPr>
        <w:t>Martos</w:t>
      </w:r>
      <w:proofErr w:type="spellEnd"/>
      <w:r w:rsidRPr="00D8283E">
        <w:rPr>
          <w:rFonts w:ascii="Times New Roman" w:eastAsia="Times New Roman" w:hAnsi="Times New Roman" w:cs="Times New Roman"/>
          <w:kern w:val="2"/>
          <w:sz w:val="24"/>
          <w:szCs w:val="24"/>
          <w:lang w:eastAsia="en-CA"/>
          <w14:ligatures w14:val="standardContextual"/>
        </w:rPr>
        <w:t xml:space="preserve"> S, López-Medina IM. Effectiveness of scenario-based learning and augmented reality for nursing students’ attitudes and awareness toward climate change and sustainability. BMC Nursing [Internet]. 2022 Sep 3;21(1). Available from: https://doi.org/10.1186/s12912-022-01023-9</w:t>
      </w:r>
    </w:p>
    <w:p w14:paraId="56E013A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Álvarez-Nieto C, Richardson J, Parra-</w:t>
      </w:r>
      <w:proofErr w:type="spellStart"/>
      <w:r w:rsidRPr="00D8283E">
        <w:rPr>
          <w:rFonts w:ascii="Times New Roman" w:eastAsia="Times New Roman" w:hAnsi="Times New Roman" w:cs="Times New Roman"/>
          <w:kern w:val="2"/>
          <w:sz w:val="24"/>
          <w:szCs w:val="24"/>
          <w:lang w:eastAsia="en-CA"/>
          <w14:ligatures w14:val="standardContextual"/>
        </w:rPr>
        <w:t>Anguita</w:t>
      </w:r>
      <w:proofErr w:type="spellEnd"/>
      <w:r w:rsidRPr="00D8283E">
        <w:rPr>
          <w:rFonts w:ascii="Times New Roman" w:eastAsia="Times New Roman" w:hAnsi="Times New Roman" w:cs="Times New Roman"/>
          <w:kern w:val="2"/>
          <w:sz w:val="24"/>
          <w:szCs w:val="24"/>
          <w:lang w:eastAsia="en-CA"/>
          <w14:ligatures w14:val="standardContextual"/>
        </w:rPr>
        <w:t xml:space="preserve"> G, Linares-Abad M, Huss N, Grande-</w:t>
      </w:r>
      <w:proofErr w:type="spellStart"/>
      <w:r w:rsidRPr="00D8283E">
        <w:rPr>
          <w:rFonts w:ascii="Times New Roman" w:eastAsia="Times New Roman" w:hAnsi="Times New Roman" w:cs="Times New Roman"/>
          <w:kern w:val="2"/>
          <w:sz w:val="24"/>
          <w:szCs w:val="24"/>
          <w:lang w:eastAsia="en-CA"/>
          <w14:ligatures w14:val="standardContextual"/>
        </w:rPr>
        <w:t>Gascón</w:t>
      </w:r>
      <w:proofErr w:type="spellEnd"/>
      <w:r w:rsidRPr="00D8283E">
        <w:rPr>
          <w:rFonts w:ascii="Times New Roman" w:eastAsia="Times New Roman" w:hAnsi="Times New Roman" w:cs="Times New Roman"/>
          <w:kern w:val="2"/>
          <w:sz w:val="24"/>
          <w:szCs w:val="24"/>
          <w:lang w:eastAsia="en-CA"/>
          <w14:ligatures w14:val="standardContextual"/>
        </w:rPr>
        <w:t xml:space="preserve"> ML, et al. Developing digital educational materials for nursing and sustainability: The results of an observational study. Nurse Education Today [Internet]. 2017 Nov </w:t>
      </w:r>
      <w:proofErr w:type="gramStart"/>
      <w:r w:rsidRPr="00D8283E">
        <w:rPr>
          <w:rFonts w:ascii="Times New Roman" w:eastAsia="Times New Roman" w:hAnsi="Times New Roman" w:cs="Times New Roman"/>
          <w:kern w:val="2"/>
          <w:sz w:val="24"/>
          <w:szCs w:val="24"/>
          <w:lang w:eastAsia="en-CA"/>
          <w14:ligatures w14:val="standardContextual"/>
        </w:rPr>
        <w:t>1;60:139</w:t>
      </w:r>
      <w:proofErr w:type="gramEnd"/>
      <w:r w:rsidRPr="00D8283E">
        <w:rPr>
          <w:rFonts w:ascii="Times New Roman" w:eastAsia="Times New Roman" w:hAnsi="Times New Roman" w:cs="Times New Roman"/>
          <w:kern w:val="2"/>
          <w:sz w:val="24"/>
          <w:szCs w:val="24"/>
          <w:lang w:eastAsia="en-CA"/>
          <w14:ligatures w14:val="standardContextual"/>
        </w:rPr>
        <w:t>–46. Available from: https://doi.org/10.1016/j.nedt.2017.10.008</w:t>
      </w:r>
    </w:p>
    <w:p w14:paraId="6D5E3C10"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Alvesson, M. and </w:t>
      </w:r>
      <w:proofErr w:type="spellStart"/>
      <w:r w:rsidRPr="00D8283E">
        <w:rPr>
          <w:rFonts w:ascii="Times New Roman" w:eastAsia="Times New Roman" w:hAnsi="Times New Roman" w:cs="Times New Roman"/>
          <w:kern w:val="2"/>
          <w:sz w:val="24"/>
          <w:szCs w:val="24"/>
          <w:lang w:eastAsia="en-CA"/>
          <w14:ligatures w14:val="standardContextual"/>
        </w:rPr>
        <w:t>Sköldberg</w:t>
      </w:r>
      <w:proofErr w:type="spellEnd"/>
      <w:r w:rsidRPr="00D8283E">
        <w:rPr>
          <w:rFonts w:ascii="Times New Roman" w:eastAsia="Times New Roman" w:hAnsi="Times New Roman" w:cs="Times New Roman"/>
          <w:kern w:val="2"/>
          <w:sz w:val="24"/>
          <w:szCs w:val="24"/>
          <w:lang w:eastAsia="en-CA"/>
          <w14:ligatures w14:val="standardContextual"/>
        </w:rPr>
        <w:t xml:space="preserve">, K. (2018) </w:t>
      </w:r>
      <w:r w:rsidRPr="00D8283E">
        <w:rPr>
          <w:rFonts w:ascii="Times New Roman" w:eastAsia="Times New Roman" w:hAnsi="Times New Roman" w:cs="Times New Roman"/>
          <w:i/>
          <w:iCs/>
          <w:kern w:val="2"/>
          <w:sz w:val="24"/>
          <w:szCs w:val="24"/>
          <w:lang w:eastAsia="en-CA"/>
          <w14:ligatures w14:val="standardContextual"/>
        </w:rPr>
        <w:t>Reflexive methodology</w:t>
      </w:r>
      <w:r w:rsidRPr="00D8283E">
        <w:rPr>
          <w:rFonts w:ascii="Times New Roman" w:eastAsia="Times New Roman" w:hAnsi="Times New Roman" w:cs="Times New Roman"/>
          <w:kern w:val="2"/>
          <w:sz w:val="24"/>
          <w:szCs w:val="24"/>
          <w:lang w:eastAsia="en-CA"/>
          <w14:ligatures w14:val="standardContextual"/>
        </w:rPr>
        <w:t>. London: SAGE Publications Ltd. https://doi.org/10.4135/9781036211523</w:t>
      </w:r>
    </w:p>
    <w:p w14:paraId="5333289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Amila</w:t>
      </w:r>
      <w:proofErr w:type="spellEnd"/>
      <w:r w:rsidRPr="00D8283E">
        <w:rPr>
          <w:rFonts w:ascii="Times New Roman" w:eastAsia="Times New Roman" w:hAnsi="Times New Roman" w:cs="Times New Roman"/>
          <w:kern w:val="2"/>
          <w:sz w:val="24"/>
          <w:szCs w:val="24"/>
          <w:lang w:eastAsia="en-CA"/>
          <w14:ligatures w14:val="standardContextual"/>
        </w:rPr>
        <w:t xml:space="preserve">, N.K.K. Gamage (2025) ‘Research design, philosophy, and quantitative approaches in scientific research methodology’, </w:t>
      </w:r>
      <w:r w:rsidRPr="00D8283E">
        <w:rPr>
          <w:rFonts w:ascii="Times New Roman" w:eastAsia="Times New Roman" w:hAnsi="Times New Roman" w:cs="Times New Roman"/>
          <w:i/>
          <w:iCs/>
          <w:kern w:val="2"/>
          <w:sz w:val="24"/>
          <w:szCs w:val="24"/>
          <w:lang w:eastAsia="en-CA"/>
          <w14:ligatures w14:val="standardContextual"/>
        </w:rPr>
        <w:t>Scholars Journal of Engineering and Technology</w:t>
      </w:r>
      <w:r w:rsidRPr="00D8283E">
        <w:rPr>
          <w:rFonts w:ascii="Times New Roman" w:eastAsia="Times New Roman" w:hAnsi="Times New Roman" w:cs="Times New Roman"/>
          <w:kern w:val="2"/>
          <w:sz w:val="24"/>
          <w:szCs w:val="24"/>
          <w:lang w:eastAsia="en-CA"/>
          <w14:ligatures w14:val="standardContextual"/>
        </w:rPr>
        <w:t>, 13(2), pp. 91–103.</w:t>
      </w:r>
    </w:p>
    <w:p w14:paraId="6CA8657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Archer A, Berry I, </w:t>
      </w:r>
      <w:proofErr w:type="spellStart"/>
      <w:r w:rsidRPr="00D8283E">
        <w:rPr>
          <w:rFonts w:ascii="Times New Roman" w:eastAsia="Times New Roman" w:hAnsi="Times New Roman" w:cs="Times New Roman"/>
          <w:kern w:val="2"/>
          <w:sz w:val="24"/>
          <w:szCs w:val="24"/>
          <w:lang w:eastAsia="en-CA"/>
          <w14:ligatures w14:val="standardContextual"/>
        </w:rPr>
        <w:t>Bajwa</w:t>
      </w:r>
      <w:proofErr w:type="spellEnd"/>
      <w:r w:rsidRPr="00D8283E">
        <w:rPr>
          <w:rFonts w:ascii="Times New Roman" w:eastAsia="Times New Roman" w:hAnsi="Times New Roman" w:cs="Times New Roman"/>
          <w:kern w:val="2"/>
          <w:sz w:val="24"/>
          <w:szCs w:val="24"/>
          <w:lang w:eastAsia="en-CA"/>
          <w14:ligatures w14:val="standardContextual"/>
        </w:rPr>
        <w:t xml:space="preserve"> U, </w:t>
      </w:r>
      <w:proofErr w:type="spellStart"/>
      <w:r w:rsidRPr="00D8283E">
        <w:rPr>
          <w:rFonts w:ascii="Times New Roman" w:eastAsia="Times New Roman" w:hAnsi="Times New Roman" w:cs="Times New Roman"/>
          <w:kern w:val="2"/>
          <w:sz w:val="24"/>
          <w:szCs w:val="24"/>
          <w:lang w:eastAsia="en-CA"/>
          <w14:ligatures w14:val="standardContextual"/>
        </w:rPr>
        <w:t>Kalda</w:t>
      </w:r>
      <w:proofErr w:type="spellEnd"/>
      <w:r w:rsidRPr="00D8283E">
        <w:rPr>
          <w:rFonts w:ascii="Times New Roman" w:eastAsia="Times New Roman" w:hAnsi="Times New Roman" w:cs="Times New Roman"/>
          <w:kern w:val="2"/>
          <w:sz w:val="24"/>
          <w:szCs w:val="24"/>
          <w:lang w:eastAsia="en-CA"/>
          <w14:ligatures w14:val="standardContextual"/>
        </w:rPr>
        <w:t xml:space="preserve"> R, Di Ruggiero E. Preferred modalities for delivering continuing education to the public health workforce: a scoping review. Health Promotion and Chronic Disease Prevention in Canada [Internet]. 2020 Apr 1;40(4):116–25. Available from: https://doi.org/10.24095/hpcdp.40.4.03</w:t>
      </w:r>
    </w:p>
    <w:p w14:paraId="134A87AA"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Ard</w:t>
      </w:r>
      <w:proofErr w:type="spellEnd"/>
      <w:r w:rsidRPr="00D8283E">
        <w:rPr>
          <w:rFonts w:ascii="Times New Roman" w:eastAsia="Times New Roman" w:hAnsi="Times New Roman" w:cs="Times New Roman"/>
          <w:kern w:val="2"/>
          <w:sz w:val="24"/>
          <w:szCs w:val="24"/>
          <w:lang w:eastAsia="en-GB"/>
          <w14:ligatures w14:val="standardContextual"/>
        </w:rPr>
        <w:t xml:space="preserve"> JL, Tobin K, </w:t>
      </w:r>
      <w:proofErr w:type="spellStart"/>
      <w:r w:rsidRPr="00D8283E">
        <w:rPr>
          <w:rFonts w:ascii="Times New Roman" w:eastAsia="Times New Roman" w:hAnsi="Times New Roman" w:cs="Times New Roman"/>
          <w:kern w:val="2"/>
          <w:sz w:val="24"/>
          <w:szCs w:val="24"/>
          <w:lang w:eastAsia="en-GB"/>
          <w14:ligatures w14:val="standardContextual"/>
        </w:rPr>
        <w:t>Huncke</w:t>
      </w:r>
      <w:proofErr w:type="spellEnd"/>
      <w:r w:rsidRPr="00D8283E">
        <w:rPr>
          <w:rFonts w:ascii="Times New Roman" w:eastAsia="Times New Roman" w:hAnsi="Times New Roman" w:cs="Times New Roman"/>
          <w:kern w:val="2"/>
          <w:sz w:val="24"/>
          <w:szCs w:val="24"/>
          <w:lang w:eastAsia="en-GB"/>
          <w14:ligatures w14:val="standardContextual"/>
        </w:rPr>
        <w:t xml:space="preserve"> T, Kline R, Ryan SM, Bell C. A survey of the American Society of Anesthesiologists regarding environmental attitudes, knowledge, and organization. A &amp; a Case </w:t>
      </w:r>
      <w:r w:rsidRPr="00D8283E">
        <w:rPr>
          <w:rFonts w:ascii="Times New Roman" w:eastAsia="Times New Roman" w:hAnsi="Times New Roman" w:cs="Times New Roman"/>
          <w:kern w:val="2"/>
          <w:sz w:val="24"/>
          <w:szCs w:val="24"/>
          <w:lang w:eastAsia="en-GB"/>
          <w14:ligatures w14:val="standardContextual"/>
        </w:rPr>
        <w:lastRenderedPageBreak/>
        <w:t>Reports [Internet]. 2016 Apr 1;6(7):208–16. Available from: https://doi.org/10.1213/xaa.0000000000000184</w:t>
      </w:r>
    </w:p>
    <w:p w14:paraId="2D43460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Arnell NW. The implications of climate change for emergency planning. International Journal of Disaster Risk Reduction [Internet]. 2022 Nov </w:t>
      </w:r>
      <w:proofErr w:type="gramStart"/>
      <w:r w:rsidRPr="00D8283E">
        <w:rPr>
          <w:rFonts w:ascii="Times New Roman" w:eastAsia="Times New Roman" w:hAnsi="Times New Roman" w:cs="Times New Roman"/>
          <w:kern w:val="2"/>
          <w:sz w:val="24"/>
          <w:szCs w:val="24"/>
          <w:lang w:eastAsia="en-GB"/>
          <w14:ligatures w14:val="standardContextual"/>
        </w:rPr>
        <w:t>8;83:103425</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https://doi.org/10.1016/j.ijdrr.2022.103425</w:t>
      </w:r>
    </w:p>
    <w:p w14:paraId="08E20FA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Aronsson J, Clarke D, Grose J, Richardson J. Student nurses exposed to sustainability education can challenge practice: A cohort study. Nursing and Health Sciences [Internet]. 2020 May 7;22(3):803–11. Available from: https://doi.org/10.1111/nhs.12734</w:t>
      </w:r>
    </w:p>
    <w:p w14:paraId="63801BD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Association of Schools of Public Health in the European Region [Internet]. Available from: https://climate-adapt.eea.europa.eu/en/observatory/++aq++metadata/organisations/association-schools-public-health-in-european-region-aspher#:~:text=ASPHER%20supports%20the%20development%20of,change%20and%20public%20health%20interventions.</w:t>
      </w:r>
    </w:p>
    <w:p w14:paraId="44B9DA1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Balbus</w:t>
      </w:r>
      <w:proofErr w:type="spellEnd"/>
      <w:r w:rsidRPr="00D8283E">
        <w:rPr>
          <w:rFonts w:ascii="Times New Roman" w:eastAsia="Times New Roman" w:hAnsi="Times New Roman" w:cs="Times New Roman"/>
          <w:kern w:val="2"/>
          <w:sz w:val="24"/>
          <w:szCs w:val="24"/>
          <w:lang w:eastAsia="en-CA"/>
          <w14:ligatures w14:val="standardContextual"/>
        </w:rPr>
        <w:t xml:space="preserve"> J, Berry P, </w:t>
      </w:r>
      <w:proofErr w:type="spellStart"/>
      <w:r w:rsidRPr="00D8283E">
        <w:rPr>
          <w:rFonts w:ascii="Times New Roman" w:eastAsia="Times New Roman" w:hAnsi="Times New Roman" w:cs="Times New Roman"/>
          <w:kern w:val="2"/>
          <w:sz w:val="24"/>
          <w:szCs w:val="24"/>
          <w:lang w:eastAsia="en-CA"/>
          <w14:ligatures w14:val="standardContextual"/>
        </w:rPr>
        <w:t>Brettle</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Jagnarine</w:t>
      </w:r>
      <w:proofErr w:type="spellEnd"/>
      <w:r w:rsidRPr="00D8283E">
        <w:rPr>
          <w:rFonts w:ascii="Times New Roman" w:eastAsia="Times New Roman" w:hAnsi="Times New Roman" w:cs="Times New Roman"/>
          <w:kern w:val="2"/>
          <w:sz w:val="24"/>
          <w:szCs w:val="24"/>
          <w:lang w:eastAsia="en-CA"/>
          <w14:ligatures w14:val="standardContextual"/>
        </w:rPr>
        <w:t>-Azan S, Soares A, Ugarte C, et al. Enhancing the sustainability and climate resiliency of health care facilities: a comparison of initiatives and toolkits [Internet]. 2016. Available from: https://www.scielosp.org/article/rpsp/2016.v40n3/174-180/en/#ModalArticles</w:t>
      </w:r>
    </w:p>
    <w:p w14:paraId="28F02794"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Banholzer</w:t>
      </w:r>
      <w:proofErr w:type="spellEnd"/>
      <w:r w:rsidRPr="00D8283E">
        <w:rPr>
          <w:rFonts w:ascii="Times New Roman" w:eastAsia="Times New Roman" w:hAnsi="Times New Roman" w:cs="Times New Roman"/>
          <w:kern w:val="2"/>
          <w:sz w:val="24"/>
          <w:szCs w:val="24"/>
          <w:lang w:eastAsia="en-GB"/>
          <w14:ligatures w14:val="standardContextual"/>
        </w:rPr>
        <w:t xml:space="preserve"> S, </w:t>
      </w:r>
      <w:proofErr w:type="spellStart"/>
      <w:r w:rsidRPr="00D8283E">
        <w:rPr>
          <w:rFonts w:ascii="Times New Roman" w:eastAsia="Times New Roman" w:hAnsi="Times New Roman" w:cs="Times New Roman"/>
          <w:kern w:val="2"/>
          <w:sz w:val="24"/>
          <w:szCs w:val="24"/>
          <w:lang w:eastAsia="en-GB"/>
          <w14:ligatures w14:val="standardContextual"/>
        </w:rPr>
        <w:t>Kossin</w:t>
      </w:r>
      <w:proofErr w:type="spellEnd"/>
      <w:r w:rsidRPr="00D8283E">
        <w:rPr>
          <w:rFonts w:ascii="Times New Roman" w:eastAsia="Times New Roman" w:hAnsi="Times New Roman" w:cs="Times New Roman"/>
          <w:kern w:val="2"/>
          <w:sz w:val="24"/>
          <w:szCs w:val="24"/>
          <w:lang w:eastAsia="en-GB"/>
          <w14:ligatures w14:val="standardContextual"/>
        </w:rPr>
        <w:t xml:space="preserve"> J, Donner S. The impact of climate change on natural disasters. In: Springer eBooks [Internet]. 2014. p. 21–49. Available from: https://doi.org/10.1007/978-94-017-8598-3_2</w:t>
      </w:r>
    </w:p>
    <w:p w14:paraId="202B2B5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Barratt H, Shaw J, Simpson L, Bhatia S, </w:t>
      </w:r>
      <w:proofErr w:type="spellStart"/>
      <w:r w:rsidRPr="00D8283E">
        <w:rPr>
          <w:rFonts w:ascii="Times New Roman" w:eastAsia="Times New Roman" w:hAnsi="Times New Roman" w:cs="Times New Roman"/>
          <w:kern w:val="2"/>
          <w:sz w:val="24"/>
          <w:szCs w:val="24"/>
          <w:lang w:eastAsia="en-CA"/>
          <w14:ligatures w14:val="standardContextual"/>
        </w:rPr>
        <w:t>Fulop</w:t>
      </w:r>
      <w:proofErr w:type="spellEnd"/>
      <w:r w:rsidRPr="00D8283E">
        <w:rPr>
          <w:rFonts w:ascii="Times New Roman" w:eastAsia="Times New Roman" w:hAnsi="Times New Roman" w:cs="Times New Roman"/>
          <w:kern w:val="2"/>
          <w:sz w:val="24"/>
          <w:szCs w:val="24"/>
          <w:lang w:eastAsia="en-CA"/>
          <w14:ligatures w14:val="standardContextual"/>
        </w:rPr>
        <w:t xml:space="preserve"> N. Health services research: building capacity to meet the needs of the health care system. Journal of Health Services Research &amp; Policy [Internet]. 2017 Aug 8;22(4):243–9. Available from: https://doi.org/10.1177/1355819617714815</w:t>
      </w:r>
    </w:p>
    <w:p w14:paraId="332A628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Bayer CR, Smith LL, Darko RV, </w:t>
      </w:r>
      <w:proofErr w:type="spellStart"/>
      <w:r w:rsidRPr="00D8283E">
        <w:rPr>
          <w:rFonts w:ascii="Times New Roman" w:eastAsia="Times New Roman" w:hAnsi="Times New Roman" w:cs="Times New Roman"/>
          <w:kern w:val="2"/>
          <w:sz w:val="24"/>
          <w:szCs w:val="24"/>
          <w:lang w:eastAsia="en-GB"/>
          <w14:ligatures w14:val="standardContextual"/>
        </w:rPr>
        <w:t>McKool</w:t>
      </w:r>
      <w:proofErr w:type="spellEnd"/>
      <w:r w:rsidRPr="00D8283E">
        <w:rPr>
          <w:rFonts w:ascii="Times New Roman" w:eastAsia="Times New Roman" w:hAnsi="Times New Roman" w:cs="Times New Roman"/>
          <w:kern w:val="2"/>
          <w:sz w:val="24"/>
          <w:szCs w:val="24"/>
          <w:lang w:eastAsia="en-GB"/>
          <w14:ligatures w14:val="standardContextual"/>
        </w:rPr>
        <w:t xml:space="preserve"> M, Yan F, Heiman H. Understanding health policy leaders’ training needs. </w:t>
      </w:r>
      <w:proofErr w:type="spellStart"/>
      <w:r w:rsidRPr="00D8283E">
        <w:rPr>
          <w:rFonts w:ascii="Times New Roman" w:eastAsia="Times New Roman" w:hAnsi="Times New Roman" w:cs="Times New Roman"/>
          <w:kern w:val="2"/>
          <w:sz w:val="24"/>
          <w:szCs w:val="24"/>
          <w:lang w:eastAsia="en-GB"/>
          <w14:ligatures w14:val="standardContextual"/>
        </w:rPr>
        <w:t>PLoS</w:t>
      </w:r>
      <w:proofErr w:type="spellEnd"/>
      <w:r w:rsidRPr="00D8283E">
        <w:rPr>
          <w:rFonts w:ascii="Times New Roman" w:eastAsia="Times New Roman" w:hAnsi="Times New Roman" w:cs="Times New Roman"/>
          <w:kern w:val="2"/>
          <w:sz w:val="24"/>
          <w:szCs w:val="24"/>
          <w:lang w:eastAsia="en-GB"/>
          <w14:ligatures w14:val="standardContextual"/>
        </w:rPr>
        <w:t xml:space="preserve"> ONE [Internet]. 2017 Mar 23;12(3</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0174054. Available from: https://doi.org/10.1371/journal.pone.0174054</w:t>
      </w:r>
    </w:p>
    <w:p w14:paraId="7C12982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Bell E. Readying health Services for Climate Change: a policy framework for regional development. American Journal of Public Health [Internet]. 2011 Mar 20;101(5):804–13. Available from: https://doi.org/10.2105/ajph.2010.202820</w:t>
      </w:r>
    </w:p>
    <w:p w14:paraId="7064ECF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Bell EJ. Climate change: what competencies and which medical education and training approaches? BMC Medical Education [Internet]. 2010 Apr 30;10(1). Available from: https://doi.org/10.1186/1472-6920-10-31</w:t>
      </w:r>
    </w:p>
    <w:p w14:paraId="6AE3618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Bell SA, </w:t>
      </w:r>
      <w:proofErr w:type="spellStart"/>
      <w:r w:rsidRPr="00D8283E">
        <w:rPr>
          <w:rFonts w:ascii="Times New Roman" w:eastAsia="Times New Roman" w:hAnsi="Times New Roman" w:cs="Times New Roman"/>
          <w:kern w:val="2"/>
          <w:sz w:val="24"/>
          <w:szCs w:val="24"/>
          <w:lang w:eastAsia="en-CA"/>
          <w14:ligatures w14:val="standardContextual"/>
        </w:rPr>
        <w:t>Potempa</w:t>
      </w:r>
      <w:proofErr w:type="spellEnd"/>
      <w:r w:rsidRPr="00D8283E">
        <w:rPr>
          <w:rFonts w:ascii="Times New Roman" w:eastAsia="Times New Roman" w:hAnsi="Times New Roman" w:cs="Times New Roman"/>
          <w:kern w:val="2"/>
          <w:sz w:val="24"/>
          <w:szCs w:val="24"/>
          <w:lang w:eastAsia="en-CA"/>
          <w14:ligatures w14:val="standardContextual"/>
        </w:rPr>
        <w:t xml:space="preserve"> K. Implementing climate change and health into pre-service nursing education. Annals of Global Health [Internet]. 2016 Aug 20;82(3):438. Available from: https://doi.org/10.1016/j.aogh.2016.04.215</w:t>
      </w:r>
    </w:p>
    <w:p w14:paraId="3021288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Bevan J, Blyth R, Russel B, Austin I, Butler M, Cheung HC, et al. Climate change and sustainability teaching in UK medical education – a national audit. Future Healthcare Journal [Internet]. 2023 Nov 1;</w:t>
      </w:r>
      <w:proofErr w:type="gramStart"/>
      <w:r w:rsidRPr="00D8283E">
        <w:rPr>
          <w:rFonts w:ascii="Times New Roman" w:eastAsia="Times New Roman" w:hAnsi="Times New Roman" w:cs="Times New Roman"/>
          <w:kern w:val="2"/>
          <w:sz w:val="24"/>
          <w:szCs w:val="24"/>
          <w:lang w:eastAsia="en-GB"/>
          <w14:ligatures w14:val="standardContextual"/>
        </w:rPr>
        <w:t>10:S</w:t>
      </w:r>
      <w:proofErr w:type="gramEnd"/>
      <w:r w:rsidRPr="00D8283E">
        <w:rPr>
          <w:rFonts w:ascii="Times New Roman" w:eastAsia="Times New Roman" w:hAnsi="Times New Roman" w:cs="Times New Roman"/>
          <w:kern w:val="2"/>
          <w:sz w:val="24"/>
          <w:szCs w:val="24"/>
          <w:lang w:eastAsia="en-GB"/>
          <w14:ligatures w14:val="standardContextual"/>
        </w:rPr>
        <w:t>138–9. Available from: https://doi.org/10.7861/fhj.10-3-s138</w:t>
      </w:r>
    </w:p>
    <w:p w14:paraId="031C643E" w14:textId="7726437B"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Bianco, G., Espinoza-Chávez, R.M., </w:t>
      </w:r>
      <w:proofErr w:type="spellStart"/>
      <w:r w:rsidRPr="00D8283E">
        <w:rPr>
          <w:rFonts w:ascii="Times New Roman" w:eastAsia="Times New Roman" w:hAnsi="Times New Roman" w:cs="Times New Roman"/>
          <w:kern w:val="2"/>
          <w:sz w:val="24"/>
          <w:szCs w:val="24"/>
          <w:lang w:eastAsia="en-CA"/>
          <w14:ligatures w14:val="standardContextual"/>
        </w:rPr>
        <w:t>Ashigbie</w:t>
      </w:r>
      <w:proofErr w:type="spellEnd"/>
      <w:r w:rsidRPr="00D8283E">
        <w:rPr>
          <w:rFonts w:ascii="Times New Roman" w:eastAsia="Times New Roman" w:hAnsi="Times New Roman" w:cs="Times New Roman"/>
          <w:kern w:val="2"/>
          <w:sz w:val="24"/>
          <w:szCs w:val="24"/>
          <w:lang w:eastAsia="en-CA"/>
          <w14:ligatures w14:val="standardContextual"/>
        </w:rPr>
        <w:t xml:space="preserve">, P.G., Junio, H., </w:t>
      </w:r>
      <w:proofErr w:type="spellStart"/>
      <w:r w:rsidRPr="00D8283E">
        <w:rPr>
          <w:rFonts w:ascii="Times New Roman" w:eastAsia="Times New Roman" w:hAnsi="Times New Roman" w:cs="Times New Roman"/>
          <w:kern w:val="2"/>
          <w:sz w:val="24"/>
          <w:szCs w:val="24"/>
          <w:lang w:eastAsia="en-CA"/>
          <w14:ligatures w14:val="standardContextual"/>
        </w:rPr>
        <w:t>Borhani</w:t>
      </w:r>
      <w:proofErr w:type="spellEnd"/>
      <w:r w:rsidRPr="00D8283E">
        <w:rPr>
          <w:rFonts w:ascii="Times New Roman" w:eastAsia="Times New Roman" w:hAnsi="Times New Roman" w:cs="Times New Roman"/>
          <w:kern w:val="2"/>
          <w:sz w:val="24"/>
          <w:szCs w:val="24"/>
          <w:lang w:eastAsia="en-CA"/>
          <w14:ligatures w14:val="standardContextual"/>
        </w:rPr>
        <w:t xml:space="preserve">, C. and Miles-Richardson, S. </w:t>
      </w:r>
      <w:r w:rsidRPr="00D8283E">
        <w:rPr>
          <w:rFonts w:ascii="Times New Roman" w:eastAsia="Times New Roman" w:hAnsi="Times New Roman" w:cs="Times New Roman"/>
          <w:i/>
          <w:iCs/>
          <w:kern w:val="2"/>
          <w:sz w:val="24"/>
          <w:szCs w:val="24"/>
          <w:lang w:eastAsia="en-CA"/>
          <w14:ligatures w14:val="standardContextual"/>
        </w:rPr>
        <w:t>et al.</w:t>
      </w:r>
      <w:r w:rsidRPr="00D8283E">
        <w:rPr>
          <w:rFonts w:ascii="Times New Roman" w:eastAsia="Times New Roman" w:hAnsi="Times New Roman" w:cs="Times New Roman"/>
          <w:kern w:val="2"/>
          <w:sz w:val="24"/>
          <w:szCs w:val="24"/>
          <w:lang w:eastAsia="en-CA"/>
          <w14:ligatures w14:val="standardContextual"/>
        </w:rPr>
        <w:t xml:space="preserve"> (2024) ‘Projected impact of climate change on human health in low- and middle-income countries: a systematic review’, </w:t>
      </w:r>
      <w:r w:rsidRPr="00D8283E">
        <w:rPr>
          <w:rFonts w:ascii="Times New Roman" w:eastAsia="Times New Roman" w:hAnsi="Times New Roman" w:cs="Times New Roman"/>
          <w:i/>
          <w:iCs/>
          <w:kern w:val="2"/>
          <w:sz w:val="24"/>
          <w:szCs w:val="24"/>
          <w:lang w:eastAsia="en-CA"/>
          <w14:ligatures w14:val="standardContextual"/>
        </w:rPr>
        <w:t>BMJ Global Health</w:t>
      </w:r>
      <w:r w:rsidRPr="00D8283E">
        <w:rPr>
          <w:rFonts w:ascii="Times New Roman" w:eastAsia="Times New Roman" w:hAnsi="Times New Roman" w:cs="Times New Roman"/>
          <w:kern w:val="2"/>
          <w:sz w:val="24"/>
          <w:szCs w:val="24"/>
          <w:lang w:eastAsia="en-CA"/>
          <w14:ligatures w14:val="standardContextual"/>
        </w:rPr>
        <w:t xml:space="preserve">, 8, e015550. </w:t>
      </w:r>
      <w:hyperlink r:id="rId26" w:history="1">
        <w:r w:rsidR="009E0DE9" w:rsidRPr="001E0C8C">
          <w:rPr>
            <w:rStyle w:val="Hyperlink"/>
            <w:rFonts w:ascii="Times New Roman" w:eastAsia="Times New Roman" w:hAnsi="Times New Roman" w:cs="Times New Roman"/>
            <w:kern w:val="2"/>
            <w:sz w:val="24"/>
            <w:szCs w:val="24"/>
            <w:lang w:eastAsia="en-CA"/>
            <w14:ligatures w14:val="standardContextual"/>
          </w:rPr>
          <w:t>https://doi.org/10.1136/bmjgh-2024-015550</w:t>
        </w:r>
      </w:hyperlink>
    </w:p>
    <w:p w14:paraId="55B0B647" w14:textId="03618550" w:rsidR="009E0DE9" w:rsidRPr="00824053" w:rsidRDefault="009E0DE9" w:rsidP="00824053">
      <w:pPr>
        <w:spacing w:after="0" w:line="360" w:lineRule="auto"/>
        <w:ind w:firstLineChars="300" w:firstLine="720"/>
        <w:rPr>
          <w:rFonts w:ascii="Times New Roman" w:eastAsia="Times New Roman" w:hAnsi="Times New Roman" w:cs="Times New Roman"/>
          <w:color w:val="000000"/>
          <w:sz w:val="24"/>
          <w:szCs w:val="24"/>
          <w:lang w:eastAsia="en-CA"/>
        </w:rPr>
      </w:pPr>
      <w:proofErr w:type="spellStart"/>
      <w:r w:rsidRPr="00824053">
        <w:rPr>
          <w:rFonts w:ascii="Times New Roman" w:eastAsia="Times New Roman" w:hAnsi="Times New Roman" w:cs="Times New Roman"/>
          <w:color w:val="000000"/>
          <w:sz w:val="24"/>
          <w:szCs w:val="24"/>
          <w:lang w:eastAsia="en-CA"/>
        </w:rPr>
        <w:t>Bigland</w:t>
      </w:r>
      <w:proofErr w:type="spellEnd"/>
      <w:r w:rsidRPr="00824053">
        <w:rPr>
          <w:rFonts w:ascii="Times New Roman" w:eastAsia="Times New Roman" w:hAnsi="Times New Roman" w:cs="Times New Roman"/>
          <w:color w:val="000000"/>
          <w:sz w:val="24"/>
          <w:szCs w:val="24"/>
          <w:lang w:eastAsia="en-CA"/>
        </w:rPr>
        <w:t xml:space="preserve">, C., Evans, D., Bolden, R. and Rae, M., 2020. Systems leadership in practice: Thematic insights from three public health case studies. </w:t>
      </w:r>
      <w:r w:rsidRPr="00824053">
        <w:rPr>
          <w:rFonts w:ascii="Times New Roman" w:eastAsia="Times New Roman" w:hAnsi="Times New Roman" w:cs="Times New Roman"/>
          <w:i/>
          <w:iCs/>
          <w:color w:val="000000"/>
          <w:sz w:val="24"/>
          <w:szCs w:val="24"/>
          <w:lang w:eastAsia="en-CA"/>
        </w:rPr>
        <w:t>BMC Public Health</w:t>
      </w:r>
      <w:r w:rsidRPr="00824053">
        <w:rPr>
          <w:rFonts w:ascii="Times New Roman" w:eastAsia="Times New Roman" w:hAnsi="Times New Roman" w:cs="Times New Roman"/>
          <w:color w:val="000000"/>
          <w:sz w:val="24"/>
          <w:szCs w:val="24"/>
          <w:lang w:eastAsia="en-CA"/>
        </w:rPr>
        <w:t>, 20(1), p.1735. Available from: https://doi.org/10.1186/s12889-020-09641-1</w:t>
      </w:r>
    </w:p>
    <w:p w14:paraId="733E3D8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Boekels</w:t>
      </w:r>
      <w:proofErr w:type="spellEnd"/>
      <w:r w:rsidRPr="00D8283E">
        <w:rPr>
          <w:rFonts w:ascii="Times New Roman" w:eastAsia="Times New Roman" w:hAnsi="Times New Roman" w:cs="Times New Roman"/>
          <w:kern w:val="2"/>
          <w:sz w:val="24"/>
          <w:szCs w:val="24"/>
          <w:lang w:eastAsia="en-CA"/>
          <w14:ligatures w14:val="standardContextual"/>
        </w:rPr>
        <w:t xml:space="preserve">, R., </w:t>
      </w:r>
      <w:proofErr w:type="spellStart"/>
      <w:r w:rsidRPr="00D8283E">
        <w:rPr>
          <w:rFonts w:ascii="Times New Roman" w:eastAsia="Times New Roman" w:hAnsi="Times New Roman" w:cs="Times New Roman"/>
          <w:kern w:val="2"/>
          <w:sz w:val="24"/>
          <w:szCs w:val="24"/>
          <w:lang w:eastAsia="en-CA"/>
          <w14:ligatures w14:val="standardContextual"/>
        </w:rPr>
        <w:t>Nikendei</w:t>
      </w:r>
      <w:proofErr w:type="spellEnd"/>
      <w:r w:rsidRPr="00D8283E">
        <w:rPr>
          <w:rFonts w:ascii="Times New Roman" w:eastAsia="Times New Roman" w:hAnsi="Times New Roman" w:cs="Times New Roman"/>
          <w:kern w:val="2"/>
          <w:sz w:val="24"/>
          <w:szCs w:val="24"/>
          <w:lang w:eastAsia="en-CA"/>
          <w14:ligatures w14:val="standardContextual"/>
        </w:rPr>
        <w:t xml:space="preserve">, C., </w:t>
      </w:r>
      <w:proofErr w:type="spellStart"/>
      <w:r w:rsidRPr="00D8283E">
        <w:rPr>
          <w:rFonts w:ascii="Times New Roman" w:eastAsia="Times New Roman" w:hAnsi="Times New Roman" w:cs="Times New Roman"/>
          <w:kern w:val="2"/>
          <w:sz w:val="24"/>
          <w:szCs w:val="24"/>
          <w:lang w:eastAsia="en-CA"/>
          <w14:ligatures w14:val="standardContextual"/>
        </w:rPr>
        <w:t>Roether</w:t>
      </w:r>
      <w:proofErr w:type="spellEnd"/>
      <w:r w:rsidRPr="00D8283E">
        <w:rPr>
          <w:rFonts w:ascii="Times New Roman" w:eastAsia="Times New Roman" w:hAnsi="Times New Roman" w:cs="Times New Roman"/>
          <w:kern w:val="2"/>
          <w:sz w:val="24"/>
          <w:szCs w:val="24"/>
          <w:lang w:eastAsia="en-CA"/>
          <w14:ligatures w14:val="standardContextual"/>
        </w:rPr>
        <w:t xml:space="preserve">, E., </w:t>
      </w:r>
      <w:proofErr w:type="spellStart"/>
      <w:r w:rsidRPr="00D8283E">
        <w:rPr>
          <w:rFonts w:ascii="Times New Roman" w:eastAsia="Times New Roman" w:hAnsi="Times New Roman" w:cs="Times New Roman"/>
          <w:kern w:val="2"/>
          <w:sz w:val="24"/>
          <w:szCs w:val="24"/>
          <w:lang w:eastAsia="en-CA"/>
          <w14:ligatures w14:val="standardContextual"/>
        </w:rPr>
        <w:t>Friederich</w:t>
      </w:r>
      <w:proofErr w:type="spellEnd"/>
      <w:r w:rsidRPr="00D8283E">
        <w:rPr>
          <w:rFonts w:ascii="Times New Roman" w:eastAsia="Times New Roman" w:hAnsi="Times New Roman" w:cs="Times New Roman"/>
          <w:kern w:val="2"/>
          <w:sz w:val="24"/>
          <w:szCs w:val="24"/>
          <w:lang w:eastAsia="en-CA"/>
          <w14:ligatures w14:val="standardContextual"/>
        </w:rPr>
        <w:t xml:space="preserve">, H.C. and Bugaj, T.J. (2023) ‘Climate change and health in international medical education: a narrative review’, </w:t>
      </w:r>
      <w:r w:rsidRPr="00D8283E">
        <w:rPr>
          <w:rFonts w:ascii="Times New Roman" w:eastAsia="Times New Roman" w:hAnsi="Times New Roman" w:cs="Times New Roman"/>
          <w:i/>
          <w:iCs/>
          <w:kern w:val="2"/>
          <w:sz w:val="24"/>
          <w:szCs w:val="24"/>
          <w:lang w:eastAsia="en-CA"/>
          <w14:ligatures w14:val="standardContextual"/>
        </w:rPr>
        <w:t>GMS Journal for Medical Education</w:t>
      </w:r>
      <w:r w:rsidRPr="00D8283E">
        <w:rPr>
          <w:rFonts w:ascii="Times New Roman" w:eastAsia="Times New Roman" w:hAnsi="Times New Roman" w:cs="Times New Roman"/>
          <w:kern w:val="2"/>
          <w:sz w:val="24"/>
          <w:szCs w:val="24"/>
          <w:lang w:eastAsia="en-CA"/>
          <w14:ligatures w14:val="standardContextual"/>
        </w:rPr>
        <w:t>, 40(3), Doc37. https://doi.org/10.3205/zma001619</w:t>
      </w:r>
    </w:p>
    <w:p w14:paraId="35CBDEFB"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Boerma</w:t>
      </w:r>
      <w:proofErr w:type="spellEnd"/>
      <w:r w:rsidRPr="00D8283E">
        <w:rPr>
          <w:rFonts w:ascii="Times New Roman" w:eastAsia="Times New Roman" w:hAnsi="Times New Roman" w:cs="Times New Roman"/>
          <w:kern w:val="2"/>
          <w:sz w:val="24"/>
          <w:szCs w:val="24"/>
          <w:lang w:eastAsia="en-GB"/>
          <w14:ligatures w14:val="standardContextual"/>
        </w:rPr>
        <w:t xml:space="preserve"> M, Coyle EA, Dietrich MA, </w:t>
      </w:r>
      <w:proofErr w:type="spellStart"/>
      <w:r w:rsidRPr="00D8283E">
        <w:rPr>
          <w:rFonts w:ascii="Times New Roman" w:eastAsia="Times New Roman" w:hAnsi="Times New Roman" w:cs="Times New Roman"/>
          <w:kern w:val="2"/>
          <w:sz w:val="24"/>
          <w:szCs w:val="24"/>
          <w:lang w:eastAsia="en-GB"/>
          <w14:ligatures w14:val="standardContextual"/>
        </w:rPr>
        <w:t>Dintzner</w:t>
      </w:r>
      <w:proofErr w:type="spellEnd"/>
      <w:r w:rsidRPr="00D8283E">
        <w:rPr>
          <w:rFonts w:ascii="Times New Roman" w:eastAsia="Times New Roman" w:hAnsi="Times New Roman" w:cs="Times New Roman"/>
          <w:kern w:val="2"/>
          <w:sz w:val="24"/>
          <w:szCs w:val="24"/>
          <w:lang w:eastAsia="en-GB"/>
          <w14:ligatures w14:val="standardContextual"/>
        </w:rPr>
        <w:t xml:space="preserve"> MR, Drayton SJ, Early JL, et al. Point/Counterpoint: Are outstanding leaders born or made? American Journal of Pharmaceutical Education [Internet]. 2017 Apr 1;81(3):58. Available from: https://doi.org/10.5688/ajpe81358</w:t>
      </w:r>
    </w:p>
    <w:p w14:paraId="693619B9" w14:textId="77777777" w:rsidR="00D8283E" w:rsidRPr="00D8283E" w:rsidRDefault="00D8283E" w:rsidP="00D8283E">
      <w:pPr>
        <w:spacing w:after="0" w:line="360" w:lineRule="auto"/>
        <w:ind w:firstLine="720"/>
        <w:rPr>
          <w:rFonts w:ascii="Times New Roman" w:hAnsi="Times New Roman" w:cs="Times New Roman"/>
          <w:color w:val="222222"/>
          <w:kern w:val="2"/>
          <w:sz w:val="24"/>
          <w:szCs w:val="24"/>
          <w:shd w:val="clear" w:color="auto" w:fill="FFFFFF"/>
          <w14:ligatures w14:val="standardContextual"/>
        </w:rPr>
      </w:pPr>
      <w:r w:rsidRPr="00D8283E">
        <w:rPr>
          <w:rFonts w:ascii="Times New Roman" w:hAnsi="Times New Roman" w:cs="Times New Roman"/>
          <w:color w:val="222222"/>
          <w:kern w:val="2"/>
          <w:sz w:val="24"/>
          <w:szCs w:val="24"/>
          <w:shd w:val="clear" w:color="auto" w:fill="FFFFFF"/>
          <w14:ligatures w14:val="standardContextual"/>
        </w:rPr>
        <w:t xml:space="preserve">Bragg LA, Walsh C, </w:t>
      </w:r>
      <w:proofErr w:type="spellStart"/>
      <w:r w:rsidRPr="00D8283E">
        <w:rPr>
          <w:rFonts w:ascii="Times New Roman" w:hAnsi="Times New Roman" w:cs="Times New Roman"/>
          <w:color w:val="222222"/>
          <w:kern w:val="2"/>
          <w:sz w:val="24"/>
          <w:szCs w:val="24"/>
          <w:shd w:val="clear" w:color="auto" w:fill="FFFFFF"/>
          <w14:ligatures w14:val="standardContextual"/>
        </w:rPr>
        <w:t>Heyeres</w:t>
      </w:r>
      <w:proofErr w:type="spellEnd"/>
      <w:r w:rsidRPr="00D8283E">
        <w:rPr>
          <w:rFonts w:ascii="Times New Roman" w:hAnsi="Times New Roman" w:cs="Times New Roman"/>
          <w:color w:val="222222"/>
          <w:kern w:val="2"/>
          <w:sz w:val="24"/>
          <w:szCs w:val="24"/>
          <w:shd w:val="clear" w:color="auto" w:fill="FFFFFF"/>
          <w14:ligatures w14:val="standardContextual"/>
        </w:rPr>
        <w:t xml:space="preserve"> M. Successful design and delivery of online professional development for teachers: A systematic review of the literature. Computers &amp; Education. 2021 Jun </w:t>
      </w:r>
      <w:proofErr w:type="gramStart"/>
      <w:r w:rsidRPr="00D8283E">
        <w:rPr>
          <w:rFonts w:ascii="Times New Roman" w:hAnsi="Times New Roman" w:cs="Times New Roman"/>
          <w:color w:val="222222"/>
          <w:kern w:val="2"/>
          <w:sz w:val="24"/>
          <w:szCs w:val="24"/>
          <w:shd w:val="clear" w:color="auto" w:fill="FFFFFF"/>
          <w14:ligatures w14:val="standardContextual"/>
        </w:rPr>
        <w:t>1;166:104158</w:t>
      </w:r>
      <w:proofErr w:type="gramEnd"/>
      <w:r w:rsidRPr="00D8283E">
        <w:rPr>
          <w:rFonts w:ascii="Times New Roman" w:hAnsi="Times New Roman" w:cs="Times New Roman"/>
          <w:color w:val="222222"/>
          <w:kern w:val="2"/>
          <w:sz w:val="24"/>
          <w:szCs w:val="24"/>
          <w:shd w:val="clear" w:color="auto" w:fill="FFFFFF"/>
          <w14:ligatures w14:val="standardContextual"/>
        </w:rPr>
        <w:t>.</w:t>
      </w:r>
    </w:p>
    <w:p w14:paraId="5B85C68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Brass EP. Basic Biomedical Sciences and the Future of Medical Education: Implications for Internal Medicine. Journal of General Internal Medicine [Internet]. 2009 Oct 30;24(11). Available from: https://doi.org/10.1007/s11606-009-0998-5</w:t>
      </w:r>
    </w:p>
    <w:p w14:paraId="361E916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Brennan ME, Madden DL. The evolving call to action for including climate change and environmental sustainability themes in health professional education: A scoping review. The </w:t>
      </w:r>
      <w:r w:rsidRPr="00D8283E">
        <w:rPr>
          <w:rFonts w:ascii="Times New Roman" w:eastAsia="Times New Roman" w:hAnsi="Times New Roman" w:cs="Times New Roman"/>
          <w:kern w:val="2"/>
          <w:sz w:val="24"/>
          <w:szCs w:val="24"/>
          <w:lang w:eastAsia="en-GB"/>
          <w14:ligatures w14:val="standardContextual"/>
        </w:rPr>
        <w:lastRenderedPageBreak/>
        <w:t xml:space="preserve">Journal of Climate Change and Health [Internet]. 2022 Dec </w:t>
      </w:r>
      <w:proofErr w:type="gramStart"/>
      <w:r w:rsidRPr="00D8283E">
        <w:rPr>
          <w:rFonts w:ascii="Times New Roman" w:eastAsia="Times New Roman" w:hAnsi="Times New Roman" w:cs="Times New Roman"/>
          <w:kern w:val="2"/>
          <w:sz w:val="24"/>
          <w:szCs w:val="24"/>
          <w:lang w:eastAsia="en-GB"/>
          <w14:ligatures w14:val="standardContextual"/>
        </w:rPr>
        <w:t>24;9:100200</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https://doi.org/10.1016/j.joclim.2022.100200</w:t>
      </w:r>
    </w:p>
    <w:p w14:paraId="4DBCB3C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Building health care sector resilience | U.S. Climate Resilience Toolkit [Internet]. Available from: https://toolkit.climate.gov/topics/human-health/building-climate-resilience-health-sector</w:t>
      </w:r>
    </w:p>
    <w:p w14:paraId="5B4A665C" w14:textId="0C8B9183"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Cadet MJ. Integrating Climate Change Concepts into Advanced Practice Registered Nurses Curricula with the Application of the National Organisation of Nurse Practitioner Faculties Competencies. Journal of Professional Nursing [Internet]. 2022 May </w:t>
      </w:r>
      <w:proofErr w:type="gramStart"/>
      <w:r w:rsidRPr="00D8283E">
        <w:rPr>
          <w:rFonts w:ascii="Times New Roman" w:eastAsia="Times New Roman" w:hAnsi="Times New Roman" w:cs="Times New Roman"/>
          <w:kern w:val="2"/>
          <w:sz w:val="24"/>
          <w:szCs w:val="24"/>
          <w:lang w:eastAsia="en-CA"/>
          <w14:ligatures w14:val="standardContextual"/>
        </w:rPr>
        <w:t>28;41:157</w:t>
      </w:r>
      <w:proofErr w:type="gramEnd"/>
      <w:r w:rsidRPr="00D8283E">
        <w:rPr>
          <w:rFonts w:ascii="Times New Roman" w:eastAsia="Times New Roman" w:hAnsi="Times New Roman" w:cs="Times New Roman"/>
          <w:kern w:val="2"/>
          <w:sz w:val="24"/>
          <w:szCs w:val="24"/>
          <w:lang w:eastAsia="en-CA"/>
          <w14:ligatures w14:val="standardContextual"/>
        </w:rPr>
        <w:t xml:space="preserve">–65. Available from: </w:t>
      </w:r>
      <w:hyperlink r:id="rId27" w:history="1">
        <w:r w:rsidR="009E0DE9" w:rsidRPr="001E0C8C">
          <w:rPr>
            <w:rStyle w:val="Hyperlink"/>
            <w:rFonts w:ascii="Times New Roman" w:eastAsia="Times New Roman" w:hAnsi="Times New Roman" w:cs="Times New Roman"/>
            <w:kern w:val="2"/>
            <w:sz w:val="24"/>
            <w:szCs w:val="24"/>
            <w:lang w:eastAsia="en-CA"/>
            <w14:ligatures w14:val="standardContextual"/>
          </w:rPr>
          <w:t>https://doi.org/10.1016/j.profnurs.2022.05.006</w:t>
        </w:r>
      </w:hyperlink>
    </w:p>
    <w:p w14:paraId="0B35D0BF" w14:textId="1235201C" w:rsidR="009E0DE9" w:rsidRDefault="009E0DE9" w:rsidP="009E0DE9">
      <w:pPr>
        <w:spacing w:after="0" w:line="360" w:lineRule="auto"/>
        <w:ind w:firstLineChars="300" w:firstLine="720"/>
        <w:rPr>
          <w:rFonts w:ascii="Times New Roman" w:eastAsia="Times New Roman" w:hAnsi="Times New Roman" w:cs="Times New Roman"/>
          <w:color w:val="000000"/>
          <w:sz w:val="24"/>
          <w:szCs w:val="24"/>
          <w:lang w:eastAsia="en-CA"/>
        </w:rPr>
      </w:pPr>
      <w:r w:rsidRPr="00824053">
        <w:rPr>
          <w:rFonts w:ascii="Times New Roman" w:eastAsia="Times New Roman" w:hAnsi="Times New Roman" w:cs="Times New Roman"/>
          <w:color w:val="000000"/>
          <w:sz w:val="24"/>
          <w:szCs w:val="24"/>
          <w:lang w:eastAsia="en-CA"/>
        </w:rPr>
        <w:t xml:space="preserve">Cairney, P. and Toomey, C., 2025. </w:t>
      </w:r>
      <w:proofErr w:type="gramStart"/>
      <w:r w:rsidRPr="00824053">
        <w:rPr>
          <w:rFonts w:ascii="Times New Roman" w:eastAsia="Times New Roman" w:hAnsi="Times New Roman" w:cs="Times New Roman"/>
          <w:color w:val="000000"/>
          <w:sz w:val="24"/>
          <w:szCs w:val="24"/>
          <w:lang w:eastAsia="en-CA"/>
        </w:rPr>
        <w:t>So</w:t>
      </w:r>
      <w:proofErr w:type="gramEnd"/>
      <w:r w:rsidRPr="00824053">
        <w:rPr>
          <w:rFonts w:ascii="Times New Roman" w:eastAsia="Times New Roman" w:hAnsi="Times New Roman" w:cs="Times New Roman"/>
          <w:color w:val="000000"/>
          <w:sz w:val="24"/>
          <w:szCs w:val="24"/>
          <w:lang w:eastAsia="en-CA"/>
        </w:rPr>
        <w:t xml:space="preserve"> you want to be a systems leader? </w:t>
      </w:r>
      <w:r w:rsidRPr="00824053">
        <w:rPr>
          <w:rFonts w:ascii="Times New Roman" w:eastAsia="Times New Roman" w:hAnsi="Times New Roman" w:cs="Times New Roman"/>
          <w:i/>
          <w:iCs/>
          <w:color w:val="000000"/>
          <w:sz w:val="24"/>
          <w:szCs w:val="24"/>
          <w:lang w:eastAsia="en-CA"/>
        </w:rPr>
        <w:t>Policy Design and Practice</w:t>
      </w:r>
      <w:r w:rsidRPr="00824053">
        <w:rPr>
          <w:rFonts w:ascii="Times New Roman" w:eastAsia="Times New Roman" w:hAnsi="Times New Roman" w:cs="Times New Roman"/>
          <w:color w:val="000000"/>
          <w:sz w:val="24"/>
          <w:szCs w:val="24"/>
          <w:lang w:eastAsia="en-CA"/>
        </w:rPr>
        <w:t xml:space="preserve">, 8(4), pp.393–407. Available from: </w:t>
      </w:r>
      <w:hyperlink r:id="rId28" w:history="1">
        <w:r w:rsidRPr="00824053">
          <w:rPr>
            <w:rStyle w:val="Hyperlink"/>
            <w:rFonts w:ascii="Times New Roman" w:eastAsia="Times New Roman" w:hAnsi="Times New Roman" w:cs="Times New Roman"/>
            <w:sz w:val="24"/>
            <w:szCs w:val="24"/>
            <w:lang w:eastAsia="en-CA"/>
          </w:rPr>
          <w:t>https://doi.org/10.1080/25741292.2025.2545667</w:t>
        </w:r>
      </w:hyperlink>
    </w:p>
    <w:p w14:paraId="6FDD89CE" w14:textId="54ECF22B" w:rsidR="009E0DE9" w:rsidRPr="00824053" w:rsidRDefault="009E0DE9" w:rsidP="00824053">
      <w:pPr>
        <w:spacing w:after="0" w:line="360" w:lineRule="auto"/>
        <w:ind w:firstLineChars="300" w:firstLine="720"/>
        <w:rPr>
          <w:rFonts w:ascii="Times New Roman" w:eastAsia="Times New Roman" w:hAnsi="Times New Roman" w:cs="Times New Roman"/>
          <w:color w:val="000000"/>
          <w:sz w:val="24"/>
          <w:szCs w:val="24"/>
          <w:lang w:eastAsia="en-CA"/>
        </w:rPr>
      </w:pPr>
      <w:proofErr w:type="spellStart"/>
      <w:r w:rsidRPr="00824053">
        <w:rPr>
          <w:rFonts w:ascii="Times New Roman" w:eastAsia="Times New Roman" w:hAnsi="Times New Roman" w:cs="Times New Roman"/>
          <w:color w:val="000000"/>
          <w:sz w:val="24"/>
          <w:szCs w:val="24"/>
          <w:lang w:eastAsia="en-CA"/>
        </w:rPr>
        <w:t>Calman</w:t>
      </w:r>
      <w:proofErr w:type="spellEnd"/>
      <w:r w:rsidRPr="00824053">
        <w:rPr>
          <w:rFonts w:ascii="Times New Roman" w:eastAsia="Times New Roman" w:hAnsi="Times New Roman" w:cs="Times New Roman"/>
          <w:color w:val="000000"/>
          <w:sz w:val="24"/>
          <w:szCs w:val="24"/>
          <w:lang w:eastAsia="en-CA"/>
        </w:rPr>
        <w:t xml:space="preserve">, K.C. and </w:t>
      </w:r>
      <w:proofErr w:type="spellStart"/>
      <w:r w:rsidRPr="00824053">
        <w:rPr>
          <w:rFonts w:ascii="Times New Roman" w:eastAsia="Times New Roman" w:hAnsi="Times New Roman" w:cs="Times New Roman"/>
          <w:color w:val="000000"/>
          <w:sz w:val="24"/>
          <w:szCs w:val="24"/>
          <w:lang w:eastAsia="en-CA"/>
        </w:rPr>
        <w:t>Downie</w:t>
      </w:r>
      <w:proofErr w:type="spellEnd"/>
      <w:r w:rsidRPr="00824053">
        <w:rPr>
          <w:rFonts w:ascii="Times New Roman" w:eastAsia="Times New Roman" w:hAnsi="Times New Roman" w:cs="Times New Roman"/>
          <w:color w:val="000000"/>
          <w:sz w:val="24"/>
          <w:szCs w:val="24"/>
          <w:lang w:eastAsia="en-CA"/>
        </w:rPr>
        <w:t xml:space="preserve">, R.S., 1988. Education and training in medicine. </w:t>
      </w:r>
      <w:r w:rsidRPr="00824053">
        <w:rPr>
          <w:rFonts w:ascii="Times New Roman" w:eastAsia="Times New Roman" w:hAnsi="Times New Roman" w:cs="Times New Roman"/>
          <w:i/>
          <w:iCs/>
          <w:color w:val="000000"/>
          <w:sz w:val="24"/>
          <w:szCs w:val="24"/>
          <w:lang w:eastAsia="en-CA"/>
        </w:rPr>
        <w:t>Medical Education</w:t>
      </w:r>
      <w:r w:rsidRPr="00824053">
        <w:rPr>
          <w:rFonts w:ascii="Times New Roman" w:eastAsia="Times New Roman" w:hAnsi="Times New Roman" w:cs="Times New Roman"/>
          <w:color w:val="000000"/>
          <w:sz w:val="24"/>
          <w:szCs w:val="24"/>
          <w:lang w:eastAsia="en-CA"/>
        </w:rPr>
        <w:t>, 22, pp.488–491. Available from: https://doi.org/10.1111/j.1365-2923.1988.tb00790.x</w:t>
      </w:r>
    </w:p>
    <w:p w14:paraId="5045BBA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Calvin K, Dasgupta D, </w:t>
      </w:r>
      <w:proofErr w:type="spellStart"/>
      <w:r w:rsidRPr="00D8283E">
        <w:rPr>
          <w:rFonts w:ascii="Times New Roman" w:eastAsia="Times New Roman" w:hAnsi="Times New Roman" w:cs="Times New Roman"/>
          <w:kern w:val="2"/>
          <w:sz w:val="24"/>
          <w:szCs w:val="24"/>
          <w:lang w:eastAsia="en-CA"/>
          <w14:ligatures w14:val="standardContextual"/>
        </w:rPr>
        <w:t>Krinner</w:t>
      </w:r>
      <w:proofErr w:type="spellEnd"/>
      <w:r w:rsidRPr="00D8283E">
        <w:rPr>
          <w:rFonts w:ascii="Times New Roman" w:eastAsia="Times New Roman" w:hAnsi="Times New Roman" w:cs="Times New Roman"/>
          <w:kern w:val="2"/>
          <w:sz w:val="24"/>
          <w:szCs w:val="24"/>
          <w:lang w:eastAsia="en-CA"/>
          <w14:ligatures w14:val="standardContextual"/>
        </w:rPr>
        <w:t xml:space="preserve"> G, Mukherji A, Thorne PW, </w:t>
      </w:r>
      <w:proofErr w:type="spellStart"/>
      <w:r w:rsidRPr="00D8283E">
        <w:rPr>
          <w:rFonts w:ascii="Times New Roman" w:eastAsia="Times New Roman" w:hAnsi="Times New Roman" w:cs="Times New Roman"/>
          <w:kern w:val="2"/>
          <w:sz w:val="24"/>
          <w:szCs w:val="24"/>
          <w:lang w:eastAsia="en-CA"/>
          <w14:ligatures w14:val="standardContextual"/>
        </w:rPr>
        <w:t>Trisos</w:t>
      </w:r>
      <w:proofErr w:type="spellEnd"/>
      <w:r w:rsidRPr="00D8283E">
        <w:rPr>
          <w:rFonts w:ascii="Times New Roman" w:eastAsia="Times New Roman" w:hAnsi="Times New Roman" w:cs="Times New Roman"/>
          <w:kern w:val="2"/>
          <w:sz w:val="24"/>
          <w:szCs w:val="24"/>
          <w:lang w:eastAsia="en-CA"/>
          <w14:ligatures w14:val="standardContextual"/>
        </w:rPr>
        <w:t xml:space="preserve"> C, et al. IPCC, 2023: Climate Change 2023: Synthesis Report. Contribution of Working Groups I, II and III to the Sixth Assessment Report of the Intergovernmental Panel on Climate Change [Core Writing Team, H.  Lee and J. Romero (eds.)]. IPCC, Geneva, Switzerland. [Internet]. 2023 Jul. Available from: https://doi.org/10.59327/ipcc/ar6-9789291691647</w:t>
      </w:r>
    </w:p>
    <w:p w14:paraId="1E3DB70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Cameron R, Molina-</w:t>
      </w:r>
      <w:proofErr w:type="spellStart"/>
      <w:r w:rsidRPr="00D8283E">
        <w:rPr>
          <w:rFonts w:ascii="Times New Roman" w:eastAsia="Times New Roman" w:hAnsi="Times New Roman" w:cs="Times New Roman"/>
          <w:kern w:val="2"/>
          <w:sz w:val="24"/>
          <w:szCs w:val="24"/>
          <w:lang w:eastAsia="en-CA"/>
          <w14:ligatures w14:val="standardContextual"/>
        </w:rPr>
        <w:t>Azorin</w:t>
      </w:r>
      <w:proofErr w:type="spellEnd"/>
      <w:r w:rsidRPr="00D8283E">
        <w:rPr>
          <w:rFonts w:ascii="Times New Roman" w:eastAsia="Times New Roman" w:hAnsi="Times New Roman" w:cs="Times New Roman"/>
          <w:kern w:val="2"/>
          <w:sz w:val="24"/>
          <w:szCs w:val="24"/>
          <w:lang w:eastAsia="en-CA"/>
          <w14:ligatures w14:val="standardContextual"/>
        </w:rPr>
        <w:t xml:space="preserve"> JF. The use of mixed methods across </w:t>
      </w:r>
      <w:proofErr w:type="spellStart"/>
      <w:r w:rsidRPr="00D8283E">
        <w:rPr>
          <w:rFonts w:ascii="Times New Roman" w:eastAsia="Times New Roman" w:hAnsi="Times New Roman" w:cs="Times New Roman"/>
          <w:kern w:val="2"/>
          <w:sz w:val="24"/>
          <w:szCs w:val="24"/>
          <w:lang w:eastAsia="en-CA"/>
          <w14:ligatures w14:val="standardContextual"/>
        </w:rPr>
        <w:t>across</w:t>
      </w:r>
      <w:proofErr w:type="spellEnd"/>
      <w:r w:rsidRPr="00D8283E">
        <w:rPr>
          <w:rFonts w:ascii="Times New Roman" w:eastAsia="Times New Roman" w:hAnsi="Times New Roman" w:cs="Times New Roman"/>
          <w:kern w:val="2"/>
          <w:sz w:val="24"/>
          <w:szCs w:val="24"/>
          <w:lang w:eastAsia="en-CA"/>
          <w14:ligatures w14:val="standardContextual"/>
        </w:rPr>
        <w:t xml:space="preserve"> seven business and management fields. Justice and Sustainability in the Global Economy [Internet]. 2010 Jan 1; Available from: http://epubs.scu.edu.au/comm_pubs/457/</w:t>
      </w:r>
    </w:p>
    <w:p w14:paraId="40A3B04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Canada NR. Canadian Wildland Fire Information System | Canadian National Fire Database (CNFDB) [Internet]. Available from: https://cwfis.cfs.nrcan.gc.ca/ha/nfdb</w:t>
      </w:r>
    </w:p>
    <w:p w14:paraId="62AE961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Canada NR. Canadian Wildland Fire Information System | Canadian National Fire </w:t>
      </w:r>
    </w:p>
    <w:p w14:paraId="5EC0EBB0"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Canadian Climate Institute (2023) </w:t>
      </w:r>
      <w:r w:rsidRPr="00D8283E">
        <w:rPr>
          <w:rFonts w:ascii="Times New Roman" w:eastAsia="Times New Roman" w:hAnsi="Times New Roman" w:cs="Times New Roman"/>
          <w:i/>
          <w:iCs/>
          <w:kern w:val="2"/>
          <w:sz w:val="24"/>
          <w:szCs w:val="24"/>
          <w:lang w:eastAsia="en-CA"/>
          <w14:ligatures w14:val="standardContextual"/>
        </w:rPr>
        <w:t>Extreme heat in Canada</w:t>
      </w:r>
      <w:r w:rsidRPr="00D8283E">
        <w:rPr>
          <w:rFonts w:ascii="Times New Roman" w:eastAsia="Times New Roman" w:hAnsi="Times New Roman" w:cs="Times New Roman"/>
          <w:kern w:val="2"/>
          <w:sz w:val="24"/>
          <w:szCs w:val="24"/>
          <w:lang w:eastAsia="en-CA"/>
          <w14:ligatures w14:val="standardContextual"/>
        </w:rPr>
        <w:t>. Available at: https://climateinstitute.ca/reports/extreme-heat-in-canada/ (Accessed: 25 June 2025).</w:t>
      </w:r>
    </w:p>
    <w:p w14:paraId="2A1E980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Carraccio</w:t>
      </w:r>
      <w:proofErr w:type="spellEnd"/>
      <w:r w:rsidRPr="00D8283E">
        <w:rPr>
          <w:rFonts w:ascii="Times New Roman" w:eastAsia="Times New Roman" w:hAnsi="Times New Roman" w:cs="Times New Roman"/>
          <w:kern w:val="2"/>
          <w:sz w:val="24"/>
          <w:szCs w:val="24"/>
          <w:lang w:eastAsia="en-GB"/>
          <w14:ligatures w14:val="standardContextual"/>
        </w:rPr>
        <w:t xml:space="preserve"> C, </w:t>
      </w:r>
      <w:proofErr w:type="spellStart"/>
      <w:r w:rsidRPr="00D8283E">
        <w:rPr>
          <w:rFonts w:ascii="Times New Roman" w:eastAsia="Times New Roman" w:hAnsi="Times New Roman" w:cs="Times New Roman"/>
          <w:kern w:val="2"/>
          <w:sz w:val="24"/>
          <w:szCs w:val="24"/>
          <w:lang w:eastAsia="en-GB"/>
          <w14:ligatures w14:val="standardContextual"/>
        </w:rPr>
        <w:t>Wolfsthal</w:t>
      </w:r>
      <w:proofErr w:type="spellEnd"/>
      <w:r w:rsidRPr="00D8283E">
        <w:rPr>
          <w:rFonts w:ascii="Times New Roman" w:eastAsia="Times New Roman" w:hAnsi="Times New Roman" w:cs="Times New Roman"/>
          <w:kern w:val="2"/>
          <w:sz w:val="24"/>
          <w:szCs w:val="24"/>
          <w:lang w:eastAsia="en-GB"/>
          <w14:ligatures w14:val="standardContextual"/>
        </w:rPr>
        <w:t xml:space="preserve"> SD, Englander R, Ferentz K, Martin C. Shifting paradigms. Academic Medicine [Internet]. 2002 May 1;77(5):361–7. Available from: https://doi.org/10.1097/00001888-200205000-00003</w:t>
      </w:r>
    </w:p>
    <w:p w14:paraId="72BB1D4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CASCADES. Report on the 2023 Summer Institute on Sustainable Health Systems - CASCADES Canada [Internet]. CASCADES Canada. 2023. Available from: https://cascadescanada.ca/report-2023-summer-institute/</w:t>
      </w:r>
    </w:p>
    <w:p w14:paraId="0F5E493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Castleden</w:t>
      </w:r>
      <w:proofErr w:type="spellEnd"/>
      <w:r w:rsidRPr="00D8283E">
        <w:rPr>
          <w:rFonts w:ascii="Times New Roman" w:eastAsia="Times New Roman" w:hAnsi="Times New Roman" w:cs="Times New Roman"/>
          <w:kern w:val="2"/>
          <w:sz w:val="24"/>
          <w:szCs w:val="24"/>
          <w:lang w:eastAsia="en-GB"/>
          <w14:ligatures w14:val="standardContextual"/>
        </w:rPr>
        <w:t xml:space="preserve"> H, Lin J, </w:t>
      </w:r>
      <w:proofErr w:type="spellStart"/>
      <w:r w:rsidRPr="00D8283E">
        <w:rPr>
          <w:rFonts w:ascii="Times New Roman" w:eastAsia="Times New Roman" w:hAnsi="Times New Roman" w:cs="Times New Roman"/>
          <w:kern w:val="2"/>
          <w:sz w:val="24"/>
          <w:szCs w:val="24"/>
          <w:lang w:eastAsia="en-GB"/>
          <w14:ligatures w14:val="standardContextual"/>
        </w:rPr>
        <w:t>Darrach</w:t>
      </w:r>
      <w:proofErr w:type="spellEnd"/>
      <w:r w:rsidRPr="00D8283E">
        <w:rPr>
          <w:rFonts w:ascii="Times New Roman" w:eastAsia="Times New Roman" w:hAnsi="Times New Roman" w:cs="Times New Roman"/>
          <w:kern w:val="2"/>
          <w:sz w:val="24"/>
          <w:szCs w:val="24"/>
          <w:lang w:eastAsia="en-GB"/>
          <w14:ligatures w14:val="standardContextual"/>
        </w:rPr>
        <w:t xml:space="preserve"> M. The public health emergency of climate change: how/are Canadian post-secondary public health sciences programs responding? Can J Public Health [Internet]. 2020 Aug 6;111(6):836–44. Available from: https://doi.org/10.17269/s41997-020-00386-3</w:t>
      </w:r>
    </w:p>
    <w:p w14:paraId="2F2B8D89"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Ccami</w:t>
      </w:r>
      <w:proofErr w:type="spellEnd"/>
      <w:r w:rsidRPr="00D8283E">
        <w:rPr>
          <w:rFonts w:ascii="Times New Roman" w:eastAsia="Times New Roman" w:hAnsi="Times New Roman" w:cs="Times New Roman"/>
          <w:kern w:val="2"/>
          <w:sz w:val="24"/>
          <w:szCs w:val="24"/>
          <w:lang w:eastAsia="en-CA"/>
          <w14:ligatures w14:val="standardContextual"/>
        </w:rPr>
        <w:t xml:space="preserve">-Bernal F, </w:t>
      </w:r>
      <w:proofErr w:type="spellStart"/>
      <w:r w:rsidRPr="00D8283E">
        <w:rPr>
          <w:rFonts w:ascii="Times New Roman" w:eastAsia="Times New Roman" w:hAnsi="Times New Roman" w:cs="Times New Roman"/>
          <w:kern w:val="2"/>
          <w:sz w:val="24"/>
          <w:szCs w:val="24"/>
          <w:lang w:eastAsia="en-CA"/>
          <w14:ligatures w14:val="standardContextual"/>
        </w:rPr>
        <w:t>Barriga-Chambi</w:t>
      </w:r>
      <w:proofErr w:type="spellEnd"/>
      <w:r w:rsidRPr="00D8283E">
        <w:rPr>
          <w:rFonts w:ascii="Times New Roman" w:eastAsia="Times New Roman" w:hAnsi="Times New Roman" w:cs="Times New Roman"/>
          <w:kern w:val="2"/>
          <w:sz w:val="24"/>
          <w:szCs w:val="24"/>
          <w:lang w:eastAsia="en-CA"/>
          <w14:ligatures w14:val="standardContextual"/>
        </w:rPr>
        <w:t xml:space="preserve"> F, </w:t>
      </w:r>
      <w:proofErr w:type="spellStart"/>
      <w:r w:rsidRPr="00D8283E">
        <w:rPr>
          <w:rFonts w:ascii="Times New Roman" w:eastAsia="Times New Roman" w:hAnsi="Times New Roman" w:cs="Times New Roman"/>
          <w:kern w:val="2"/>
          <w:sz w:val="24"/>
          <w:szCs w:val="24"/>
          <w:lang w:eastAsia="en-CA"/>
          <w14:ligatures w14:val="standardContextual"/>
        </w:rPr>
        <w:t>Quispe</w:t>
      </w:r>
      <w:proofErr w:type="spellEnd"/>
      <w:r w:rsidRPr="00D8283E">
        <w:rPr>
          <w:rFonts w:ascii="Times New Roman" w:eastAsia="Times New Roman" w:hAnsi="Times New Roman" w:cs="Times New Roman"/>
          <w:kern w:val="2"/>
          <w:sz w:val="24"/>
          <w:szCs w:val="24"/>
          <w:lang w:eastAsia="en-CA"/>
          <w14:ligatures w14:val="standardContextual"/>
        </w:rPr>
        <w:t>-Vicuña C, Fernandez-Guzman D, Arredondo-</w:t>
      </w:r>
      <w:proofErr w:type="spellStart"/>
      <w:r w:rsidRPr="00D8283E">
        <w:rPr>
          <w:rFonts w:ascii="Times New Roman" w:eastAsia="Times New Roman" w:hAnsi="Times New Roman" w:cs="Times New Roman"/>
          <w:kern w:val="2"/>
          <w:sz w:val="24"/>
          <w:szCs w:val="24"/>
          <w:lang w:eastAsia="en-CA"/>
          <w14:ligatures w14:val="standardContextual"/>
        </w:rPr>
        <w:t>Nontol</w:t>
      </w:r>
      <w:proofErr w:type="spellEnd"/>
      <w:r w:rsidRPr="00D8283E">
        <w:rPr>
          <w:rFonts w:ascii="Times New Roman" w:eastAsia="Times New Roman" w:hAnsi="Times New Roman" w:cs="Times New Roman"/>
          <w:kern w:val="2"/>
          <w:sz w:val="24"/>
          <w:szCs w:val="24"/>
          <w:lang w:eastAsia="en-CA"/>
          <w14:ligatures w14:val="standardContextual"/>
        </w:rPr>
        <w:t xml:space="preserve"> R, Arredondo-</w:t>
      </w:r>
      <w:proofErr w:type="spellStart"/>
      <w:r w:rsidRPr="00D8283E">
        <w:rPr>
          <w:rFonts w:ascii="Times New Roman" w:eastAsia="Times New Roman" w:hAnsi="Times New Roman" w:cs="Times New Roman"/>
          <w:kern w:val="2"/>
          <w:sz w:val="24"/>
          <w:szCs w:val="24"/>
          <w:lang w:eastAsia="en-CA"/>
          <w14:ligatures w14:val="standardContextual"/>
        </w:rPr>
        <w:t>Nontol</w:t>
      </w:r>
      <w:proofErr w:type="spellEnd"/>
      <w:r w:rsidRPr="00D8283E">
        <w:rPr>
          <w:rFonts w:ascii="Times New Roman" w:eastAsia="Times New Roman" w:hAnsi="Times New Roman" w:cs="Times New Roman"/>
          <w:kern w:val="2"/>
          <w:sz w:val="24"/>
          <w:szCs w:val="24"/>
          <w:lang w:eastAsia="en-CA"/>
          <w14:ligatures w14:val="standardContextual"/>
        </w:rPr>
        <w:t xml:space="preserve"> M, et al. Health science students’ preparedness for climate change: a scoping review on knowledge, attitudes, and practices. BMC Medical Education [Internet]. 2024 Jun 11;24(1). Available from: https://doi.org/10.1186/s12909-024-05629-2</w:t>
      </w:r>
    </w:p>
    <w:p w14:paraId="34E1905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Challa</w:t>
      </w:r>
      <w:proofErr w:type="spellEnd"/>
      <w:r w:rsidRPr="00D8283E">
        <w:rPr>
          <w:rFonts w:ascii="Times New Roman" w:eastAsia="Times New Roman" w:hAnsi="Times New Roman" w:cs="Times New Roman"/>
          <w:kern w:val="2"/>
          <w:sz w:val="24"/>
          <w:szCs w:val="24"/>
          <w:lang w:eastAsia="en-CA"/>
          <w14:ligatures w14:val="standardContextual"/>
        </w:rPr>
        <w:t xml:space="preserve">, K.T., Sayed, A. and Acharya, Y. (2021) ‘Modern techniques of teaching and learning in medical education: a descriptive literature review’, </w:t>
      </w:r>
      <w:proofErr w:type="spellStart"/>
      <w:r w:rsidRPr="00D8283E">
        <w:rPr>
          <w:rFonts w:ascii="Times New Roman" w:eastAsia="Times New Roman" w:hAnsi="Times New Roman" w:cs="Times New Roman"/>
          <w:i/>
          <w:iCs/>
          <w:kern w:val="2"/>
          <w:sz w:val="24"/>
          <w:szCs w:val="24"/>
          <w:lang w:eastAsia="en-CA"/>
          <w14:ligatures w14:val="standardContextual"/>
        </w:rPr>
        <w:t>MedEdPublish</w:t>
      </w:r>
      <w:proofErr w:type="spellEnd"/>
      <w:r w:rsidRPr="00D8283E">
        <w:rPr>
          <w:rFonts w:ascii="Times New Roman" w:eastAsia="Times New Roman" w:hAnsi="Times New Roman" w:cs="Times New Roman"/>
          <w:kern w:val="2"/>
          <w:sz w:val="24"/>
          <w:szCs w:val="24"/>
          <w:lang w:eastAsia="en-CA"/>
          <w14:ligatures w14:val="standardContextual"/>
        </w:rPr>
        <w:t>, 10, 18. https://doi.org/10.15694/mep.2021.000018.1</w:t>
      </w:r>
    </w:p>
    <w:p w14:paraId="4C6B5610"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Change NIP on C. Climate Change 2022 – Impacts, adaptation and vulnerability [Internet]. 2023. Available from: https://doi.org/10.1017/9781009325844</w:t>
      </w:r>
    </w:p>
    <w:p w14:paraId="4CD17256" w14:textId="77777777" w:rsidR="00D8283E" w:rsidRPr="00D8283E" w:rsidRDefault="00D8283E" w:rsidP="00D8283E">
      <w:pPr>
        <w:spacing w:line="240" w:lineRule="auto"/>
        <w:ind w:firstLine="720"/>
        <w:rPr>
          <w:rFonts w:ascii="Times New Roman" w:hAnsi="Times New Roman" w:cs="Times New Roman"/>
          <w:color w:val="212121"/>
          <w:kern w:val="2"/>
          <w:sz w:val="24"/>
          <w:szCs w:val="24"/>
          <w:shd w:val="clear" w:color="auto" w:fill="FFFFFF"/>
          <w14:ligatures w14:val="standardContextual"/>
        </w:rPr>
      </w:pPr>
      <w:r w:rsidRPr="00D8283E">
        <w:rPr>
          <w:rFonts w:ascii="Times New Roman" w:hAnsi="Times New Roman" w:cs="Times New Roman"/>
          <w:color w:val="212121"/>
          <w:kern w:val="2"/>
          <w:sz w:val="24"/>
          <w:szCs w:val="24"/>
          <w:shd w:val="clear" w:color="auto" w:fill="FFFFFF"/>
          <w14:ligatures w14:val="standardContextual"/>
        </w:rPr>
        <w:t xml:space="preserve">Chatterjee D, Corral J. How to Write Well-Defined Learning Objectives. J Educ </w:t>
      </w:r>
      <w:proofErr w:type="spellStart"/>
      <w:r w:rsidRPr="00D8283E">
        <w:rPr>
          <w:rFonts w:ascii="Times New Roman" w:hAnsi="Times New Roman" w:cs="Times New Roman"/>
          <w:color w:val="212121"/>
          <w:kern w:val="2"/>
          <w:sz w:val="24"/>
          <w:szCs w:val="24"/>
          <w:shd w:val="clear" w:color="auto" w:fill="FFFFFF"/>
          <w14:ligatures w14:val="standardContextual"/>
        </w:rPr>
        <w:t>Perioper</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Med. 2017 Oct 1;19(4</w:t>
      </w:r>
      <w:proofErr w:type="gramStart"/>
      <w:r w:rsidRPr="00D8283E">
        <w:rPr>
          <w:rFonts w:ascii="Times New Roman" w:hAnsi="Times New Roman" w:cs="Times New Roman"/>
          <w:color w:val="212121"/>
          <w:kern w:val="2"/>
          <w:sz w:val="24"/>
          <w:szCs w:val="24"/>
          <w:shd w:val="clear" w:color="auto" w:fill="FFFFFF"/>
          <w14:ligatures w14:val="standardContextual"/>
        </w:rPr>
        <w:t>):E</w:t>
      </w:r>
      <w:proofErr w:type="gramEnd"/>
      <w:r w:rsidRPr="00D8283E">
        <w:rPr>
          <w:rFonts w:ascii="Times New Roman" w:hAnsi="Times New Roman" w:cs="Times New Roman"/>
          <w:color w:val="212121"/>
          <w:kern w:val="2"/>
          <w:sz w:val="24"/>
          <w:szCs w:val="24"/>
          <w:shd w:val="clear" w:color="auto" w:fill="FFFFFF"/>
          <w14:ligatures w14:val="standardContextual"/>
        </w:rPr>
        <w:t>610. PMID: 29766034; PMCID: PMC5944406.</w:t>
      </w:r>
    </w:p>
    <w:p w14:paraId="1A1C34DF"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Chen EYH, Forrester C, McEvoy AM, Singleton J. Pharmacy students’ perceptions on environmental sustainability in pharmacy education and practice. Exploratory Research in Clinical and Social Pharmacy [Internet]. 2023 Nov </w:t>
      </w:r>
      <w:proofErr w:type="gramStart"/>
      <w:r w:rsidRPr="00D8283E">
        <w:rPr>
          <w:rFonts w:ascii="Times New Roman" w:eastAsia="Times New Roman" w:hAnsi="Times New Roman" w:cs="Times New Roman"/>
          <w:kern w:val="2"/>
          <w:sz w:val="24"/>
          <w:szCs w:val="24"/>
          <w:lang w:eastAsia="en-GB"/>
          <w14:ligatures w14:val="standardContextual"/>
        </w:rPr>
        <w:t>10;12:100366</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https://doi.org/10.1016/j.rcsop.2023.100366</w:t>
      </w:r>
    </w:p>
    <w:p w14:paraId="47250A81"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Chi L, </w:t>
      </w:r>
      <w:proofErr w:type="spellStart"/>
      <w:r w:rsidRPr="00D8283E">
        <w:rPr>
          <w:rFonts w:ascii="Times New Roman" w:eastAsia="Times New Roman" w:hAnsi="Times New Roman" w:cs="Times New Roman"/>
          <w:kern w:val="2"/>
          <w:sz w:val="24"/>
          <w:szCs w:val="24"/>
          <w:lang w:eastAsia="en-GB"/>
          <w14:ligatures w14:val="standardContextual"/>
        </w:rPr>
        <w:t>Boucaut</w:t>
      </w:r>
      <w:proofErr w:type="spellEnd"/>
      <w:r w:rsidRPr="00D8283E">
        <w:rPr>
          <w:rFonts w:ascii="Times New Roman" w:eastAsia="Times New Roman" w:hAnsi="Times New Roman" w:cs="Times New Roman"/>
          <w:kern w:val="2"/>
          <w:sz w:val="24"/>
          <w:szCs w:val="24"/>
          <w:lang w:eastAsia="en-GB"/>
          <w14:ligatures w14:val="standardContextual"/>
        </w:rPr>
        <w:t xml:space="preserve"> R, Li LSK, Fryer CE, Kumar S. Australian physiotherapists’ knowledge and views on the relationship between climate change, health, and physiotherapy. Physiotherapy Research International [Internet]. 2024 Mar 28;29(2). Available from: https://doi.org/10.1002/pri.2085</w:t>
      </w:r>
    </w:p>
    <w:p w14:paraId="7310D93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Chung SJ, Jang SJ, Lee H. Eco‐anxiety and environmental sustainability interest: A secondary data analysis. International Journal of Mental Health Nursing [Internet]. 2023 Apr 5;32(6):1462–72. Available from: https://doi.org/10.1111/inm.13150</w:t>
      </w:r>
    </w:p>
    <w:p w14:paraId="686B0C51"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lastRenderedPageBreak/>
        <w:t xml:space="preserve">Clark VLP. Meaningful integration within mixed methods studies: Identifying why, what, when, and how. Contemporary Educational Psychology [Internet]. 2019 Jan </w:t>
      </w:r>
      <w:proofErr w:type="gramStart"/>
      <w:r w:rsidRPr="00D8283E">
        <w:rPr>
          <w:rFonts w:ascii="Times New Roman" w:eastAsia="Times New Roman" w:hAnsi="Times New Roman" w:cs="Times New Roman"/>
          <w:kern w:val="2"/>
          <w:sz w:val="24"/>
          <w:szCs w:val="24"/>
          <w:lang w:eastAsia="en-GB"/>
          <w14:ligatures w14:val="standardContextual"/>
        </w:rPr>
        <w:t>10;57:106</w:t>
      </w:r>
      <w:proofErr w:type="gramEnd"/>
      <w:r w:rsidRPr="00D8283E">
        <w:rPr>
          <w:rFonts w:ascii="Times New Roman" w:eastAsia="Times New Roman" w:hAnsi="Times New Roman" w:cs="Times New Roman"/>
          <w:kern w:val="2"/>
          <w:sz w:val="24"/>
          <w:szCs w:val="24"/>
          <w:lang w:eastAsia="en-GB"/>
          <w14:ligatures w14:val="standardContextual"/>
        </w:rPr>
        <w:t>–11. Available from: https://doi.org/10.1016/j.cedpsych.2019.01.007</w:t>
      </w:r>
    </w:p>
    <w:p w14:paraId="6DC475BC" w14:textId="77777777"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Clarke, J. </w:t>
      </w:r>
      <w:r w:rsidRPr="00D8283E">
        <w:rPr>
          <w:rFonts w:ascii="Times New Roman" w:eastAsia="Times New Roman" w:hAnsi="Times New Roman" w:cs="Times New Roman"/>
          <w:i/>
          <w:iCs/>
          <w:kern w:val="2"/>
          <w:sz w:val="24"/>
          <w:szCs w:val="24"/>
          <w:lang w:eastAsia="en-CA"/>
          <w14:ligatures w14:val="standardContextual"/>
        </w:rPr>
        <w:t>et al.</w:t>
      </w:r>
      <w:r w:rsidRPr="00D8283E">
        <w:rPr>
          <w:rFonts w:ascii="Times New Roman" w:eastAsia="Times New Roman" w:hAnsi="Times New Roman" w:cs="Times New Roman"/>
          <w:kern w:val="2"/>
          <w:sz w:val="24"/>
          <w:szCs w:val="24"/>
          <w:lang w:eastAsia="en-CA"/>
          <w14:ligatures w14:val="standardContextual"/>
        </w:rPr>
        <w:t xml:space="preserve"> (2025) ‘Health workforce as a climate and health priority in nationally determined contributions’, </w:t>
      </w:r>
      <w:r w:rsidRPr="00D8283E">
        <w:rPr>
          <w:rFonts w:ascii="Times New Roman" w:eastAsia="Times New Roman" w:hAnsi="Times New Roman" w:cs="Times New Roman"/>
          <w:i/>
          <w:iCs/>
          <w:kern w:val="2"/>
          <w:sz w:val="24"/>
          <w:szCs w:val="24"/>
          <w:lang w:eastAsia="en-CA"/>
          <w14:ligatures w14:val="standardContextual"/>
        </w:rPr>
        <w:t>The Lancet Planetary Health</w:t>
      </w:r>
      <w:r w:rsidRPr="00D8283E">
        <w:rPr>
          <w:rFonts w:ascii="Times New Roman" w:eastAsia="Times New Roman" w:hAnsi="Times New Roman" w:cs="Times New Roman"/>
          <w:kern w:val="2"/>
          <w:sz w:val="24"/>
          <w:szCs w:val="24"/>
          <w:lang w:eastAsia="en-CA"/>
          <w14:ligatures w14:val="standardContextual"/>
        </w:rPr>
        <w:t>, 9(8), 101288.</w:t>
      </w:r>
    </w:p>
    <w:p w14:paraId="3CC6C608" w14:textId="4F9FB08A"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1D624A">
        <w:rPr>
          <w:rFonts w:ascii="Times New Roman" w:eastAsia="Times New Roman" w:hAnsi="Times New Roman" w:cs="Times New Roman"/>
          <w:kern w:val="2"/>
          <w:sz w:val="24"/>
          <w:szCs w:val="24"/>
          <w:lang w:eastAsia="en-CA"/>
          <w14:ligatures w14:val="standardContextual"/>
        </w:rPr>
        <w:t xml:space="preserve">Clayton, S. Climate anxiety: Psychological responses to climate change. J Anxiety </w:t>
      </w:r>
      <w:proofErr w:type="spellStart"/>
      <w:r w:rsidRPr="001D624A">
        <w:rPr>
          <w:rFonts w:ascii="Times New Roman" w:eastAsia="Times New Roman" w:hAnsi="Times New Roman" w:cs="Times New Roman"/>
          <w:kern w:val="2"/>
          <w:sz w:val="24"/>
          <w:szCs w:val="24"/>
          <w:lang w:eastAsia="en-CA"/>
          <w14:ligatures w14:val="standardContextual"/>
        </w:rPr>
        <w:t>Disord</w:t>
      </w:r>
      <w:proofErr w:type="spellEnd"/>
      <w:r w:rsidRPr="001D624A">
        <w:rPr>
          <w:rFonts w:ascii="Times New Roman" w:eastAsia="Times New Roman" w:hAnsi="Times New Roman" w:cs="Times New Roman"/>
          <w:kern w:val="2"/>
          <w:sz w:val="24"/>
          <w:szCs w:val="24"/>
          <w:lang w:eastAsia="en-CA"/>
          <w14:ligatures w14:val="standardContextual"/>
        </w:rPr>
        <w:t xml:space="preserve">. 2020 </w:t>
      </w:r>
      <w:proofErr w:type="gramStart"/>
      <w:r w:rsidRPr="001D624A">
        <w:rPr>
          <w:rFonts w:ascii="Times New Roman" w:eastAsia="Times New Roman" w:hAnsi="Times New Roman" w:cs="Times New Roman"/>
          <w:kern w:val="2"/>
          <w:sz w:val="24"/>
          <w:szCs w:val="24"/>
          <w:lang w:eastAsia="en-CA"/>
          <w14:ligatures w14:val="standardContextual"/>
        </w:rPr>
        <w:t>Aug;74:102263</w:t>
      </w:r>
      <w:proofErr w:type="gramEnd"/>
      <w:r w:rsidRPr="001D624A">
        <w:rPr>
          <w:rFonts w:ascii="Times New Roman" w:eastAsia="Times New Roman" w:hAnsi="Times New Roman" w:cs="Times New Roman"/>
          <w:kern w:val="2"/>
          <w:sz w:val="24"/>
          <w:szCs w:val="24"/>
          <w:lang w:eastAsia="en-CA"/>
          <w14:ligatures w14:val="standardContextual"/>
        </w:rPr>
        <w:t xml:space="preserve">. </w:t>
      </w:r>
      <w:proofErr w:type="spellStart"/>
      <w:r w:rsidRPr="001D624A">
        <w:rPr>
          <w:rFonts w:ascii="Times New Roman" w:eastAsia="Times New Roman" w:hAnsi="Times New Roman" w:cs="Times New Roman"/>
          <w:kern w:val="2"/>
          <w:sz w:val="24"/>
          <w:szCs w:val="24"/>
          <w:lang w:eastAsia="en-CA"/>
          <w14:ligatures w14:val="standardContextual"/>
        </w:rPr>
        <w:t>doi</w:t>
      </w:r>
      <w:proofErr w:type="spellEnd"/>
      <w:r w:rsidRPr="001D624A">
        <w:rPr>
          <w:rFonts w:ascii="Times New Roman" w:eastAsia="Times New Roman" w:hAnsi="Times New Roman" w:cs="Times New Roman"/>
          <w:kern w:val="2"/>
          <w:sz w:val="24"/>
          <w:szCs w:val="24"/>
          <w:lang w:eastAsia="en-CA"/>
          <w14:ligatures w14:val="standardContextual"/>
        </w:rPr>
        <w:t xml:space="preserve">: 10.1016/j.janxdis.2020.102263. </w:t>
      </w:r>
      <w:proofErr w:type="spellStart"/>
      <w:r w:rsidRPr="001D624A">
        <w:rPr>
          <w:rFonts w:ascii="Times New Roman" w:eastAsia="Times New Roman" w:hAnsi="Times New Roman" w:cs="Times New Roman"/>
          <w:kern w:val="2"/>
          <w:sz w:val="24"/>
          <w:szCs w:val="24"/>
          <w:lang w:eastAsia="en-CA"/>
          <w14:ligatures w14:val="standardContextual"/>
        </w:rPr>
        <w:t>Epub</w:t>
      </w:r>
      <w:proofErr w:type="spellEnd"/>
      <w:r w:rsidRPr="001D624A">
        <w:rPr>
          <w:rFonts w:ascii="Times New Roman" w:eastAsia="Times New Roman" w:hAnsi="Times New Roman" w:cs="Times New Roman"/>
          <w:kern w:val="2"/>
          <w:sz w:val="24"/>
          <w:szCs w:val="24"/>
          <w:lang w:eastAsia="en-CA"/>
          <w14:ligatures w14:val="standardContextual"/>
        </w:rPr>
        <w:t xml:space="preserve"> 2020 Jun 26. PMID: 32623280.</w:t>
      </w:r>
    </w:p>
    <w:p w14:paraId="24E5A63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Competency-based training in medical education - 2022 [Internet]. Australian Medical Association. 2022. Available from: https://www.ama.com.au/articles/competency-based-training-medical-education-2022#:~:text=Competency%20Based%20Medical%20Education%20(CBME,complexities%20of%20the%2021st%20centur</w:t>
      </w:r>
    </w:p>
    <w:p w14:paraId="192705DE"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Cooke E, </w:t>
      </w:r>
      <w:proofErr w:type="spellStart"/>
      <w:r w:rsidRPr="00D8283E">
        <w:rPr>
          <w:rFonts w:ascii="Times New Roman" w:eastAsia="Times New Roman" w:hAnsi="Times New Roman" w:cs="Times New Roman"/>
          <w:kern w:val="2"/>
          <w:sz w:val="24"/>
          <w:szCs w:val="24"/>
          <w:lang w:eastAsia="en-GB"/>
          <w14:ligatures w14:val="standardContextual"/>
        </w:rPr>
        <w:t>Cussans</w:t>
      </w:r>
      <w:proofErr w:type="spellEnd"/>
      <w:r w:rsidRPr="00D8283E">
        <w:rPr>
          <w:rFonts w:ascii="Times New Roman" w:eastAsia="Times New Roman" w:hAnsi="Times New Roman" w:cs="Times New Roman"/>
          <w:kern w:val="2"/>
          <w:sz w:val="24"/>
          <w:szCs w:val="24"/>
          <w:lang w:eastAsia="en-GB"/>
          <w14:ligatures w14:val="standardContextual"/>
        </w:rPr>
        <w:t xml:space="preserve"> A, Clack A, Cornford C. Climate change and health scorecard: What </w:t>
      </w:r>
      <w:proofErr w:type="gramStart"/>
      <w:r w:rsidRPr="00D8283E">
        <w:rPr>
          <w:rFonts w:ascii="Times New Roman" w:eastAsia="Times New Roman" w:hAnsi="Times New Roman" w:cs="Times New Roman"/>
          <w:kern w:val="2"/>
          <w:sz w:val="24"/>
          <w:szCs w:val="24"/>
          <w:lang w:eastAsia="en-GB"/>
          <w14:ligatures w14:val="standardContextual"/>
        </w:rPr>
        <w:t>are</w:t>
      </w:r>
      <w:proofErr w:type="gramEnd"/>
      <w:r w:rsidRPr="00D8283E">
        <w:rPr>
          <w:rFonts w:ascii="Times New Roman" w:eastAsia="Times New Roman" w:hAnsi="Times New Roman" w:cs="Times New Roman"/>
          <w:kern w:val="2"/>
          <w:sz w:val="24"/>
          <w:szCs w:val="24"/>
          <w:lang w:eastAsia="en-GB"/>
          <w14:ligatures w14:val="standardContextual"/>
        </w:rPr>
        <w:t xml:space="preserve"> UK professional and regulatory health organizations doing to tackle the climate and ecological emergency? The Journal of Climate Change and Health [Internet]. 2022 Aug </w:t>
      </w:r>
      <w:proofErr w:type="gramStart"/>
      <w:r w:rsidRPr="00D8283E">
        <w:rPr>
          <w:rFonts w:ascii="Times New Roman" w:eastAsia="Times New Roman" w:hAnsi="Times New Roman" w:cs="Times New Roman"/>
          <w:kern w:val="2"/>
          <w:sz w:val="24"/>
          <w:szCs w:val="24"/>
          <w:lang w:eastAsia="en-GB"/>
          <w14:ligatures w14:val="standardContextual"/>
        </w:rPr>
        <w:t>13;8:100164</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https://doi.org/10.1016/j.joclim.2022.100164</w:t>
      </w:r>
    </w:p>
    <w:p w14:paraId="0918E6B9"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Coronese</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Lamperti</w:t>
      </w:r>
      <w:proofErr w:type="spellEnd"/>
      <w:r w:rsidRPr="00D8283E">
        <w:rPr>
          <w:rFonts w:ascii="Times New Roman" w:eastAsia="Times New Roman" w:hAnsi="Times New Roman" w:cs="Times New Roman"/>
          <w:kern w:val="2"/>
          <w:sz w:val="24"/>
          <w:szCs w:val="24"/>
          <w:lang w:eastAsia="en-CA"/>
          <w14:ligatures w14:val="standardContextual"/>
        </w:rPr>
        <w:t xml:space="preserve"> F, Keller K, </w:t>
      </w:r>
      <w:proofErr w:type="spellStart"/>
      <w:r w:rsidRPr="00D8283E">
        <w:rPr>
          <w:rFonts w:ascii="Times New Roman" w:eastAsia="Times New Roman" w:hAnsi="Times New Roman" w:cs="Times New Roman"/>
          <w:kern w:val="2"/>
          <w:sz w:val="24"/>
          <w:szCs w:val="24"/>
          <w:lang w:eastAsia="en-CA"/>
          <w14:ligatures w14:val="standardContextual"/>
        </w:rPr>
        <w:t>Chiaromonte</w:t>
      </w:r>
      <w:proofErr w:type="spellEnd"/>
      <w:r w:rsidRPr="00D8283E">
        <w:rPr>
          <w:rFonts w:ascii="Times New Roman" w:eastAsia="Times New Roman" w:hAnsi="Times New Roman" w:cs="Times New Roman"/>
          <w:kern w:val="2"/>
          <w:sz w:val="24"/>
          <w:szCs w:val="24"/>
          <w:lang w:eastAsia="en-CA"/>
          <w14:ligatures w14:val="standardContextual"/>
        </w:rPr>
        <w:t xml:space="preserve"> F, </w:t>
      </w:r>
      <w:proofErr w:type="spellStart"/>
      <w:r w:rsidRPr="00D8283E">
        <w:rPr>
          <w:rFonts w:ascii="Times New Roman" w:eastAsia="Times New Roman" w:hAnsi="Times New Roman" w:cs="Times New Roman"/>
          <w:kern w:val="2"/>
          <w:sz w:val="24"/>
          <w:szCs w:val="24"/>
          <w:lang w:eastAsia="en-CA"/>
          <w14:ligatures w14:val="standardContextual"/>
        </w:rPr>
        <w:t>Roventini</w:t>
      </w:r>
      <w:proofErr w:type="spellEnd"/>
      <w:r w:rsidRPr="00D8283E">
        <w:rPr>
          <w:rFonts w:ascii="Times New Roman" w:eastAsia="Times New Roman" w:hAnsi="Times New Roman" w:cs="Times New Roman"/>
          <w:kern w:val="2"/>
          <w:sz w:val="24"/>
          <w:szCs w:val="24"/>
          <w:lang w:eastAsia="en-CA"/>
          <w14:ligatures w14:val="standardContextual"/>
        </w:rPr>
        <w:t xml:space="preserve"> A. Evidence for sharp increase in the economic damages of extreme natural disasters. Proceedings of the National Academy of Sciences [Internet]. 2019 Oct 7;116(43):21450–5. Available from: https://doi.org/10.1073/pnas.1907826116</w:t>
      </w:r>
    </w:p>
    <w:p w14:paraId="1B580F3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Costello A, Abbas M, Allen A, Ball S, Bell S, Bellamy R, et al. Managing the health effects of climate change. The Lancet [Internet]. 2009 May 1;373(9676):1693–733. Available from: https://doi.org/10.1016/s0140-6736(09)60935-1</w:t>
      </w:r>
    </w:p>
    <w:p w14:paraId="1C4C79D0" w14:textId="77777777" w:rsidR="00D8283E" w:rsidRPr="00D8283E" w:rsidRDefault="00D8283E" w:rsidP="00D8283E">
      <w:pPr>
        <w:spacing w:line="24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14:ligatures w14:val="standardContextual"/>
        </w:rPr>
        <w:t>CRED &amp; UNDRR: The non-COVID year in disasters. Brussels: CRED; 2021.</w:t>
      </w:r>
    </w:p>
    <w:p w14:paraId="3CE9E952" w14:textId="77777777" w:rsidR="00D8283E" w:rsidRPr="00D8283E" w:rsidRDefault="00D8283E" w:rsidP="00D8283E">
      <w:pPr>
        <w:spacing w:line="278" w:lineRule="auto"/>
        <w:ind w:firstLine="720"/>
        <w:rPr>
          <w:rFonts w:ascii="Times New Roman" w:hAnsi="Times New Roman" w:cs="Times New Roman"/>
          <w:color w:val="212121"/>
          <w:kern w:val="2"/>
          <w:sz w:val="24"/>
          <w:szCs w:val="24"/>
          <w:shd w:val="clear" w:color="auto" w:fill="FFFFFF"/>
          <w14:ligatures w14:val="standardContextual"/>
        </w:rPr>
      </w:pPr>
      <w:r w:rsidRPr="00D8283E">
        <w:rPr>
          <w:rFonts w:ascii="Times New Roman" w:hAnsi="Times New Roman" w:cs="Times New Roman"/>
          <w:color w:val="000000"/>
          <w:spacing w:val="3"/>
          <w:kern w:val="2"/>
          <w:sz w:val="24"/>
          <w:szCs w:val="24"/>
          <w:shd w:val="clear" w:color="auto" w:fill="FFFFFF"/>
          <w14:ligatures w14:val="standardContextual"/>
        </w:rPr>
        <w:t>Creswell, J. W., &amp; Creswell, J. D. (2018). </w:t>
      </w:r>
      <w:r w:rsidRPr="00D8283E">
        <w:rPr>
          <w:rFonts w:ascii="Times New Roman" w:hAnsi="Times New Roman" w:cs="Times New Roman"/>
          <w:i/>
          <w:iCs/>
          <w:color w:val="000000"/>
          <w:spacing w:val="3"/>
          <w:kern w:val="2"/>
          <w:sz w:val="24"/>
          <w:szCs w:val="24"/>
          <w:bdr w:val="none" w:sz="0" w:space="0" w:color="auto" w:frame="1"/>
          <w14:ligatures w14:val="standardContextual"/>
        </w:rPr>
        <w:t>Research design</w:t>
      </w:r>
      <w:r w:rsidRPr="00D8283E">
        <w:rPr>
          <w:rFonts w:ascii="Times New Roman" w:hAnsi="Times New Roman" w:cs="Times New Roman"/>
          <w:color w:val="000000"/>
          <w:spacing w:val="3"/>
          <w:kern w:val="2"/>
          <w:sz w:val="24"/>
          <w:szCs w:val="24"/>
          <w:shd w:val="clear" w:color="auto" w:fill="FFFFFF"/>
          <w14:ligatures w14:val="standardContextual"/>
        </w:rPr>
        <w:t> (5th ed.). SAGE Publications.</w:t>
      </w:r>
    </w:p>
    <w:p w14:paraId="74A8B09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Crimmins A, </w:t>
      </w:r>
      <w:proofErr w:type="spellStart"/>
      <w:r w:rsidRPr="00D8283E">
        <w:rPr>
          <w:rFonts w:ascii="Times New Roman" w:eastAsia="Times New Roman" w:hAnsi="Times New Roman" w:cs="Times New Roman"/>
          <w:kern w:val="2"/>
          <w:sz w:val="24"/>
          <w:szCs w:val="24"/>
          <w:lang w:eastAsia="en-CA"/>
          <w14:ligatures w14:val="standardContextual"/>
        </w:rPr>
        <w:t>Balbus</w:t>
      </w:r>
      <w:proofErr w:type="spellEnd"/>
      <w:r w:rsidRPr="00D8283E">
        <w:rPr>
          <w:rFonts w:ascii="Times New Roman" w:eastAsia="Times New Roman" w:hAnsi="Times New Roman" w:cs="Times New Roman"/>
          <w:kern w:val="2"/>
          <w:sz w:val="24"/>
          <w:szCs w:val="24"/>
          <w:lang w:eastAsia="en-CA"/>
          <w14:ligatures w14:val="standardContextual"/>
        </w:rPr>
        <w:t xml:space="preserve"> J, Gamble JL, Beard CB, Bell JE, </w:t>
      </w:r>
      <w:proofErr w:type="spellStart"/>
      <w:r w:rsidRPr="00D8283E">
        <w:rPr>
          <w:rFonts w:ascii="Times New Roman" w:eastAsia="Times New Roman" w:hAnsi="Times New Roman" w:cs="Times New Roman"/>
          <w:kern w:val="2"/>
          <w:sz w:val="24"/>
          <w:szCs w:val="24"/>
          <w:lang w:eastAsia="en-CA"/>
          <w14:ligatures w14:val="standardContextual"/>
        </w:rPr>
        <w:t>Dodgen</w:t>
      </w:r>
      <w:proofErr w:type="spellEnd"/>
      <w:r w:rsidRPr="00D8283E">
        <w:rPr>
          <w:rFonts w:ascii="Times New Roman" w:eastAsia="Times New Roman" w:hAnsi="Times New Roman" w:cs="Times New Roman"/>
          <w:kern w:val="2"/>
          <w:sz w:val="24"/>
          <w:szCs w:val="24"/>
          <w:lang w:eastAsia="en-CA"/>
          <w14:ligatures w14:val="standardContextual"/>
        </w:rPr>
        <w:t xml:space="preserve"> D, et al. The Impacts of climate change on Human health in the United States: a scientific assessment [Internet]. 2016 Jan. Available from: https://doi.org/10.7930/j0r49nqx</w:t>
      </w:r>
    </w:p>
    <w:p w14:paraId="068AE3A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lastRenderedPageBreak/>
        <w:t>Crowley RA. Climate Change and Health: A position paper of the American College of Physicians. Annals of Internal Medicine [Internet]. 2016 Apr 18;164(9):608. Available from: https://doi.org/10.7326/m15-2766</w:t>
      </w:r>
    </w:p>
    <w:p w14:paraId="194D2975"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Cugini</w:t>
      </w:r>
      <w:proofErr w:type="spellEnd"/>
      <w:r w:rsidRPr="00D8283E">
        <w:rPr>
          <w:rFonts w:ascii="Times New Roman" w:eastAsia="Times New Roman" w:hAnsi="Times New Roman" w:cs="Times New Roman"/>
          <w:kern w:val="2"/>
          <w:sz w:val="24"/>
          <w:szCs w:val="24"/>
          <w:lang w:eastAsia="en-GB"/>
          <w14:ligatures w14:val="standardContextual"/>
        </w:rPr>
        <w:t xml:space="preserve"> F, Velez EV, Gómez PR. The climate crisis and human health: Survey on the knowledge of nursing students in the </w:t>
      </w:r>
      <w:proofErr w:type="spellStart"/>
      <w:r w:rsidRPr="00D8283E">
        <w:rPr>
          <w:rFonts w:ascii="Times New Roman" w:eastAsia="Times New Roman" w:hAnsi="Times New Roman" w:cs="Times New Roman"/>
          <w:kern w:val="2"/>
          <w:sz w:val="24"/>
          <w:szCs w:val="24"/>
          <w:lang w:eastAsia="en-GB"/>
          <w14:ligatures w14:val="standardContextual"/>
        </w:rPr>
        <w:t>Comunidad</w:t>
      </w:r>
      <w:proofErr w:type="spellEnd"/>
      <w:r w:rsidRPr="00D8283E">
        <w:rPr>
          <w:rFonts w:ascii="Times New Roman" w:eastAsia="Times New Roman" w:hAnsi="Times New Roman" w:cs="Times New Roman"/>
          <w:kern w:val="2"/>
          <w:sz w:val="24"/>
          <w:szCs w:val="24"/>
          <w:lang w:eastAsia="en-GB"/>
          <w14:ligatures w14:val="standardContextual"/>
        </w:rPr>
        <w:t xml:space="preserve"> de Madrid. Nurse Education Today [Internet]. 2023 Nov </w:t>
      </w:r>
      <w:proofErr w:type="gramStart"/>
      <w:r w:rsidRPr="00D8283E">
        <w:rPr>
          <w:rFonts w:ascii="Times New Roman" w:eastAsia="Times New Roman" w:hAnsi="Times New Roman" w:cs="Times New Roman"/>
          <w:kern w:val="2"/>
          <w:sz w:val="24"/>
          <w:szCs w:val="24"/>
          <w:lang w:eastAsia="en-GB"/>
          <w14:ligatures w14:val="standardContextual"/>
        </w:rPr>
        <w:t>10;132:106041</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https://doi.org/10.1016/j.nedt.2023.106041</w:t>
      </w:r>
    </w:p>
    <w:p w14:paraId="403C3D8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Curry LA, </w:t>
      </w:r>
      <w:proofErr w:type="spellStart"/>
      <w:r w:rsidRPr="00D8283E">
        <w:rPr>
          <w:rFonts w:ascii="Times New Roman" w:eastAsia="Times New Roman" w:hAnsi="Times New Roman" w:cs="Times New Roman"/>
          <w:kern w:val="2"/>
          <w:sz w:val="24"/>
          <w:szCs w:val="24"/>
          <w:lang w:eastAsia="en-GB"/>
          <w14:ligatures w14:val="standardContextual"/>
        </w:rPr>
        <w:t>Ayedun</w:t>
      </w:r>
      <w:proofErr w:type="spellEnd"/>
      <w:r w:rsidRPr="00D8283E">
        <w:rPr>
          <w:rFonts w:ascii="Times New Roman" w:eastAsia="Times New Roman" w:hAnsi="Times New Roman" w:cs="Times New Roman"/>
          <w:kern w:val="2"/>
          <w:sz w:val="24"/>
          <w:szCs w:val="24"/>
          <w:lang w:eastAsia="en-GB"/>
          <w14:ligatures w14:val="standardContextual"/>
        </w:rPr>
        <w:t xml:space="preserve"> AA, Cherlin EJ, Allen NH, </w:t>
      </w:r>
      <w:proofErr w:type="spellStart"/>
      <w:r w:rsidRPr="00D8283E">
        <w:rPr>
          <w:rFonts w:ascii="Times New Roman" w:eastAsia="Times New Roman" w:hAnsi="Times New Roman" w:cs="Times New Roman"/>
          <w:kern w:val="2"/>
          <w:sz w:val="24"/>
          <w:szCs w:val="24"/>
          <w:lang w:eastAsia="en-GB"/>
          <w14:ligatures w14:val="standardContextual"/>
        </w:rPr>
        <w:t>Linnander</w:t>
      </w:r>
      <w:proofErr w:type="spellEnd"/>
      <w:r w:rsidRPr="00D8283E">
        <w:rPr>
          <w:rFonts w:ascii="Times New Roman" w:eastAsia="Times New Roman" w:hAnsi="Times New Roman" w:cs="Times New Roman"/>
          <w:kern w:val="2"/>
          <w:sz w:val="24"/>
          <w:szCs w:val="24"/>
          <w:lang w:eastAsia="en-GB"/>
          <w14:ligatures w14:val="standardContextual"/>
        </w:rPr>
        <w:t xml:space="preserve"> EL. Leadership development in complex health systems: a qualitative study. BMJ Open [Internet]. 2020 Apr 1;10(4</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035797. Available from: https://doi.org/10.1136/bmjopen-2019-035797</w:t>
      </w:r>
    </w:p>
    <w:p w14:paraId="62113D9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D’Eon</w:t>
      </w:r>
      <w:proofErr w:type="spellEnd"/>
      <w:r w:rsidRPr="00D8283E">
        <w:rPr>
          <w:rFonts w:ascii="Times New Roman" w:eastAsia="Times New Roman" w:hAnsi="Times New Roman" w:cs="Times New Roman"/>
          <w:kern w:val="2"/>
          <w:sz w:val="24"/>
          <w:szCs w:val="24"/>
          <w:lang w:eastAsia="en-CA"/>
          <w14:ligatures w14:val="standardContextual"/>
        </w:rPr>
        <w:t xml:space="preserve"> MF. The overcrowded curriculum is alarming. Canadian Medical Education Journal [Internet]. 2023 Sep 8;14(4):1–5. Available from: https://doi.org/10.36834/cmej.78084</w:t>
      </w:r>
    </w:p>
    <w:p w14:paraId="4A74594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Dedeilia</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Papapanou</w:t>
      </w:r>
      <w:proofErr w:type="spellEnd"/>
      <w:r w:rsidRPr="00D8283E">
        <w:rPr>
          <w:rFonts w:ascii="Times New Roman" w:eastAsia="Times New Roman" w:hAnsi="Times New Roman" w:cs="Times New Roman"/>
          <w:kern w:val="2"/>
          <w:sz w:val="24"/>
          <w:szCs w:val="24"/>
          <w:lang w:eastAsia="en-CA"/>
          <w14:ligatures w14:val="standardContextual"/>
        </w:rPr>
        <w:t xml:space="preserve"> M, Papadopoulos AN, Karela NR, </w:t>
      </w:r>
      <w:proofErr w:type="spellStart"/>
      <w:r w:rsidRPr="00D8283E">
        <w:rPr>
          <w:rFonts w:ascii="Times New Roman" w:eastAsia="Times New Roman" w:hAnsi="Times New Roman" w:cs="Times New Roman"/>
          <w:kern w:val="2"/>
          <w:sz w:val="24"/>
          <w:szCs w:val="24"/>
          <w:lang w:eastAsia="en-CA"/>
          <w14:ligatures w14:val="standardContextual"/>
        </w:rPr>
        <w:t>Androutsou</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Mitsopoulou</w:t>
      </w:r>
      <w:proofErr w:type="spellEnd"/>
      <w:r w:rsidRPr="00D8283E">
        <w:rPr>
          <w:rFonts w:ascii="Times New Roman" w:eastAsia="Times New Roman" w:hAnsi="Times New Roman" w:cs="Times New Roman"/>
          <w:kern w:val="2"/>
          <w:sz w:val="24"/>
          <w:szCs w:val="24"/>
          <w:lang w:eastAsia="en-CA"/>
          <w14:ligatures w14:val="standardContextual"/>
        </w:rPr>
        <w:t xml:space="preserve"> D, et al. Health worker education during the COVID-19 pandemic: global disruption, responses and lessons for the future—a systematic review and meta-analysis. Human Resources for Health [Internet]. 2023 Feb 24;21(1). Available from: https://doi.org/10.1186/s12960-023-00799-4</w:t>
      </w:r>
    </w:p>
    <w:p w14:paraId="6C9255C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Demorest S, Cook C, Schenk E, Harris LW, </w:t>
      </w:r>
      <w:proofErr w:type="spellStart"/>
      <w:r w:rsidRPr="00D8283E">
        <w:rPr>
          <w:rFonts w:ascii="Times New Roman" w:eastAsia="Times New Roman" w:hAnsi="Times New Roman" w:cs="Times New Roman"/>
          <w:kern w:val="2"/>
          <w:sz w:val="24"/>
          <w:szCs w:val="24"/>
          <w:lang w:eastAsia="en-CA"/>
          <w14:ligatures w14:val="standardContextual"/>
        </w:rPr>
        <w:t>Earley</w:t>
      </w:r>
      <w:proofErr w:type="spellEnd"/>
      <w:r w:rsidRPr="00D8283E">
        <w:rPr>
          <w:rFonts w:ascii="Times New Roman" w:eastAsia="Times New Roman" w:hAnsi="Times New Roman" w:cs="Times New Roman"/>
          <w:kern w:val="2"/>
          <w:sz w:val="24"/>
          <w:szCs w:val="24"/>
          <w:lang w:eastAsia="en-CA"/>
          <w14:ligatures w14:val="standardContextual"/>
        </w:rPr>
        <w:t xml:space="preserve"> A. School of Nursing Climate Commitment: Nursing faculty bring climate to the classroom. International Journal of Environmental Research and Public Health [Internet]. 2024 May 3;21(5):589. Available from: https://doi.org/10.3390/ijerph21050589</w:t>
      </w:r>
    </w:p>
    <w:p w14:paraId="44F0C03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Derman</w:t>
      </w:r>
      <w:proofErr w:type="spellEnd"/>
      <w:r w:rsidRPr="00D8283E">
        <w:rPr>
          <w:rFonts w:ascii="Times New Roman" w:eastAsia="Times New Roman" w:hAnsi="Times New Roman" w:cs="Times New Roman"/>
          <w:kern w:val="2"/>
          <w:sz w:val="24"/>
          <w:szCs w:val="24"/>
          <w:lang w:eastAsia="en-CA"/>
          <w14:ligatures w14:val="standardContextual"/>
        </w:rPr>
        <w:t xml:space="preserve"> RJ, Jaeger FJ. Overcoming challenges to dissemination and implementation of research findings in under-resourced countries. Reproductive Health [Internet]. 2018 Jun 1;15(S1). Available from: https://doi.org/10.1186/s12978-018-0538-z</w:t>
      </w:r>
    </w:p>
    <w:p w14:paraId="630A64BA"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Diallo T, Bérubé A, Roberge M, </w:t>
      </w:r>
      <w:proofErr w:type="spellStart"/>
      <w:r w:rsidRPr="00D8283E">
        <w:rPr>
          <w:rFonts w:ascii="Times New Roman" w:eastAsia="Times New Roman" w:hAnsi="Times New Roman" w:cs="Times New Roman"/>
          <w:kern w:val="2"/>
          <w:sz w:val="24"/>
          <w:szCs w:val="24"/>
          <w:lang w:eastAsia="en-GB"/>
          <w14:ligatures w14:val="standardContextual"/>
        </w:rPr>
        <w:t>Audate</w:t>
      </w:r>
      <w:proofErr w:type="spellEnd"/>
      <w:r w:rsidRPr="00D8283E">
        <w:rPr>
          <w:rFonts w:ascii="Times New Roman" w:eastAsia="Times New Roman" w:hAnsi="Times New Roman" w:cs="Times New Roman"/>
          <w:kern w:val="2"/>
          <w:sz w:val="24"/>
          <w:szCs w:val="24"/>
          <w:lang w:eastAsia="en-GB"/>
          <w14:ligatures w14:val="standardContextual"/>
        </w:rPr>
        <w:t xml:space="preserve"> PP, </w:t>
      </w:r>
      <w:proofErr w:type="spellStart"/>
      <w:r w:rsidRPr="00D8283E">
        <w:rPr>
          <w:rFonts w:ascii="Times New Roman" w:eastAsia="Times New Roman" w:hAnsi="Times New Roman" w:cs="Times New Roman"/>
          <w:kern w:val="2"/>
          <w:sz w:val="24"/>
          <w:szCs w:val="24"/>
          <w:lang w:eastAsia="en-GB"/>
          <w14:ligatures w14:val="standardContextual"/>
        </w:rPr>
        <w:t>Larente</w:t>
      </w:r>
      <w:proofErr w:type="spellEnd"/>
      <w:r w:rsidRPr="00D8283E">
        <w:rPr>
          <w:rFonts w:ascii="Times New Roman" w:eastAsia="Times New Roman" w:hAnsi="Times New Roman" w:cs="Times New Roman"/>
          <w:kern w:val="2"/>
          <w:sz w:val="24"/>
          <w:szCs w:val="24"/>
          <w:lang w:eastAsia="en-GB"/>
          <w14:ligatures w14:val="standardContextual"/>
        </w:rPr>
        <w:t>-Marcotte S, Jobin É, et al. Nurses’ Perceptions of Climate Change: Protocol for a scoping review. JMIR Research Protocols [Internet]. 2022 Dec 5;</w:t>
      </w:r>
      <w:proofErr w:type="gramStart"/>
      <w:r w:rsidRPr="00D8283E">
        <w:rPr>
          <w:rFonts w:ascii="Times New Roman" w:eastAsia="Times New Roman" w:hAnsi="Times New Roman" w:cs="Times New Roman"/>
          <w:kern w:val="2"/>
          <w:sz w:val="24"/>
          <w:szCs w:val="24"/>
          <w:lang w:eastAsia="en-GB"/>
          <w14:ligatures w14:val="standardContextual"/>
        </w:rPr>
        <w:t>12:e</w:t>
      </w:r>
      <w:proofErr w:type="gramEnd"/>
      <w:r w:rsidRPr="00D8283E">
        <w:rPr>
          <w:rFonts w:ascii="Times New Roman" w:eastAsia="Times New Roman" w:hAnsi="Times New Roman" w:cs="Times New Roman"/>
          <w:kern w:val="2"/>
          <w:sz w:val="24"/>
          <w:szCs w:val="24"/>
          <w:lang w:eastAsia="en-GB"/>
          <w14:ligatures w14:val="standardContextual"/>
        </w:rPr>
        <w:t>42516. Available from: https://doi.org/10.2196/42516</w:t>
      </w:r>
    </w:p>
    <w:p w14:paraId="20C72B9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Djalali</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Castren</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Khankeh</w:t>
      </w:r>
      <w:proofErr w:type="spellEnd"/>
      <w:r w:rsidRPr="00D8283E">
        <w:rPr>
          <w:rFonts w:ascii="Times New Roman" w:eastAsia="Times New Roman" w:hAnsi="Times New Roman" w:cs="Times New Roman"/>
          <w:kern w:val="2"/>
          <w:sz w:val="24"/>
          <w:szCs w:val="24"/>
          <w:lang w:eastAsia="en-CA"/>
          <w14:ligatures w14:val="standardContextual"/>
        </w:rPr>
        <w:t xml:space="preserve"> H, </w:t>
      </w:r>
      <w:proofErr w:type="spellStart"/>
      <w:r w:rsidRPr="00D8283E">
        <w:rPr>
          <w:rFonts w:ascii="Times New Roman" w:eastAsia="Times New Roman" w:hAnsi="Times New Roman" w:cs="Times New Roman"/>
          <w:kern w:val="2"/>
          <w:sz w:val="24"/>
          <w:szCs w:val="24"/>
          <w:lang w:eastAsia="en-CA"/>
          <w14:ligatures w14:val="standardContextual"/>
        </w:rPr>
        <w:t>Gryth</w:t>
      </w:r>
      <w:proofErr w:type="spellEnd"/>
      <w:r w:rsidRPr="00D8283E">
        <w:rPr>
          <w:rFonts w:ascii="Times New Roman" w:eastAsia="Times New Roman" w:hAnsi="Times New Roman" w:cs="Times New Roman"/>
          <w:kern w:val="2"/>
          <w:sz w:val="24"/>
          <w:szCs w:val="24"/>
          <w:lang w:eastAsia="en-CA"/>
          <w14:ligatures w14:val="standardContextual"/>
        </w:rPr>
        <w:t xml:space="preserve"> D, </w:t>
      </w:r>
      <w:proofErr w:type="spellStart"/>
      <w:r w:rsidRPr="00D8283E">
        <w:rPr>
          <w:rFonts w:ascii="Times New Roman" w:eastAsia="Times New Roman" w:hAnsi="Times New Roman" w:cs="Times New Roman"/>
          <w:kern w:val="2"/>
          <w:sz w:val="24"/>
          <w:szCs w:val="24"/>
          <w:lang w:eastAsia="en-CA"/>
          <w14:ligatures w14:val="standardContextual"/>
        </w:rPr>
        <w:t>Radestad</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Ohlen</w:t>
      </w:r>
      <w:proofErr w:type="spellEnd"/>
      <w:r w:rsidRPr="00D8283E">
        <w:rPr>
          <w:rFonts w:ascii="Times New Roman" w:eastAsia="Times New Roman" w:hAnsi="Times New Roman" w:cs="Times New Roman"/>
          <w:kern w:val="2"/>
          <w:sz w:val="24"/>
          <w:szCs w:val="24"/>
          <w:lang w:eastAsia="en-CA"/>
          <w14:ligatures w14:val="standardContextual"/>
        </w:rPr>
        <w:t xml:space="preserve"> G, et al. Hospital Disaster Preparedness as Measured by Functional Capacity: </w:t>
      </w:r>
      <w:proofErr w:type="gramStart"/>
      <w:r w:rsidRPr="00D8283E">
        <w:rPr>
          <w:rFonts w:ascii="Times New Roman" w:eastAsia="Times New Roman" w:hAnsi="Times New Roman" w:cs="Times New Roman"/>
          <w:kern w:val="2"/>
          <w:sz w:val="24"/>
          <w:szCs w:val="24"/>
          <w:lang w:eastAsia="en-CA"/>
          <w14:ligatures w14:val="standardContextual"/>
        </w:rPr>
        <w:t>a</w:t>
      </w:r>
      <w:proofErr w:type="gramEnd"/>
      <w:r w:rsidRPr="00D8283E">
        <w:rPr>
          <w:rFonts w:ascii="Times New Roman" w:eastAsia="Times New Roman" w:hAnsi="Times New Roman" w:cs="Times New Roman"/>
          <w:kern w:val="2"/>
          <w:sz w:val="24"/>
          <w:szCs w:val="24"/>
          <w:lang w:eastAsia="en-CA"/>
          <w14:ligatures w14:val="standardContextual"/>
        </w:rPr>
        <w:t xml:space="preserve"> Comparison between Iran and Sweden. Prehospital and Disaster Medicine [Internet]. 2013 Aug 21;28(5):454–61. Available from: https://doi.org/10.1017/s1049023x13008807</w:t>
      </w:r>
    </w:p>
    <w:p w14:paraId="13E0B2B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Dobalian</w:t>
      </w:r>
      <w:proofErr w:type="spellEnd"/>
      <w:r w:rsidRPr="00D8283E">
        <w:rPr>
          <w:rFonts w:ascii="Times New Roman" w:eastAsia="Times New Roman" w:hAnsi="Times New Roman" w:cs="Times New Roman"/>
          <w:kern w:val="2"/>
          <w:sz w:val="24"/>
          <w:szCs w:val="24"/>
          <w:lang w:eastAsia="en-CA"/>
          <w14:ligatures w14:val="standardContextual"/>
        </w:rPr>
        <w:t xml:space="preserve"> A, Stein JA, Radcliff TA, Riopelle D, Brewster P, </w:t>
      </w:r>
      <w:proofErr w:type="spellStart"/>
      <w:r w:rsidRPr="00D8283E">
        <w:rPr>
          <w:rFonts w:ascii="Times New Roman" w:eastAsia="Times New Roman" w:hAnsi="Times New Roman" w:cs="Times New Roman"/>
          <w:kern w:val="2"/>
          <w:sz w:val="24"/>
          <w:szCs w:val="24"/>
          <w:lang w:eastAsia="en-CA"/>
          <w14:ligatures w14:val="standardContextual"/>
        </w:rPr>
        <w:t>Hagigi</w:t>
      </w:r>
      <w:proofErr w:type="spellEnd"/>
      <w:r w:rsidRPr="00D8283E">
        <w:rPr>
          <w:rFonts w:ascii="Times New Roman" w:eastAsia="Times New Roman" w:hAnsi="Times New Roman" w:cs="Times New Roman"/>
          <w:kern w:val="2"/>
          <w:sz w:val="24"/>
          <w:szCs w:val="24"/>
          <w:lang w:eastAsia="en-CA"/>
          <w14:ligatures w14:val="standardContextual"/>
        </w:rPr>
        <w:t xml:space="preserve"> F, et al. Developing Valid Measures of Emergency Management Capabilities within US Department of Veterans </w:t>
      </w:r>
      <w:r w:rsidRPr="00D8283E">
        <w:rPr>
          <w:rFonts w:ascii="Times New Roman" w:eastAsia="Times New Roman" w:hAnsi="Times New Roman" w:cs="Times New Roman"/>
          <w:kern w:val="2"/>
          <w:sz w:val="24"/>
          <w:szCs w:val="24"/>
          <w:lang w:eastAsia="en-CA"/>
          <w14:ligatures w14:val="standardContextual"/>
        </w:rPr>
        <w:lastRenderedPageBreak/>
        <w:t>Affairs Hospitals. Prehospital and Disaster Medicine [Internet]. 2016 Aug 5;31(5):475–84. Available from: https://doi.org/10.1017/s1049023x16000625</w:t>
      </w:r>
    </w:p>
    <w:p w14:paraId="2E344B4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Dong H, </w:t>
      </w:r>
      <w:proofErr w:type="spellStart"/>
      <w:r w:rsidRPr="00D8283E">
        <w:rPr>
          <w:rFonts w:ascii="Times New Roman" w:eastAsia="Times New Roman" w:hAnsi="Times New Roman" w:cs="Times New Roman"/>
          <w:kern w:val="2"/>
          <w:sz w:val="24"/>
          <w:szCs w:val="24"/>
          <w:lang w:eastAsia="en-CA"/>
          <w14:ligatures w14:val="standardContextual"/>
        </w:rPr>
        <w:t>Lio</w:t>
      </w:r>
      <w:proofErr w:type="spellEnd"/>
      <w:r w:rsidRPr="00D8283E">
        <w:rPr>
          <w:rFonts w:ascii="Times New Roman" w:eastAsia="Times New Roman" w:hAnsi="Times New Roman" w:cs="Times New Roman"/>
          <w:kern w:val="2"/>
          <w:sz w:val="24"/>
          <w:szCs w:val="24"/>
          <w:lang w:eastAsia="en-CA"/>
          <w14:ligatures w14:val="standardContextual"/>
        </w:rPr>
        <w:t xml:space="preserve"> J, Sherer R, Jiang I. Some learning theories for medical educators. Medical Science Educator [Internet]. 2021 Mar 22;31(3):1157–72. Available from: https://doi.org/10.1007/s40670-021-01270-6</w:t>
      </w:r>
    </w:p>
    <w:p w14:paraId="2737C85E"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Draucker</w:t>
      </w:r>
      <w:proofErr w:type="spellEnd"/>
      <w:r w:rsidRPr="00D8283E">
        <w:rPr>
          <w:rFonts w:ascii="Times New Roman" w:eastAsia="Times New Roman" w:hAnsi="Times New Roman" w:cs="Times New Roman"/>
          <w:kern w:val="2"/>
          <w:sz w:val="24"/>
          <w:szCs w:val="24"/>
          <w:lang w:eastAsia="en-GB"/>
          <w14:ligatures w14:val="standardContextual"/>
        </w:rPr>
        <w:t xml:space="preserve"> CB, </w:t>
      </w:r>
      <w:proofErr w:type="spellStart"/>
      <w:r w:rsidRPr="00D8283E">
        <w:rPr>
          <w:rFonts w:ascii="Times New Roman" w:eastAsia="Times New Roman" w:hAnsi="Times New Roman" w:cs="Times New Roman"/>
          <w:kern w:val="2"/>
          <w:sz w:val="24"/>
          <w:szCs w:val="24"/>
          <w:lang w:eastAsia="en-GB"/>
          <w14:ligatures w14:val="standardContextual"/>
        </w:rPr>
        <w:t>Rawl</w:t>
      </w:r>
      <w:proofErr w:type="spellEnd"/>
      <w:r w:rsidRPr="00D8283E">
        <w:rPr>
          <w:rFonts w:ascii="Times New Roman" w:eastAsia="Times New Roman" w:hAnsi="Times New Roman" w:cs="Times New Roman"/>
          <w:kern w:val="2"/>
          <w:sz w:val="24"/>
          <w:szCs w:val="24"/>
          <w:lang w:eastAsia="en-GB"/>
          <w14:ligatures w14:val="standardContextual"/>
        </w:rPr>
        <w:t xml:space="preserve"> SM, </w:t>
      </w:r>
      <w:proofErr w:type="spellStart"/>
      <w:r w:rsidRPr="00D8283E">
        <w:rPr>
          <w:rFonts w:ascii="Times New Roman" w:eastAsia="Times New Roman" w:hAnsi="Times New Roman" w:cs="Times New Roman"/>
          <w:kern w:val="2"/>
          <w:sz w:val="24"/>
          <w:szCs w:val="24"/>
          <w:lang w:eastAsia="en-GB"/>
          <w14:ligatures w14:val="standardContextual"/>
        </w:rPr>
        <w:t>Vode</w:t>
      </w:r>
      <w:proofErr w:type="spellEnd"/>
      <w:r w:rsidRPr="00D8283E">
        <w:rPr>
          <w:rFonts w:ascii="Times New Roman" w:eastAsia="Times New Roman" w:hAnsi="Times New Roman" w:cs="Times New Roman"/>
          <w:kern w:val="2"/>
          <w:sz w:val="24"/>
          <w:szCs w:val="24"/>
          <w:lang w:eastAsia="en-GB"/>
          <w14:ligatures w14:val="standardContextual"/>
        </w:rPr>
        <w:t xml:space="preserve"> E, Carter-Harris L. Integration through connecting in explanatory sequential mixed method studies. Western Journal of Nursing Research [Internet]. 2020 May 9;42(12):1137–47. Available from: https://doi.org/10.1177/0193945920914647</w:t>
      </w:r>
    </w:p>
    <w:p w14:paraId="220E8A21"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color w:val="212121"/>
          <w:kern w:val="2"/>
          <w:sz w:val="24"/>
          <w:szCs w:val="24"/>
          <w:shd w:val="clear" w:color="auto" w:fill="FFFFFF"/>
          <w14:ligatures w14:val="standardContextual"/>
        </w:rPr>
        <w:t>Duffy TP. The Flexner Report--100 years later. Yale J Biol Med. 2011 Sep;84(3):269-76. PMID: 21966046; PMCID: PMC3178858.</w:t>
      </w:r>
    </w:p>
    <w:p w14:paraId="22D5CE8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Dunne H, </w:t>
      </w:r>
      <w:proofErr w:type="spellStart"/>
      <w:r w:rsidRPr="00D8283E">
        <w:rPr>
          <w:rFonts w:ascii="Times New Roman" w:eastAsia="Times New Roman" w:hAnsi="Times New Roman" w:cs="Times New Roman"/>
          <w:kern w:val="2"/>
          <w:sz w:val="24"/>
          <w:szCs w:val="24"/>
          <w:lang w:eastAsia="en-CA"/>
          <w14:ligatures w14:val="standardContextual"/>
        </w:rPr>
        <w:t>Rizan</w:t>
      </w:r>
      <w:proofErr w:type="spellEnd"/>
      <w:r w:rsidRPr="00D8283E">
        <w:rPr>
          <w:rFonts w:ascii="Times New Roman" w:eastAsia="Times New Roman" w:hAnsi="Times New Roman" w:cs="Times New Roman"/>
          <w:kern w:val="2"/>
          <w:sz w:val="24"/>
          <w:szCs w:val="24"/>
          <w:lang w:eastAsia="en-CA"/>
          <w14:ligatures w14:val="standardContextual"/>
        </w:rPr>
        <w:t xml:space="preserve"> C, Jones A, </w:t>
      </w:r>
      <w:proofErr w:type="spellStart"/>
      <w:r w:rsidRPr="00D8283E">
        <w:rPr>
          <w:rFonts w:ascii="Times New Roman" w:eastAsia="Times New Roman" w:hAnsi="Times New Roman" w:cs="Times New Roman"/>
          <w:kern w:val="2"/>
          <w:sz w:val="24"/>
          <w:szCs w:val="24"/>
          <w:lang w:eastAsia="en-CA"/>
          <w14:ligatures w14:val="standardContextual"/>
        </w:rPr>
        <w:t>Bhutta</w:t>
      </w:r>
      <w:proofErr w:type="spellEnd"/>
      <w:r w:rsidRPr="00D8283E">
        <w:rPr>
          <w:rFonts w:ascii="Times New Roman" w:eastAsia="Times New Roman" w:hAnsi="Times New Roman" w:cs="Times New Roman"/>
          <w:kern w:val="2"/>
          <w:sz w:val="24"/>
          <w:szCs w:val="24"/>
          <w:lang w:eastAsia="en-CA"/>
          <w14:ligatures w14:val="standardContextual"/>
        </w:rPr>
        <w:t xml:space="preserve"> MF, Taylor T, </w:t>
      </w:r>
      <w:proofErr w:type="spellStart"/>
      <w:r w:rsidRPr="00D8283E">
        <w:rPr>
          <w:rFonts w:ascii="Times New Roman" w:eastAsia="Times New Roman" w:hAnsi="Times New Roman" w:cs="Times New Roman"/>
          <w:kern w:val="2"/>
          <w:sz w:val="24"/>
          <w:szCs w:val="24"/>
          <w:lang w:eastAsia="en-CA"/>
          <w14:ligatures w14:val="standardContextual"/>
        </w:rPr>
        <w:t>Barna</w:t>
      </w:r>
      <w:proofErr w:type="spellEnd"/>
      <w:r w:rsidRPr="00D8283E">
        <w:rPr>
          <w:rFonts w:ascii="Times New Roman" w:eastAsia="Times New Roman" w:hAnsi="Times New Roman" w:cs="Times New Roman"/>
          <w:kern w:val="2"/>
          <w:sz w:val="24"/>
          <w:szCs w:val="24"/>
          <w:lang w:eastAsia="en-CA"/>
          <w14:ligatures w14:val="standardContextual"/>
        </w:rPr>
        <w:t xml:space="preserve"> S, et al. Effectiveness of an online module: climate-change and sustainability in clinical practice. BMC Medical Education [Internet]. 2022 Sep 17;22(1). Available from: https://doi.org/10.1186/s12909-022-03734-8</w:t>
      </w:r>
    </w:p>
    <w:p w14:paraId="7F6025B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hAnsi="Times New Roman" w:cs="Times New Roman"/>
          <w:color w:val="212121"/>
          <w:kern w:val="2"/>
          <w:sz w:val="24"/>
          <w:szCs w:val="24"/>
          <w:shd w:val="clear" w:color="auto" w:fill="FFFFFF"/>
          <w14:ligatures w14:val="standardContextual"/>
        </w:rPr>
        <w:t>Dupraz</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J, </w:t>
      </w:r>
      <w:proofErr w:type="spellStart"/>
      <w:r w:rsidRPr="00D8283E">
        <w:rPr>
          <w:rFonts w:ascii="Times New Roman" w:hAnsi="Times New Roman" w:cs="Times New Roman"/>
          <w:color w:val="212121"/>
          <w:kern w:val="2"/>
          <w:sz w:val="24"/>
          <w:szCs w:val="24"/>
          <w:shd w:val="clear" w:color="auto" w:fill="FFFFFF"/>
          <w14:ligatures w14:val="standardContextual"/>
        </w:rPr>
        <w:t>Burnand</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B. Role of Health Professionals Regarding the Impact of Climate Change on Health-An Exploratory Review. Int J Environ Res Public Health. 2021 Mar 20;18(6):3222. </w:t>
      </w:r>
      <w:proofErr w:type="spellStart"/>
      <w:r w:rsidRPr="00D8283E">
        <w:rPr>
          <w:rFonts w:ascii="Times New Roman" w:hAnsi="Times New Roman" w:cs="Times New Roman"/>
          <w:color w:val="212121"/>
          <w:kern w:val="2"/>
          <w:sz w:val="24"/>
          <w:szCs w:val="24"/>
          <w:shd w:val="clear" w:color="auto" w:fill="FFFFFF"/>
          <w14:ligatures w14:val="standardContextual"/>
        </w:rPr>
        <w:t>doi</w:t>
      </w:r>
      <w:proofErr w:type="spellEnd"/>
      <w:r w:rsidRPr="00D8283E">
        <w:rPr>
          <w:rFonts w:ascii="Times New Roman" w:hAnsi="Times New Roman" w:cs="Times New Roman"/>
          <w:color w:val="212121"/>
          <w:kern w:val="2"/>
          <w:sz w:val="24"/>
          <w:szCs w:val="24"/>
          <w:shd w:val="clear" w:color="auto" w:fill="FFFFFF"/>
          <w14:ligatures w14:val="standardContextual"/>
        </w:rPr>
        <w:t>: 10.3390/ijerph18063222. PMID: 33804669; PMCID: PMC8003659.</w:t>
      </w:r>
      <w:r w:rsidRPr="00D8283E">
        <w:rPr>
          <w:rFonts w:ascii="Times New Roman" w:eastAsia="Times New Roman" w:hAnsi="Times New Roman" w:cs="Times New Roman"/>
          <w:kern w:val="2"/>
          <w:sz w:val="24"/>
          <w:szCs w:val="24"/>
          <w:lang w:eastAsia="en-CA"/>
          <w14:ligatures w14:val="standardContextual"/>
        </w:rPr>
        <w:t xml:space="preserve">Ebi KL, </w:t>
      </w:r>
      <w:proofErr w:type="spellStart"/>
      <w:r w:rsidRPr="00D8283E">
        <w:rPr>
          <w:rFonts w:ascii="Times New Roman" w:eastAsia="Times New Roman" w:hAnsi="Times New Roman" w:cs="Times New Roman"/>
          <w:kern w:val="2"/>
          <w:sz w:val="24"/>
          <w:szCs w:val="24"/>
          <w:lang w:eastAsia="en-CA"/>
          <w14:ligatures w14:val="standardContextual"/>
        </w:rPr>
        <w:t>Vanos</w:t>
      </w:r>
      <w:proofErr w:type="spellEnd"/>
      <w:r w:rsidRPr="00D8283E">
        <w:rPr>
          <w:rFonts w:ascii="Times New Roman" w:eastAsia="Times New Roman" w:hAnsi="Times New Roman" w:cs="Times New Roman"/>
          <w:kern w:val="2"/>
          <w:sz w:val="24"/>
          <w:szCs w:val="24"/>
          <w:lang w:eastAsia="en-CA"/>
          <w14:ligatures w14:val="standardContextual"/>
        </w:rPr>
        <w:t xml:space="preserve"> J, Baldwin JW, Bell JE, </w:t>
      </w:r>
      <w:proofErr w:type="spellStart"/>
      <w:r w:rsidRPr="00D8283E">
        <w:rPr>
          <w:rFonts w:ascii="Times New Roman" w:eastAsia="Times New Roman" w:hAnsi="Times New Roman" w:cs="Times New Roman"/>
          <w:kern w:val="2"/>
          <w:sz w:val="24"/>
          <w:szCs w:val="24"/>
          <w:lang w:eastAsia="en-CA"/>
          <w14:ligatures w14:val="standardContextual"/>
        </w:rPr>
        <w:t>Hondula</w:t>
      </w:r>
      <w:proofErr w:type="spellEnd"/>
      <w:r w:rsidRPr="00D8283E">
        <w:rPr>
          <w:rFonts w:ascii="Times New Roman" w:eastAsia="Times New Roman" w:hAnsi="Times New Roman" w:cs="Times New Roman"/>
          <w:kern w:val="2"/>
          <w:sz w:val="24"/>
          <w:szCs w:val="24"/>
          <w:lang w:eastAsia="en-CA"/>
          <w14:ligatures w14:val="standardContextual"/>
        </w:rPr>
        <w:t xml:space="preserve"> DM, </w:t>
      </w:r>
      <w:proofErr w:type="spellStart"/>
      <w:r w:rsidRPr="00D8283E">
        <w:rPr>
          <w:rFonts w:ascii="Times New Roman" w:eastAsia="Times New Roman" w:hAnsi="Times New Roman" w:cs="Times New Roman"/>
          <w:kern w:val="2"/>
          <w:sz w:val="24"/>
          <w:szCs w:val="24"/>
          <w:lang w:eastAsia="en-CA"/>
          <w14:ligatures w14:val="standardContextual"/>
        </w:rPr>
        <w:t>Errett</w:t>
      </w:r>
      <w:proofErr w:type="spellEnd"/>
      <w:r w:rsidRPr="00D8283E">
        <w:rPr>
          <w:rFonts w:ascii="Times New Roman" w:eastAsia="Times New Roman" w:hAnsi="Times New Roman" w:cs="Times New Roman"/>
          <w:kern w:val="2"/>
          <w:sz w:val="24"/>
          <w:szCs w:val="24"/>
          <w:lang w:eastAsia="en-CA"/>
          <w14:ligatures w14:val="standardContextual"/>
        </w:rPr>
        <w:t xml:space="preserve"> NA, et al. Extreme Weather and Climate Change: population health and health system implications. Annual Review of Public Health [Internet]. 2021 Jan 6;42(1):293–315. Available from: https://doi.org/10.1146/annurev-publhealth-012420-105026</w:t>
      </w:r>
    </w:p>
    <w:p w14:paraId="2694E60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EBSCO sign in [Internet]. Available from: http://search.ebscohost.com/login.aspx?direct=true&amp;db=ccm&amp;AN=136113277&amp;site=ehost-live</w:t>
      </w:r>
    </w:p>
    <w:p w14:paraId="39498C0F"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Eckelman</w:t>
      </w:r>
      <w:proofErr w:type="spellEnd"/>
      <w:r w:rsidRPr="00D8283E">
        <w:rPr>
          <w:rFonts w:ascii="Times New Roman" w:eastAsia="Times New Roman" w:hAnsi="Times New Roman" w:cs="Times New Roman"/>
          <w:kern w:val="2"/>
          <w:sz w:val="24"/>
          <w:szCs w:val="24"/>
          <w:lang w:eastAsia="en-GB"/>
          <w14:ligatures w14:val="standardContextual"/>
        </w:rPr>
        <w:t xml:space="preserve"> MJ, Sherman JD, MacNeill AJ. Life cycle environmental emissions and health damages from the Canadian healthcare system: An economic-environmental-epidemiological analysis. </w:t>
      </w:r>
      <w:proofErr w:type="spellStart"/>
      <w:r w:rsidRPr="00D8283E">
        <w:rPr>
          <w:rFonts w:ascii="Times New Roman" w:eastAsia="Times New Roman" w:hAnsi="Times New Roman" w:cs="Times New Roman"/>
          <w:kern w:val="2"/>
          <w:sz w:val="24"/>
          <w:szCs w:val="24"/>
          <w:lang w:eastAsia="en-GB"/>
          <w14:ligatures w14:val="standardContextual"/>
        </w:rPr>
        <w:t>PLoS</w:t>
      </w:r>
      <w:proofErr w:type="spellEnd"/>
      <w:r w:rsidRPr="00D8283E">
        <w:rPr>
          <w:rFonts w:ascii="Times New Roman" w:eastAsia="Times New Roman" w:hAnsi="Times New Roman" w:cs="Times New Roman"/>
          <w:kern w:val="2"/>
          <w:sz w:val="24"/>
          <w:szCs w:val="24"/>
          <w:lang w:eastAsia="en-GB"/>
          <w14:ligatures w14:val="standardContextual"/>
        </w:rPr>
        <w:t xml:space="preserve"> Medicine [Internet]. 2018 Jul 31;15(7</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1002623. Available from: https://doi.org/10.1371/journal.pmed.1002623</w:t>
      </w:r>
    </w:p>
    <w:p w14:paraId="558EFC68"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elearning</w:t>
      </w:r>
      <w:proofErr w:type="spellEnd"/>
      <w:r w:rsidRPr="00D8283E">
        <w:rPr>
          <w:rFonts w:ascii="Times New Roman" w:eastAsia="Times New Roman" w:hAnsi="Times New Roman" w:cs="Times New Roman"/>
          <w:kern w:val="2"/>
          <w:sz w:val="24"/>
          <w:szCs w:val="24"/>
          <w:lang w:eastAsia="en-GB"/>
          <w14:ligatures w14:val="standardContextual"/>
        </w:rPr>
        <w:t xml:space="preserve"> for healthcare. Environmentally Sustainable Healthcare - </w:t>
      </w:r>
      <w:proofErr w:type="spellStart"/>
      <w:r w:rsidRPr="00D8283E">
        <w:rPr>
          <w:rFonts w:ascii="Times New Roman" w:eastAsia="Times New Roman" w:hAnsi="Times New Roman" w:cs="Times New Roman"/>
          <w:kern w:val="2"/>
          <w:sz w:val="24"/>
          <w:szCs w:val="24"/>
          <w:lang w:eastAsia="en-GB"/>
          <w14:ligatures w14:val="standardContextual"/>
        </w:rPr>
        <w:t>elearning</w:t>
      </w:r>
      <w:proofErr w:type="spellEnd"/>
      <w:r w:rsidRPr="00D8283E">
        <w:rPr>
          <w:rFonts w:ascii="Times New Roman" w:eastAsia="Times New Roman" w:hAnsi="Times New Roman" w:cs="Times New Roman"/>
          <w:kern w:val="2"/>
          <w:sz w:val="24"/>
          <w:szCs w:val="24"/>
          <w:lang w:eastAsia="en-GB"/>
          <w14:ligatures w14:val="standardContextual"/>
        </w:rPr>
        <w:t xml:space="preserve"> for healthcare [Internet]. </w:t>
      </w:r>
      <w:proofErr w:type="spellStart"/>
      <w:r w:rsidRPr="00D8283E">
        <w:rPr>
          <w:rFonts w:ascii="Times New Roman" w:eastAsia="Times New Roman" w:hAnsi="Times New Roman" w:cs="Times New Roman"/>
          <w:kern w:val="2"/>
          <w:sz w:val="24"/>
          <w:szCs w:val="24"/>
          <w:lang w:eastAsia="en-GB"/>
          <w14:ligatures w14:val="standardContextual"/>
        </w:rPr>
        <w:t>Elearning</w:t>
      </w:r>
      <w:proofErr w:type="spellEnd"/>
      <w:r w:rsidRPr="00D8283E">
        <w:rPr>
          <w:rFonts w:ascii="Times New Roman" w:eastAsia="Times New Roman" w:hAnsi="Times New Roman" w:cs="Times New Roman"/>
          <w:kern w:val="2"/>
          <w:sz w:val="24"/>
          <w:szCs w:val="24"/>
          <w:lang w:eastAsia="en-GB"/>
          <w14:ligatures w14:val="standardContextual"/>
        </w:rPr>
        <w:t xml:space="preserve"> for Healthcare. 2023. Available from: https://www.e-lfh.org.uk/programmes/environmentally-sustainable-healthcare/</w:t>
      </w:r>
    </w:p>
    <w:p w14:paraId="6975FD4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lastRenderedPageBreak/>
        <w:t>Emigh</w:t>
      </w:r>
      <w:proofErr w:type="spellEnd"/>
      <w:r w:rsidRPr="00D8283E">
        <w:rPr>
          <w:rFonts w:ascii="Times New Roman" w:eastAsia="Times New Roman" w:hAnsi="Times New Roman" w:cs="Times New Roman"/>
          <w:kern w:val="2"/>
          <w:sz w:val="24"/>
          <w:szCs w:val="24"/>
          <w:lang w:eastAsia="en-CA"/>
          <w14:ligatures w14:val="standardContextual"/>
        </w:rPr>
        <w:t xml:space="preserve"> DB, Wood E, Frazier T. Improving the resiliency of the United States healthcare system before, during, and after disasters. Journal of Emergency Management [Internet]. 2022 Jul 25;20(8):7–21. Available from: https://doi.org/10.5055/jem.0678</w:t>
      </w:r>
    </w:p>
    <w:p w14:paraId="6E82119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Engebretsen</w:t>
      </w:r>
      <w:proofErr w:type="spellEnd"/>
      <w:r w:rsidRPr="00D8283E">
        <w:rPr>
          <w:rFonts w:ascii="Times New Roman" w:eastAsia="Times New Roman" w:hAnsi="Times New Roman" w:cs="Times New Roman"/>
          <w:kern w:val="2"/>
          <w:sz w:val="24"/>
          <w:szCs w:val="24"/>
          <w:lang w:eastAsia="en-CA"/>
          <w14:ligatures w14:val="standardContextual"/>
        </w:rPr>
        <w:t xml:space="preserve"> KM, </w:t>
      </w:r>
      <w:proofErr w:type="spellStart"/>
      <w:r w:rsidRPr="00D8283E">
        <w:rPr>
          <w:rFonts w:ascii="Times New Roman" w:eastAsia="Times New Roman" w:hAnsi="Times New Roman" w:cs="Times New Roman"/>
          <w:kern w:val="2"/>
          <w:sz w:val="24"/>
          <w:szCs w:val="24"/>
          <w:lang w:eastAsia="en-CA"/>
          <w14:ligatures w14:val="standardContextual"/>
        </w:rPr>
        <w:t>Bjorbækmo</w:t>
      </w:r>
      <w:proofErr w:type="spellEnd"/>
      <w:r w:rsidRPr="00D8283E">
        <w:rPr>
          <w:rFonts w:ascii="Times New Roman" w:eastAsia="Times New Roman" w:hAnsi="Times New Roman" w:cs="Times New Roman"/>
          <w:kern w:val="2"/>
          <w:sz w:val="24"/>
          <w:szCs w:val="24"/>
          <w:lang w:eastAsia="en-CA"/>
          <w14:ligatures w14:val="standardContextual"/>
        </w:rPr>
        <w:t xml:space="preserve"> WS. Naked in the eyes of the public: A phenomenological study of the lived experience of suffering from burnout while waiting for recognition to be ill. Journal of Evaluation in Clinical Practice [Internet]. 2019 Jul 25;25(6):1017–26. Available from: https://doi.org/10.1111/jep.13244</w:t>
      </w:r>
    </w:p>
    <w:p w14:paraId="0EE99950" w14:textId="4E59593D" w:rsid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Englander R, Cameron T, Ballard AJ, Dodge J, Bull J, </w:t>
      </w:r>
      <w:proofErr w:type="spellStart"/>
      <w:r w:rsidRPr="00D8283E">
        <w:rPr>
          <w:rFonts w:ascii="Times New Roman" w:eastAsia="Times New Roman" w:hAnsi="Times New Roman" w:cs="Times New Roman"/>
          <w:kern w:val="2"/>
          <w:sz w:val="24"/>
          <w:szCs w:val="24"/>
          <w:lang w:eastAsia="en-GB"/>
          <w14:ligatures w14:val="standardContextual"/>
        </w:rPr>
        <w:t>Aschenbrener</w:t>
      </w:r>
      <w:proofErr w:type="spellEnd"/>
      <w:r w:rsidRPr="00D8283E">
        <w:rPr>
          <w:rFonts w:ascii="Times New Roman" w:eastAsia="Times New Roman" w:hAnsi="Times New Roman" w:cs="Times New Roman"/>
          <w:kern w:val="2"/>
          <w:sz w:val="24"/>
          <w:szCs w:val="24"/>
          <w:lang w:eastAsia="en-GB"/>
          <w14:ligatures w14:val="standardContextual"/>
        </w:rPr>
        <w:t xml:space="preserve"> CA. Toward a common taxonomy of competency domains for the health professions and competencies for physicians. Academic Medicine [Internet]. 2013 Jun 27;88(8):1088–94. Available from: </w:t>
      </w:r>
      <w:hyperlink r:id="rId29" w:history="1">
        <w:r w:rsidR="001D624A" w:rsidRPr="001E0C8C">
          <w:rPr>
            <w:rStyle w:val="Hyperlink"/>
            <w:rFonts w:ascii="Times New Roman" w:eastAsia="Times New Roman" w:hAnsi="Times New Roman" w:cs="Times New Roman"/>
            <w:kern w:val="2"/>
            <w:sz w:val="24"/>
            <w:szCs w:val="24"/>
            <w:lang w:eastAsia="en-GB"/>
            <w14:ligatures w14:val="standardContextual"/>
          </w:rPr>
          <w:t>https://doi.org/10.1097/acm.0b013e31829a3b2b</w:t>
        </w:r>
      </w:hyperlink>
    </w:p>
    <w:p w14:paraId="17F30620" w14:textId="26381DD1" w:rsidR="001D624A" w:rsidRPr="00D8283E" w:rsidRDefault="001D624A" w:rsidP="001D624A">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1D624A">
        <w:rPr>
          <w:rFonts w:ascii="Times New Roman" w:eastAsia="Times New Roman" w:hAnsi="Times New Roman" w:cs="Times New Roman"/>
          <w:kern w:val="2"/>
          <w:sz w:val="24"/>
          <w:szCs w:val="24"/>
          <w:lang w:eastAsia="en-GB"/>
          <w14:ligatures w14:val="standardContextual"/>
        </w:rPr>
        <w:t>Eraut</w:t>
      </w:r>
      <w:proofErr w:type="spellEnd"/>
      <w:r w:rsidRPr="001D624A">
        <w:rPr>
          <w:rFonts w:ascii="Times New Roman" w:eastAsia="Times New Roman" w:hAnsi="Times New Roman" w:cs="Times New Roman"/>
          <w:kern w:val="2"/>
          <w:sz w:val="24"/>
          <w:szCs w:val="24"/>
          <w:lang w:eastAsia="en-GB"/>
          <w14:ligatures w14:val="standardContextual"/>
        </w:rPr>
        <w:t xml:space="preserve">, M., 1998. Concepts of competence. </w:t>
      </w:r>
      <w:r w:rsidRPr="001D624A">
        <w:rPr>
          <w:rFonts w:ascii="Times New Roman" w:eastAsia="Times New Roman" w:hAnsi="Times New Roman" w:cs="Times New Roman"/>
          <w:i/>
          <w:iCs/>
          <w:kern w:val="2"/>
          <w:sz w:val="24"/>
          <w:szCs w:val="24"/>
          <w:lang w:eastAsia="en-GB"/>
          <w14:ligatures w14:val="standardContextual"/>
        </w:rPr>
        <w:t>Journal of Interprofessional Care</w:t>
      </w:r>
      <w:r w:rsidRPr="001D624A">
        <w:rPr>
          <w:rFonts w:ascii="Times New Roman" w:eastAsia="Times New Roman" w:hAnsi="Times New Roman" w:cs="Times New Roman"/>
          <w:kern w:val="2"/>
          <w:sz w:val="24"/>
          <w:szCs w:val="24"/>
          <w:lang w:eastAsia="en-GB"/>
          <w14:ligatures w14:val="standardContextual"/>
        </w:rPr>
        <w:t>, 12(2), pp.127–139. Available from: https://doi.org/10.3109/13561829809014100</w:t>
      </w:r>
    </w:p>
    <w:p w14:paraId="32AB423E" w14:textId="77777777" w:rsidR="00D8283E" w:rsidRPr="00D8283E" w:rsidRDefault="00D8283E" w:rsidP="00D8283E">
      <w:pPr>
        <w:shd w:val="clear" w:color="auto" w:fill="FFFFFF"/>
        <w:spacing w:after="0" w:line="360" w:lineRule="auto"/>
        <w:ind w:firstLine="720"/>
        <w:rPr>
          <w:rFonts w:ascii="Times New Roman" w:hAnsi="Times New Roman" w:cs="Times New Roman"/>
          <w:color w:val="05103E"/>
          <w:kern w:val="2"/>
          <w:sz w:val="24"/>
          <w:szCs w:val="24"/>
          <w:bdr w:val="single" w:sz="2" w:space="0" w:color="ECEDEE" w:frame="1"/>
          <w14:ligatures w14:val="standardContextual"/>
        </w:rPr>
      </w:pPr>
      <w:r w:rsidRPr="00D8283E">
        <w:rPr>
          <w:rFonts w:ascii="Times New Roman" w:hAnsi="Times New Roman" w:cs="Times New Roman"/>
          <w:color w:val="05103E"/>
          <w:kern w:val="2"/>
          <w:sz w:val="24"/>
          <w:szCs w:val="24"/>
          <w14:ligatures w14:val="standardContextual"/>
        </w:rPr>
        <w:t xml:space="preserve">Evans LA, Bell JG, </w:t>
      </w:r>
      <w:proofErr w:type="spellStart"/>
      <w:r w:rsidRPr="00D8283E">
        <w:rPr>
          <w:rFonts w:ascii="Times New Roman" w:hAnsi="Times New Roman" w:cs="Times New Roman"/>
          <w:color w:val="05103E"/>
          <w:kern w:val="2"/>
          <w:sz w:val="24"/>
          <w:szCs w:val="24"/>
          <w14:ligatures w14:val="standardContextual"/>
        </w:rPr>
        <w:t>Samost</w:t>
      </w:r>
      <w:proofErr w:type="spellEnd"/>
      <w:r w:rsidRPr="00D8283E">
        <w:rPr>
          <w:rFonts w:ascii="Times New Roman" w:hAnsi="Times New Roman" w:cs="Times New Roman"/>
          <w:color w:val="05103E"/>
          <w:kern w:val="2"/>
          <w:sz w:val="24"/>
          <w:szCs w:val="24"/>
          <w14:ligatures w14:val="standardContextual"/>
        </w:rPr>
        <w:t xml:space="preserve"> M, Wolford LL, Sipe M, </w:t>
      </w:r>
      <w:proofErr w:type="spellStart"/>
      <w:r w:rsidRPr="00D8283E">
        <w:rPr>
          <w:rFonts w:ascii="Times New Roman" w:hAnsi="Times New Roman" w:cs="Times New Roman"/>
          <w:color w:val="05103E"/>
          <w:kern w:val="2"/>
          <w:sz w:val="24"/>
          <w:szCs w:val="24"/>
          <w14:ligatures w14:val="standardContextual"/>
        </w:rPr>
        <w:t>Starodub</w:t>
      </w:r>
      <w:proofErr w:type="spellEnd"/>
      <w:r w:rsidRPr="00D8283E">
        <w:rPr>
          <w:rFonts w:ascii="Times New Roman" w:hAnsi="Times New Roman" w:cs="Times New Roman"/>
          <w:color w:val="05103E"/>
          <w:kern w:val="2"/>
          <w:sz w:val="24"/>
          <w:szCs w:val="24"/>
          <w14:ligatures w14:val="standardContextual"/>
        </w:rPr>
        <w:t xml:space="preserve"> R, et al. Health Consequences of Climate Change: Continuing education opportunities for health professionals in the United States. The Journal of Continuing Education in Nursing [Internet]. 2023 Oct 19;54(12):561–6. Available from: </w:t>
      </w:r>
      <w:hyperlink r:id="rId30"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https://doi.org/10.3928/00220124-20231013-02</w:t>
        </w:r>
      </w:hyperlink>
    </w:p>
    <w:p w14:paraId="6F19167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Fàbregues</w:t>
      </w:r>
      <w:proofErr w:type="spellEnd"/>
      <w:r w:rsidRPr="00D8283E">
        <w:rPr>
          <w:rFonts w:ascii="Times New Roman" w:eastAsia="Times New Roman" w:hAnsi="Times New Roman" w:cs="Times New Roman"/>
          <w:kern w:val="2"/>
          <w:sz w:val="24"/>
          <w:szCs w:val="24"/>
          <w:lang w:eastAsia="en-CA"/>
          <w14:ligatures w14:val="standardContextual"/>
        </w:rPr>
        <w:t xml:space="preserve"> S, </w:t>
      </w:r>
      <w:proofErr w:type="spellStart"/>
      <w:r w:rsidRPr="00D8283E">
        <w:rPr>
          <w:rFonts w:ascii="Times New Roman" w:eastAsia="Times New Roman" w:hAnsi="Times New Roman" w:cs="Times New Roman"/>
          <w:kern w:val="2"/>
          <w:sz w:val="24"/>
          <w:szCs w:val="24"/>
          <w:lang w:eastAsia="en-CA"/>
          <w14:ligatures w14:val="standardContextual"/>
        </w:rPr>
        <w:t>Paré</w:t>
      </w:r>
      <w:proofErr w:type="spellEnd"/>
      <w:r w:rsidRPr="00D8283E">
        <w:rPr>
          <w:rFonts w:ascii="Times New Roman" w:eastAsia="Times New Roman" w:hAnsi="Times New Roman" w:cs="Times New Roman"/>
          <w:kern w:val="2"/>
          <w:sz w:val="24"/>
          <w:szCs w:val="24"/>
          <w:lang w:eastAsia="en-CA"/>
          <w14:ligatures w14:val="standardContextual"/>
        </w:rPr>
        <w:t xml:space="preserve"> M. Appraising the quality of mixed methods research in nursing: A qualitative case study of nurse researchers’ views. Nursing Inquiry [Internet]. 2018 Jun 21;25(4). Available from: https://doi.org/10.1111/nin.12247</w:t>
      </w:r>
    </w:p>
    <w:p w14:paraId="3080D50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Farre</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Rapley</w:t>
      </w:r>
      <w:proofErr w:type="spellEnd"/>
      <w:r w:rsidRPr="00D8283E">
        <w:rPr>
          <w:rFonts w:ascii="Times New Roman" w:eastAsia="Times New Roman" w:hAnsi="Times New Roman" w:cs="Times New Roman"/>
          <w:kern w:val="2"/>
          <w:sz w:val="24"/>
          <w:szCs w:val="24"/>
          <w:lang w:eastAsia="en-CA"/>
          <w14:ligatures w14:val="standardContextual"/>
        </w:rPr>
        <w:t xml:space="preserve"> T. The new old (and old new) medical model: four decades navigating the biomedical and psychosocial understandings of health and illness. Healthcare [Internet]. 2017 Nov 18;5(4):88. Available from: https://doi.org/10.3390/healthcare5040088</w:t>
      </w:r>
    </w:p>
    <w:p w14:paraId="59799E73" w14:textId="77777777" w:rsidR="00D8283E" w:rsidRPr="00D8283E" w:rsidRDefault="00D8283E" w:rsidP="00D8283E">
      <w:pPr>
        <w:spacing w:line="278" w:lineRule="auto"/>
        <w:ind w:firstLine="720"/>
        <w:rPr>
          <w:rFonts w:cstheme="minorHAnsi"/>
          <w:color w:val="212121"/>
          <w:kern w:val="2"/>
          <w:sz w:val="24"/>
          <w:szCs w:val="24"/>
          <w:shd w:val="clear" w:color="auto" w:fill="FFFFFF"/>
          <w14:ligatures w14:val="standardContextual"/>
        </w:rPr>
      </w:pPr>
      <w:r w:rsidRPr="00D8283E">
        <w:rPr>
          <w:rFonts w:ascii="Times New Roman" w:hAnsi="Times New Roman" w:cs="Times New Roman"/>
          <w:color w:val="212121"/>
          <w:kern w:val="2"/>
          <w:sz w:val="24"/>
          <w:szCs w:val="24"/>
          <w:shd w:val="clear" w:color="auto" w:fill="FFFFFF"/>
          <w14:ligatures w14:val="standardContextual"/>
        </w:rPr>
        <w:t xml:space="preserve">Ford LB. Climate change and health in Canada. </w:t>
      </w:r>
      <w:proofErr w:type="spellStart"/>
      <w:r w:rsidRPr="00D8283E">
        <w:rPr>
          <w:rFonts w:ascii="Times New Roman" w:hAnsi="Times New Roman" w:cs="Times New Roman"/>
          <w:color w:val="212121"/>
          <w:kern w:val="2"/>
          <w:sz w:val="24"/>
          <w:szCs w:val="24"/>
          <w:shd w:val="clear" w:color="auto" w:fill="FFFFFF"/>
          <w14:ligatures w14:val="standardContextual"/>
        </w:rPr>
        <w:t>Mcgill</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J Med. 2009 Jan;12(1):78-84. PMID: 19753294; PMCID: PMC2687921</w:t>
      </w:r>
      <w:r w:rsidRPr="00D8283E">
        <w:rPr>
          <w:rFonts w:cstheme="minorHAnsi"/>
          <w:color w:val="212121"/>
          <w:kern w:val="2"/>
          <w:sz w:val="24"/>
          <w:szCs w:val="24"/>
          <w:shd w:val="clear" w:color="auto" w:fill="FFFFFF"/>
          <w14:ligatures w14:val="standardContextual"/>
        </w:rPr>
        <w:t>.</w:t>
      </w:r>
    </w:p>
    <w:p w14:paraId="29C07600"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Foster, C. (2024) ‘Methodological pragmatism in educational research: from qualitative–quantitative to exploratory–confirmatory distinctions’, </w:t>
      </w:r>
      <w:r w:rsidRPr="00D8283E">
        <w:rPr>
          <w:rFonts w:ascii="Times New Roman" w:eastAsia="Times New Roman" w:hAnsi="Times New Roman" w:cs="Times New Roman"/>
          <w:i/>
          <w:iCs/>
          <w:kern w:val="2"/>
          <w:sz w:val="24"/>
          <w:szCs w:val="24"/>
          <w:lang w:eastAsia="en-CA"/>
          <w14:ligatures w14:val="standardContextual"/>
        </w:rPr>
        <w:t>International Journal of Research &amp; Method in Education</w:t>
      </w:r>
      <w:r w:rsidRPr="00D8283E">
        <w:rPr>
          <w:rFonts w:ascii="Times New Roman" w:eastAsia="Times New Roman" w:hAnsi="Times New Roman" w:cs="Times New Roman"/>
          <w:kern w:val="2"/>
          <w:sz w:val="24"/>
          <w:szCs w:val="24"/>
          <w:lang w:eastAsia="en-CA"/>
          <w14:ligatures w14:val="standardContextual"/>
        </w:rPr>
        <w:t>, 47(1), pp. 4–19. https://doi.org/10.1080/1743727X.2023.2210063</w:t>
      </w:r>
    </w:p>
    <w:p w14:paraId="577B97C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Fox M, </w:t>
      </w:r>
      <w:proofErr w:type="spellStart"/>
      <w:r w:rsidRPr="00D8283E">
        <w:rPr>
          <w:rFonts w:ascii="Times New Roman" w:eastAsia="Times New Roman" w:hAnsi="Times New Roman" w:cs="Times New Roman"/>
          <w:kern w:val="2"/>
          <w:sz w:val="24"/>
          <w:szCs w:val="24"/>
          <w:lang w:eastAsia="en-CA"/>
          <w14:ligatures w14:val="standardContextual"/>
        </w:rPr>
        <w:t>Zuidema</w:t>
      </w:r>
      <w:proofErr w:type="spellEnd"/>
      <w:r w:rsidRPr="00D8283E">
        <w:rPr>
          <w:rFonts w:ascii="Times New Roman" w:eastAsia="Times New Roman" w:hAnsi="Times New Roman" w:cs="Times New Roman"/>
          <w:kern w:val="2"/>
          <w:sz w:val="24"/>
          <w:szCs w:val="24"/>
          <w:lang w:eastAsia="en-CA"/>
          <w14:ligatures w14:val="standardContextual"/>
        </w:rPr>
        <w:t xml:space="preserve"> C, Bauman B, Burke T, Sheehan M. Integrating Public Health into Climate Change Policy and Planning: State of Practice Update. International Journal of </w:t>
      </w:r>
      <w:r w:rsidRPr="00D8283E">
        <w:rPr>
          <w:rFonts w:ascii="Times New Roman" w:eastAsia="Times New Roman" w:hAnsi="Times New Roman" w:cs="Times New Roman"/>
          <w:kern w:val="2"/>
          <w:sz w:val="24"/>
          <w:szCs w:val="24"/>
          <w:lang w:eastAsia="en-CA"/>
          <w14:ligatures w14:val="standardContextual"/>
        </w:rPr>
        <w:lastRenderedPageBreak/>
        <w:t>Environmental Research and Public Health [Internet]. 2019 Sep 4;16(18):3232. Available from: https://doi.org/10.3390/ijerph16183232</w:t>
      </w:r>
    </w:p>
    <w:p w14:paraId="3B7A3C2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Fraenkel, J.R., Wallen, N.E. and Hyun, H.H. (2012) </w:t>
      </w:r>
      <w:r w:rsidRPr="00D8283E">
        <w:rPr>
          <w:rFonts w:ascii="Times New Roman" w:eastAsia="Times New Roman" w:hAnsi="Times New Roman" w:cs="Times New Roman"/>
          <w:i/>
          <w:iCs/>
          <w:kern w:val="2"/>
          <w:sz w:val="24"/>
          <w:szCs w:val="24"/>
          <w:lang w:eastAsia="en-CA"/>
          <w14:ligatures w14:val="standardContextual"/>
        </w:rPr>
        <w:t>How to design and evaluate research in education</w:t>
      </w:r>
      <w:r w:rsidRPr="00D8283E">
        <w:rPr>
          <w:rFonts w:ascii="Times New Roman" w:eastAsia="Times New Roman" w:hAnsi="Times New Roman" w:cs="Times New Roman"/>
          <w:kern w:val="2"/>
          <w:sz w:val="24"/>
          <w:szCs w:val="24"/>
          <w:lang w:eastAsia="en-CA"/>
          <w14:ligatures w14:val="standardContextual"/>
        </w:rPr>
        <w:t xml:space="preserve"> (8th ed.). New York: McGraw-Hill. Available at: https://saochhengpheng.wordpress.com/wp-content/uploads/2017/03/jack_fraenkel_norman_wallen_helen_hyun-how_to_design_and_evaluate_research_in_education_8th_edition_-mcgraw-hill_humanities_social_sciences_languages2011.pdf (Accessed: 21 June 2025).</w:t>
      </w:r>
    </w:p>
    <w:p w14:paraId="5B61967A"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Frank JR, Snell LS, Cate OT, </w:t>
      </w:r>
      <w:proofErr w:type="spellStart"/>
      <w:r w:rsidRPr="00D8283E">
        <w:rPr>
          <w:rFonts w:ascii="Times New Roman" w:eastAsia="Times New Roman" w:hAnsi="Times New Roman" w:cs="Times New Roman"/>
          <w:kern w:val="2"/>
          <w:sz w:val="24"/>
          <w:szCs w:val="24"/>
          <w:lang w:eastAsia="en-GB"/>
          <w14:ligatures w14:val="standardContextual"/>
        </w:rPr>
        <w:t>Holmboe</w:t>
      </w:r>
      <w:proofErr w:type="spellEnd"/>
      <w:r w:rsidRPr="00D8283E">
        <w:rPr>
          <w:rFonts w:ascii="Times New Roman" w:eastAsia="Times New Roman" w:hAnsi="Times New Roman" w:cs="Times New Roman"/>
          <w:kern w:val="2"/>
          <w:sz w:val="24"/>
          <w:szCs w:val="24"/>
          <w:lang w:eastAsia="en-GB"/>
          <w14:ligatures w14:val="standardContextual"/>
        </w:rPr>
        <w:t xml:space="preserve"> ES, </w:t>
      </w:r>
      <w:proofErr w:type="spellStart"/>
      <w:r w:rsidRPr="00D8283E">
        <w:rPr>
          <w:rFonts w:ascii="Times New Roman" w:eastAsia="Times New Roman" w:hAnsi="Times New Roman" w:cs="Times New Roman"/>
          <w:kern w:val="2"/>
          <w:sz w:val="24"/>
          <w:szCs w:val="24"/>
          <w:lang w:eastAsia="en-GB"/>
          <w14:ligatures w14:val="standardContextual"/>
        </w:rPr>
        <w:t>Carraccio</w:t>
      </w:r>
      <w:proofErr w:type="spellEnd"/>
      <w:r w:rsidRPr="00D8283E">
        <w:rPr>
          <w:rFonts w:ascii="Times New Roman" w:eastAsia="Times New Roman" w:hAnsi="Times New Roman" w:cs="Times New Roman"/>
          <w:kern w:val="2"/>
          <w:sz w:val="24"/>
          <w:szCs w:val="24"/>
          <w:lang w:eastAsia="en-GB"/>
          <w14:ligatures w14:val="standardContextual"/>
        </w:rPr>
        <w:t xml:space="preserve"> C, Swing SR, et al. Competency-based medical education: theory to practice. Medical Teacher [Internet]. 2010 Jul 27;32(8):638–45. Available from: https://doi.org/10.3109/0142159x.2010.501190</w:t>
      </w:r>
    </w:p>
    <w:p w14:paraId="49D6B40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Frenk</w:t>
      </w:r>
      <w:proofErr w:type="spellEnd"/>
      <w:r w:rsidRPr="00D8283E">
        <w:rPr>
          <w:rFonts w:ascii="Times New Roman" w:eastAsia="Times New Roman" w:hAnsi="Times New Roman" w:cs="Times New Roman"/>
          <w:kern w:val="2"/>
          <w:sz w:val="24"/>
          <w:szCs w:val="24"/>
          <w:lang w:eastAsia="en-CA"/>
          <w14:ligatures w14:val="standardContextual"/>
        </w:rPr>
        <w:t xml:space="preserve"> J, Chen L, </w:t>
      </w:r>
      <w:proofErr w:type="spellStart"/>
      <w:r w:rsidRPr="00D8283E">
        <w:rPr>
          <w:rFonts w:ascii="Times New Roman" w:eastAsia="Times New Roman" w:hAnsi="Times New Roman" w:cs="Times New Roman"/>
          <w:kern w:val="2"/>
          <w:sz w:val="24"/>
          <w:szCs w:val="24"/>
          <w:lang w:eastAsia="en-CA"/>
          <w14:ligatures w14:val="standardContextual"/>
        </w:rPr>
        <w:t>Bhutta</w:t>
      </w:r>
      <w:proofErr w:type="spellEnd"/>
      <w:r w:rsidRPr="00D8283E">
        <w:rPr>
          <w:rFonts w:ascii="Times New Roman" w:eastAsia="Times New Roman" w:hAnsi="Times New Roman" w:cs="Times New Roman"/>
          <w:kern w:val="2"/>
          <w:sz w:val="24"/>
          <w:szCs w:val="24"/>
          <w:lang w:eastAsia="en-CA"/>
          <w14:ligatures w14:val="standardContextual"/>
        </w:rPr>
        <w:t xml:space="preserve"> ZA, Cohen J, Crisp N, Evans T, et al. Health professionals for a new century: transforming education to strengthen health systems in an interdependent world. The Lancet [Internet]. 2010 Nov 30;376(9756):1923–58. Available from: https://doi.org/10.1016/s0140-6736(10)61854-5</w:t>
      </w:r>
    </w:p>
    <w:p w14:paraId="4CC4D44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Frenk</w:t>
      </w:r>
      <w:proofErr w:type="spellEnd"/>
      <w:r w:rsidRPr="00D8283E">
        <w:rPr>
          <w:rFonts w:ascii="Times New Roman" w:eastAsia="Times New Roman" w:hAnsi="Times New Roman" w:cs="Times New Roman"/>
          <w:kern w:val="2"/>
          <w:sz w:val="24"/>
          <w:szCs w:val="24"/>
          <w:lang w:eastAsia="en-CA"/>
          <w14:ligatures w14:val="standardContextual"/>
        </w:rPr>
        <w:t xml:space="preserve"> J, Chen LC, Chandran L, Groff EOH, King R, </w:t>
      </w:r>
      <w:proofErr w:type="spellStart"/>
      <w:r w:rsidRPr="00D8283E">
        <w:rPr>
          <w:rFonts w:ascii="Times New Roman" w:eastAsia="Times New Roman" w:hAnsi="Times New Roman" w:cs="Times New Roman"/>
          <w:kern w:val="2"/>
          <w:sz w:val="24"/>
          <w:szCs w:val="24"/>
          <w:lang w:eastAsia="en-CA"/>
          <w14:ligatures w14:val="standardContextual"/>
        </w:rPr>
        <w:t>Meleis</w:t>
      </w:r>
      <w:proofErr w:type="spellEnd"/>
      <w:r w:rsidRPr="00D8283E">
        <w:rPr>
          <w:rFonts w:ascii="Times New Roman" w:eastAsia="Times New Roman" w:hAnsi="Times New Roman" w:cs="Times New Roman"/>
          <w:kern w:val="2"/>
          <w:sz w:val="24"/>
          <w:szCs w:val="24"/>
          <w:lang w:eastAsia="en-CA"/>
          <w14:ligatures w14:val="standardContextual"/>
        </w:rPr>
        <w:t xml:space="preserve"> A, et al. Challenges and opportunities for educating health professionals after the COVID-19 pandemic. The Lancet [Internet]. 2022 Oct 1;400(10362):1539–56. Available from: https://doi.org/10.1016/s0140-6736(22)02092-x</w:t>
      </w:r>
    </w:p>
    <w:p w14:paraId="36112F18" w14:textId="77777777" w:rsidR="00D8283E" w:rsidRDefault="00D8283E" w:rsidP="00D8283E">
      <w:pPr>
        <w:spacing w:line="360" w:lineRule="auto"/>
        <w:ind w:firstLine="720"/>
      </w:pPr>
      <w:proofErr w:type="spellStart"/>
      <w:r w:rsidRPr="00D8283E">
        <w:rPr>
          <w:rFonts w:ascii="Times New Roman" w:hAnsi="Times New Roman" w:cs="Times New Roman"/>
          <w:color w:val="05103E"/>
          <w:kern w:val="2"/>
          <w:sz w:val="24"/>
          <w:szCs w:val="24"/>
          <w14:ligatures w14:val="standardContextual"/>
        </w:rPr>
        <w:t>Funtowicz</w:t>
      </w:r>
      <w:proofErr w:type="spellEnd"/>
      <w:r w:rsidRPr="00D8283E">
        <w:rPr>
          <w:rFonts w:ascii="Times New Roman" w:hAnsi="Times New Roman" w:cs="Times New Roman"/>
          <w:color w:val="05103E"/>
          <w:kern w:val="2"/>
          <w:sz w:val="24"/>
          <w:szCs w:val="24"/>
          <w14:ligatures w14:val="standardContextual"/>
        </w:rPr>
        <w:t xml:space="preserve"> SO. From risk calculations to narratives of danger. Climate Risk Management [Internet]. 2020 Jan </w:t>
      </w:r>
      <w:proofErr w:type="gramStart"/>
      <w:r w:rsidRPr="00D8283E">
        <w:rPr>
          <w:rFonts w:ascii="Times New Roman" w:hAnsi="Times New Roman" w:cs="Times New Roman"/>
          <w:color w:val="05103E"/>
          <w:kern w:val="2"/>
          <w:sz w:val="24"/>
          <w:szCs w:val="24"/>
          <w14:ligatures w14:val="standardContextual"/>
        </w:rPr>
        <w:t>1;27:100212</w:t>
      </w:r>
      <w:proofErr w:type="gramEnd"/>
      <w:r w:rsidRPr="00D8283E">
        <w:rPr>
          <w:rFonts w:ascii="Times New Roman" w:hAnsi="Times New Roman" w:cs="Times New Roman"/>
          <w:color w:val="05103E"/>
          <w:kern w:val="2"/>
          <w:sz w:val="24"/>
          <w:szCs w:val="24"/>
          <w14:ligatures w14:val="standardContextual"/>
        </w:rPr>
        <w:t>. Available from: </w:t>
      </w:r>
      <w:hyperlink r:id="rId31"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https://doi.org/10.1016/j.crm.2020.100212</w:t>
        </w:r>
      </w:hyperlink>
    </w:p>
    <w:p w14:paraId="1BFB136A" w14:textId="307215F9" w:rsidR="001D624A" w:rsidRPr="00D8283E" w:rsidRDefault="001D624A" w:rsidP="001D624A">
      <w:pPr>
        <w:spacing w:line="360" w:lineRule="auto"/>
        <w:ind w:firstLine="720"/>
        <w:rPr>
          <w:rFonts w:ascii="Times New Roman" w:hAnsi="Times New Roman" w:cs="Times New Roman"/>
          <w:color w:val="05103E"/>
          <w:kern w:val="2"/>
          <w:sz w:val="24"/>
          <w:szCs w:val="24"/>
          <w:bdr w:val="single" w:sz="2" w:space="0" w:color="ECEDEE" w:frame="1"/>
          <w14:ligatures w14:val="standardContextual"/>
        </w:rPr>
      </w:pPr>
      <w:r w:rsidRPr="001D624A">
        <w:rPr>
          <w:rFonts w:ascii="Times New Roman" w:hAnsi="Times New Roman" w:cs="Times New Roman"/>
          <w:color w:val="05103E"/>
          <w:kern w:val="2"/>
          <w:sz w:val="24"/>
          <w:szCs w:val="24"/>
          <w:bdr w:val="single" w:sz="2" w:space="0" w:color="ECEDEE" w:frame="1"/>
          <w14:ligatures w14:val="standardContextual"/>
        </w:rPr>
        <w:t xml:space="preserve">Garbett, R., Hardy, S., Manley, K., </w:t>
      </w:r>
      <w:proofErr w:type="spellStart"/>
      <w:r w:rsidRPr="001D624A">
        <w:rPr>
          <w:rFonts w:ascii="Times New Roman" w:hAnsi="Times New Roman" w:cs="Times New Roman"/>
          <w:color w:val="05103E"/>
          <w:kern w:val="2"/>
          <w:sz w:val="24"/>
          <w:szCs w:val="24"/>
          <w:bdr w:val="single" w:sz="2" w:space="0" w:color="ECEDEE" w:frame="1"/>
          <w14:ligatures w14:val="standardContextual"/>
        </w:rPr>
        <w:t>Titchen</w:t>
      </w:r>
      <w:proofErr w:type="spellEnd"/>
      <w:r w:rsidRPr="001D624A">
        <w:rPr>
          <w:rFonts w:ascii="Times New Roman" w:hAnsi="Times New Roman" w:cs="Times New Roman"/>
          <w:color w:val="05103E"/>
          <w:kern w:val="2"/>
          <w:sz w:val="24"/>
          <w:szCs w:val="24"/>
          <w:bdr w:val="single" w:sz="2" w:space="0" w:color="ECEDEE" w:frame="1"/>
          <w14:ligatures w14:val="standardContextual"/>
        </w:rPr>
        <w:t xml:space="preserve">, A. and McCormack, B., 2007. Developing a qualitative approach to 360-degree feedback to aid understanding and development of clinical expertise. </w:t>
      </w:r>
      <w:r w:rsidRPr="001D624A">
        <w:rPr>
          <w:rFonts w:ascii="Times New Roman" w:hAnsi="Times New Roman" w:cs="Times New Roman"/>
          <w:i/>
          <w:iCs/>
          <w:color w:val="05103E"/>
          <w:kern w:val="2"/>
          <w:sz w:val="24"/>
          <w:szCs w:val="24"/>
          <w:bdr w:val="single" w:sz="2" w:space="0" w:color="ECEDEE" w:frame="1"/>
          <w14:ligatures w14:val="standardContextual"/>
        </w:rPr>
        <w:t>Journal of Nursing Management</w:t>
      </w:r>
      <w:r w:rsidRPr="001D624A">
        <w:rPr>
          <w:rFonts w:ascii="Times New Roman" w:hAnsi="Times New Roman" w:cs="Times New Roman"/>
          <w:color w:val="05103E"/>
          <w:kern w:val="2"/>
          <w:sz w:val="24"/>
          <w:szCs w:val="24"/>
          <w:bdr w:val="single" w:sz="2" w:space="0" w:color="ECEDEE" w:frame="1"/>
          <w14:ligatures w14:val="standardContextual"/>
        </w:rPr>
        <w:t>, 15(3), pp.342–347. Available from: https://doi.org/10.1111/j.1365-2834.2007.00692.x</w:t>
      </w:r>
    </w:p>
    <w:p w14:paraId="4C486A22" w14:textId="77777777" w:rsidR="00D8283E" w:rsidRPr="00D8283E" w:rsidRDefault="00D8283E" w:rsidP="00D8283E">
      <w:pPr>
        <w:spacing w:line="360" w:lineRule="auto"/>
        <w:ind w:firstLine="720"/>
        <w:rPr>
          <w:rFonts w:ascii="Times New Roman" w:hAnsi="Times New Roman" w:cs="Times New Roman"/>
          <w:color w:val="212121"/>
          <w:kern w:val="2"/>
          <w:sz w:val="24"/>
          <w:szCs w:val="24"/>
          <w:shd w:val="clear" w:color="auto" w:fill="FFFFFF"/>
          <w14:ligatures w14:val="standardContextual"/>
        </w:rPr>
      </w:pPr>
      <w:r w:rsidRPr="00D8283E">
        <w:rPr>
          <w:rFonts w:ascii="Times New Roman" w:hAnsi="Times New Roman" w:cs="Times New Roman"/>
          <w:color w:val="212121"/>
          <w:kern w:val="2"/>
          <w:sz w:val="24"/>
          <w:szCs w:val="24"/>
          <w:shd w:val="clear" w:color="auto" w:fill="FFFFFF"/>
          <w14:ligatures w14:val="standardContextual"/>
        </w:rPr>
        <w:t xml:space="preserve">Garman, Andrew N. Psy.D.; Johnson, Matthew </w:t>
      </w:r>
      <w:proofErr w:type="gramStart"/>
      <w:r w:rsidRPr="00D8283E">
        <w:rPr>
          <w:rFonts w:ascii="Times New Roman" w:hAnsi="Times New Roman" w:cs="Times New Roman"/>
          <w:color w:val="212121"/>
          <w:kern w:val="2"/>
          <w:sz w:val="24"/>
          <w:szCs w:val="24"/>
          <w:shd w:val="clear" w:color="auto" w:fill="FFFFFF"/>
          <w14:ligatures w14:val="standardContextual"/>
        </w:rPr>
        <w:t>P..</w:t>
      </w:r>
      <w:proofErr w:type="gramEnd"/>
      <w:r w:rsidRPr="00D8283E">
        <w:rPr>
          <w:rFonts w:ascii="Times New Roman" w:hAnsi="Times New Roman" w:cs="Times New Roman"/>
          <w:color w:val="212121"/>
          <w:kern w:val="2"/>
          <w:sz w:val="24"/>
          <w:szCs w:val="24"/>
          <w:shd w:val="clear" w:color="auto" w:fill="FFFFFF"/>
          <w14:ligatures w14:val="standardContextual"/>
        </w:rPr>
        <w:t xml:space="preserve"> Leadership Competencies: An Introduction. Journal of Healthcare Management 51(1</w:t>
      </w:r>
      <w:proofErr w:type="gramStart"/>
      <w:r w:rsidRPr="00D8283E">
        <w:rPr>
          <w:rFonts w:ascii="Times New Roman" w:hAnsi="Times New Roman" w:cs="Times New Roman"/>
          <w:color w:val="212121"/>
          <w:kern w:val="2"/>
          <w:sz w:val="24"/>
          <w:szCs w:val="24"/>
          <w:shd w:val="clear" w:color="auto" w:fill="FFFFFF"/>
          <w14:ligatures w14:val="standardContextual"/>
        </w:rPr>
        <w:t>):p</w:t>
      </w:r>
      <w:proofErr w:type="gramEnd"/>
      <w:r w:rsidRPr="00D8283E">
        <w:rPr>
          <w:rFonts w:ascii="Times New Roman" w:hAnsi="Times New Roman" w:cs="Times New Roman"/>
          <w:color w:val="212121"/>
          <w:kern w:val="2"/>
          <w:sz w:val="24"/>
          <w:szCs w:val="24"/>
          <w:shd w:val="clear" w:color="auto" w:fill="FFFFFF"/>
          <w14:ligatures w14:val="standardContextual"/>
        </w:rPr>
        <w:t xml:space="preserve"> 13-17, January 2006.</w:t>
      </w:r>
    </w:p>
    <w:p w14:paraId="111C7FF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Gay, L.R., Mills, G.E. and </w:t>
      </w:r>
      <w:proofErr w:type="spellStart"/>
      <w:r w:rsidRPr="00D8283E">
        <w:rPr>
          <w:rFonts w:ascii="Times New Roman" w:eastAsia="Times New Roman" w:hAnsi="Times New Roman" w:cs="Times New Roman"/>
          <w:kern w:val="2"/>
          <w:sz w:val="24"/>
          <w:szCs w:val="24"/>
          <w:lang w:eastAsia="en-CA"/>
          <w14:ligatures w14:val="standardContextual"/>
        </w:rPr>
        <w:t>Airasian</w:t>
      </w:r>
      <w:proofErr w:type="spellEnd"/>
      <w:r w:rsidRPr="00D8283E">
        <w:rPr>
          <w:rFonts w:ascii="Times New Roman" w:eastAsia="Times New Roman" w:hAnsi="Times New Roman" w:cs="Times New Roman"/>
          <w:kern w:val="2"/>
          <w:sz w:val="24"/>
          <w:szCs w:val="24"/>
          <w:lang w:eastAsia="en-CA"/>
          <w14:ligatures w14:val="standardContextual"/>
        </w:rPr>
        <w:t xml:space="preserve">, P.W. (2009) </w:t>
      </w:r>
      <w:r w:rsidRPr="00D8283E">
        <w:rPr>
          <w:rFonts w:ascii="Times New Roman" w:eastAsia="Times New Roman" w:hAnsi="Times New Roman" w:cs="Times New Roman"/>
          <w:i/>
          <w:iCs/>
          <w:kern w:val="2"/>
          <w:sz w:val="24"/>
          <w:szCs w:val="24"/>
          <w:lang w:eastAsia="en-CA"/>
          <w14:ligatures w14:val="standardContextual"/>
        </w:rPr>
        <w:t>Educational research: competencies for analysis and application</w:t>
      </w:r>
      <w:r w:rsidRPr="00D8283E">
        <w:rPr>
          <w:rFonts w:ascii="Times New Roman" w:eastAsia="Times New Roman" w:hAnsi="Times New Roman" w:cs="Times New Roman"/>
          <w:kern w:val="2"/>
          <w:sz w:val="24"/>
          <w:szCs w:val="24"/>
          <w:lang w:eastAsia="en-CA"/>
          <w14:ligatures w14:val="standardContextual"/>
        </w:rPr>
        <w:t xml:space="preserve"> (9th ed.). Upper Saddle River, NJ: Merrill Prentice Hall.</w:t>
      </w:r>
    </w:p>
    <w:p w14:paraId="0D65992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 xml:space="preserve">General Medical Council (2026) </w:t>
      </w:r>
      <w:r w:rsidRPr="00D8283E">
        <w:rPr>
          <w:rFonts w:ascii="Times New Roman" w:eastAsia="Times New Roman" w:hAnsi="Times New Roman" w:cs="Times New Roman"/>
          <w:i/>
          <w:iCs/>
          <w:kern w:val="2"/>
          <w:sz w:val="24"/>
          <w:szCs w:val="24"/>
          <w:lang w:eastAsia="en-CA"/>
          <w14:ligatures w14:val="standardContextual"/>
        </w:rPr>
        <w:t>Planetary health and sustainable healthcare in medical education: standards and outcomes</w:t>
      </w:r>
      <w:r w:rsidRPr="00D8283E">
        <w:rPr>
          <w:rFonts w:ascii="Times New Roman" w:eastAsia="Times New Roman" w:hAnsi="Times New Roman" w:cs="Times New Roman"/>
          <w:kern w:val="2"/>
          <w:sz w:val="24"/>
          <w:szCs w:val="24"/>
          <w:lang w:eastAsia="en-CA"/>
          <w14:ligatures w14:val="standardContextual"/>
        </w:rPr>
        <w:t>. Available at: https://www.gmc-uk.org/education/standards-guidance-and-curricula/position-statements/planetary-health-and-sustainable-healthcare-in-medical-education-standards-and-outcomes (Accessed: 23 January 2026).</w:t>
      </w:r>
    </w:p>
    <w:p w14:paraId="0DB1E52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George, D. and Mallery, P. (2024) </w:t>
      </w:r>
      <w:r w:rsidRPr="00D8283E">
        <w:rPr>
          <w:rFonts w:ascii="Times New Roman" w:eastAsia="Times New Roman" w:hAnsi="Times New Roman" w:cs="Times New Roman"/>
          <w:i/>
          <w:iCs/>
          <w:kern w:val="2"/>
          <w:sz w:val="24"/>
          <w:szCs w:val="24"/>
          <w:lang w:eastAsia="en-CA"/>
          <w14:ligatures w14:val="standardContextual"/>
        </w:rPr>
        <w:t>IBM SPSS Statistics 29 step by step: a simple guide and reference</w:t>
      </w:r>
      <w:r w:rsidRPr="00D8283E">
        <w:rPr>
          <w:rFonts w:ascii="Times New Roman" w:eastAsia="Times New Roman" w:hAnsi="Times New Roman" w:cs="Times New Roman"/>
          <w:kern w:val="2"/>
          <w:sz w:val="24"/>
          <w:szCs w:val="24"/>
          <w:lang w:eastAsia="en-CA"/>
          <w14:ligatures w14:val="standardContextual"/>
        </w:rPr>
        <w:t xml:space="preserve"> (18th ed.). London: Routledge. https://doi.org/10.4324/9781032622156</w:t>
      </w:r>
    </w:p>
    <w:p w14:paraId="7CB1F863"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Ghazali D, </w:t>
      </w:r>
      <w:proofErr w:type="spellStart"/>
      <w:r w:rsidRPr="00D8283E">
        <w:rPr>
          <w:rFonts w:ascii="Times New Roman" w:eastAsia="Times New Roman" w:hAnsi="Times New Roman" w:cs="Times New Roman"/>
          <w:kern w:val="2"/>
          <w:sz w:val="24"/>
          <w:szCs w:val="24"/>
          <w:lang w:eastAsia="en-GB"/>
          <w14:ligatures w14:val="standardContextual"/>
        </w:rPr>
        <w:t>Guericolas</w:t>
      </w:r>
      <w:proofErr w:type="spellEnd"/>
      <w:r w:rsidRPr="00D8283E">
        <w:rPr>
          <w:rFonts w:ascii="Times New Roman" w:eastAsia="Times New Roman" w:hAnsi="Times New Roman" w:cs="Times New Roman"/>
          <w:kern w:val="2"/>
          <w:sz w:val="24"/>
          <w:szCs w:val="24"/>
          <w:lang w:eastAsia="en-GB"/>
          <w14:ligatures w14:val="standardContextual"/>
        </w:rPr>
        <w:t xml:space="preserve"> M, Thys F, Sarasin F, González PA, </w:t>
      </w:r>
      <w:proofErr w:type="spellStart"/>
      <w:r w:rsidRPr="00D8283E">
        <w:rPr>
          <w:rFonts w:ascii="Times New Roman" w:eastAsia="Times New Roman" w:hAnsi="Times New Roman" w:cs="Times New Roman"/>
          <w:kern w:val="2"/>
          <w:sz w:val="24"/>
          <w:szCs w:val="24"/>
          <w:lang w:eastAsia="en-GB"/>
          <w14:ligatures w14:val="standardContextual"/>
        </w:rPr>
        <w:t>Casalino</w:t>
      </w:r>
      <w:proofErr w:type="spellEnd"/>
      <w:r w:rsidRPr="00D8283E">
        <w:rPr>
          <w:rFonts w:ascii="Times New Roman" w:eastAsia="Times New Roman" w:hAnsi="Times New Roman" w:cs="Times New Roman"/>
          <w:kern w:val="2"/>
          <w:sz w:val="24"/>
          <w:szCs w:val="24"/>
          <w:lang w:eastAsia="en-GB"/>
          <w14:ligatures w14:val="standardContextual"/>
        </w:rPr>
        <w:t xml:space="preserve"> E. Climate Change Impacts on Disaster and Emergency Medicine Focusing on Mitigation Disruptive Effects: </w:t>
      </w:r>
      <w:proofErr w:type="gramStart"/>
      <w:r w:rsidRPr="00D8283E">
        <w:rPr>
          <w:rFonts w:ascii="Times New Roman" w:eastAsia="Times New Roman" w:hAnsi="Times New Roman" w:cs="Times New Roman"/>
          <w:kern w:val="2"/>
          <w:sz w:val="24"/>
          <w:szCs w:val="24"/>
          <w:lang w:eastAsia="en-GB"/>
          <w14:ligatures w14:val="standardContextual"/>
        </w:rPr>
        <w:t>an</w:t>
      </w:r>
      <w:proofErr w:type="gramEnd"/>
      <w:r w:rsidRPr="00D8283E">
        <w:rPr>
          <w:rFonts w:ascii="Times New Roman" w:eastAsia="Times New Roman" w:hAnsi="Times New Roman" w:cs="Times New Roman"/>
          <w:kern w:val="2"/>
          <w:sz w:val="24"/>
          <w:szCs w:val="24"/>
          <w:lang w:eastAsia="en-GB"/>
          <w14:ligatures w14:val="standardContextual"/>
        </w:rPr>
        <w:t xml:space="preserve"> International Perspective. International Journal of Environmental Research and Public Health [Internet]. 2018 Jul 1;15(7):1379. Available from: https://doi.org/10.3390/ijerph15071379</w:t>
      </w:r>
    </w:p>
    <w:p w14:paraId="5292F6A2" w14:textId="77777777" w:rsidR="00D8283E" w:rsidRPr="00D8283E" w:rsidRDefault="00D8283E" w:rsidP="00D8283E">
      <w:pPr>
        <w:spacing w:line="278" w:lineRule="auto"/>
        <w:ind w:firstLine="720"/>
        <w:rPr>
          <w:rFonts w:ascii="Times New Roman" w:hAnsi="Times New Roman" w:cs="Times New Roman"/>
          <w:color w:val="212121"/>
          <w:kern w:val="2"/>
          <w:sz w:val="24"/>
          <w:szCs w:val="24"/>
          <w:shd w:val="clear" w:color="auto" w:fill="FFFFFF"/>
          <w14:ligatures w14:val="standardContextual"/>
        </w:rPr>
      </w:pPr>
      <w:r w:rsidRPr="00D8283E">
        <w:rPr>
          <w:rFonts w:ascii="Times New Roman" w:hAnsi="Times New Roman" w:cs="Times New Roman"/>
          <w:kern w:val="2"/>
          <w:sz w:val="24"/>
          <w:szCs w:val="24"/>
          <w14:ligatures w14:val="standardContextual"/>
        </w:rPr>
        <w:t xml:space="preserve">Glenn N, </w:t>
      </w:r>
      <w:proofErr w:type="spellStart"/>
      <w:r w:rsidRPr="00D8283E">
        <w:rPr>
          <w:rFonts w:ascii="Times New Roman" w:hAnsi="Times New Roman" w:cs="Times New Roman"/>
          <w:kern w:val="2"/>
          <w:sz w:val="24"/>
          <w:szCs w:val="24"/>
          <w14:ligatures w14:val="standardContextual"/>
        </w:rPr>
        <w:t>Myre</w:t>
      </w:r>
      <w:proofErr w:type="spellEnd"/>
      <w:r w:rsidRPr="00D8283E">
        <w:rPr>
          <w:rFonts w:ascii="Times New Roman" w:hAnsi="Times New Roman" w:cs="Times New Roman"/>
          <w:kern w:val="2"/>
          <w:sz w:val="24"/>
          <w:szCs w:val="24"/>
          <w14:ligatures w14:val="standardContextual"/>
        </w:rPr>
        <w:t xml:space="preserve"> M. Post-flooding community-level psychosocial impacts and priorities in Canada: A preliminary report. National Collaborating Centre for Environmental Health (NCCEH). Vancouver, BC: NCCEH. 2022 Nov.</w:t>
      </w:r>
    </w:p>
    <w:p w14:paraId="6B0C8AA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Gordon LJ, McFarlane DR. Public health practitioner incubation plight: following the money trail. Journal of Public Health Policy [Internet]. 1996 Jan 1;17(1):59. Available from: https://doi.org/10.2307/3342658</w:t>
      </w:r>
    </w:p>
    <w:p w14:paraId="5B31094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Goshua</w:t>
      </w:r>
      <w:proofErr w:type="spellEnd"/>
      <w:r w:rsidRPr="00D8283E">
        <w:rPr>
          <w:rFonts w:ascii="Times New Roman" w:eastAsia="Times New Roman" w:hAnsi="Times New Roman" w:cs="Times New Roman"/>
          <w:kern w:val="2"/>
          <w:sz w:val="24"/>
          <w:szCs w:val="24"/>
          <w:lang w:eastAsia="en-GB"/>
          <w14:ligatures w14:val="standardContextual"/>
        </w:rPr>
        <w:t xml:space="preserve"> A, Gomez J, </w:t>
      </w:r>
      <w:proofErr w:type="spellStart"/>
      <w:r w:rsidRPr="00D8283E">
        <w:rPr>
          <w:rFonts w:ascii="Times New Roman" w:eastAsia="Times New Roman" w:hAnsi="Times New Roman" w:cs="Times New Roman"/>
          <w:kern w:val="2"/>
          <w:sz w:val="24"/>
          <w:szCs w:val="24"/>
          <w:lang w:eastAsia="en-GB"/>
          <w14:ligatures w14:val="standardContextual"/>
        </w:rPr>
        <w:t>Erny</w:t>
      </w:r>
      <w:proofErr w:type="spellEnd"/>
      <w:r w:rsidRPr="00D8283E">
        <w:rPr>
          <w:rFonts w:ascii="Times New Roman" w:eastAsia="Times New Roman" w:hAnsi="Times New Roman" w:cs="Times New Roman"/>
          <w:kern w:val="2"/>
          <w:sz w:val="24"/>
          <w:szCs w:val="24"/>
          <w:lang w:eastAsia="en-GB"/>
          <w14:ligatures w14:val="standardContextual"/>
        </w:rPr>
        <w:t xml:space="preserve"> B, Burke M, </w:t>
      </w:r>
      <w:proofErr w:type="spellStart"/>
      <w:r w:rsidRPr="00D8283E">
        <w:rPr>
          <w:rFonts w:ascii="Times New Roman" w:eastAsia="Times New Roman" w:hAnsi="Times New Roman" w:cs="Times New Roman"/>
          <w:kern w:val="2"/>
          <w:sz w:val="24"/>
          <w:szCs w:val="24"/>
          <w:lang w:eastAsia="en-GB"/>
          <w14:ligatures w14:val="standardContextual"/>
        </w:rPr>
        <w:t>Luby</w:t>
      </w:r>
      <w:proofErr w:type="spellEnd"/>
      <w:r w:rsidRPr="00D8283E">
        <w:rPr>
          <w:rFonts w:ascii="Times New Roman" w:eastAsia="Times New Roman" w:hAnsi="Times New Roman" w:cs="Times New Roman"/>
          <w:kern w:val="2"/>
          <w:sz w:val="24"/>
          <w:szCs w:val="24"/>
          <w:lang w:eastAsia="en-GB"/>
          <w14:ligatures w14:val="standardContextual"/>
        </w:rPr>
        <w:t xml:space="preserve"> S, Sokolow S, et al. Addressing climate change and its effects on human health: a call to action for medical schools. Academic Medicine [Internet]. 2020 Nov 24;96(3):324–8. Available from: </w:t>
      </w:r>
      <w:hyperlink r:id="rId32" w:history="1">
        <w:r w:rsidRPr="00D8283E">
          <w:rPr>
            <w:rFonts w:ascii="Times New Roman" w:eastAsia="Times New Roman" w:hAnsi="Times New Roman" w:cs="Times New Roman"/>
            <w:color w:val="467886" w:themeColor="hyperlink"/>
            <w:kern w:val="2"/>
            <w:sz w:val="24"/>
            <w:szCs w:val="24"/>
            <w:u w:val="single"/>
            <w:lang w:eastAsia="en-GB"/>
            <w14:ligatures w14:val="standardContextual"/>
          </w:rPr>
          <w:t>https://doi.org/10.1097/acm.0000000000003861</w:t>
        </w:r>
      </w:hyperlink>
    </w:p>
    <w:p w14:paraId="033DE182"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hAnsi="Times New Roman" w:cs="Times New Roman"/>
          <w:kern w:val="2"/>
          <w:sz w:val="24"/>
          <w:szCs w:val="24"/>
          <w:shd w:val="clear" w:color="auto" w:fill="FFFFFF"/>
          <w14:ligatures w14:val="standardContextual"/>
        </w:rPr>
        <w:t xml:space="preserve">Greene JC, </w:t>
      </w:r>
      <w:proofErr w:type="spellStart"/>
      <w:r w:rsidRPr="00D8283E">
        <w:rPr>
          <w:rFonts w:ascii="Times New Roman" w:hAnsi="Times New Roman" w:cs="Times New Roman"/>
          <w:kern w:val="2"/>
          <w:sz w:val="24"/>
          <w:szCs w:val="24"/>
          <w:shd w:val="clear" w:color="auto" w:fill="FFFFFF"/>
          <w14:ligatures w14:val="standardContextual"/>
        </w:rPr>
        <w:t>Caracelli</w:t>
      </w:r>
      <w:proofErr w:type="spellEnd"/>
      <w:r w:rsidRPr="00D8283E">
        <w:rPr>
          <w:rFonts w:ascii="Times New Roman" w:hAnsi="Times New Roman" w:cs="Times New Roman"/>
          <w:kern w:val="2"/>
          <w:sz w:val="24"/>
          <w:szCs w:val="24"/>
          <w:shd w:val="clear" w:color="auto" w:fill="FFFFFF"/>
          <w14:ligatures w14:val="standardContextual"/>
        </w:rPr>
        <w:t xml:space="preserve"> VJ (2003) Making paradigmatic sense of mixed methods practice. In: </w:t>
      </w:r>
      <w:proofErr w:type="spellStart"/>
      <w:r w:rsidRPr="00D8283E">
        <w:rPr>
          <w:rFonts w:ascii="Times New Roman" w:hAnsi="Times New Roman" w:cs="Times New Roman"/>
          <w:kern w:val="2"/>
          <w:sz w:val="24"/>
          <w:szCs w:val="24"/>
          <w:shd w:val="clear" w:color="auto" w:fill="FFFFFF"/>
          <w14:ligatures w14:val="standardContextual"/>
        </w:rPr>
        <w:t>Tashakkori</w:t>
      </w:r>
      <w:proofErr w:type="spellEnd"/>
      <w:r w:rsidRPr="00D8283E">
        <w:rPr>
          <w:rFonts w:ascii="Times New Roman" w:hAnsi="Times New Roman" w:cs="Times New Roman"/>
          <w:kern w:val="2"/>
          <w:sz w:val="24"/>
          <w:szCs w:val="24"/>
          <w:shd w:val="clear" w:color="auto" w:fill="FFFFFF"/>
          <w14:ligatures w14:val="standardContextual"/>
        </w:rPr>
        <w:t xml:space="preserve"> A, Teddlie C (eds) </w:t>
      </w:r>
      <w:r w:rsidRPr="00D8283E">
        <w:rPr>
          <w:rFonts w:ascii="Times New Roman" w:hAnsi="Times New Roman" w:cs="Times New Roman"/>
          <w:i/>
          <w:iCs/>
          <w:kern w:val="2"/>
          <w:sz w:val="24"/>
          <w:szCs w:val="24"/>
          <w:shd w:val="clear" w:color="auto" w:fill="FFFFFF"/>
          <w14:ligatures w14:val="standardContextual"/>
        </w:rPr>
        <w:t>Handbook of Mixed Methods in Social and Behavioral Research</w:t>
      </w:r>
      <w:r w:rsidRPr="00D8283E">
        <w:rPr>
          <w:rFonts w:ascii="Times New Roman" w:hAnsi="Times New Roman" w:cs="Times New Roman"/>
          <w:kern w:val="2"/>
          <w:sz w:val="24"/>
          <w:szCs w:val="24"/>
          <w:shd w:val="clear" w:color="auto" w:fill="FFFFFF"/>
          <w14:ligatures w14:val="standardContextual"/>
        </w:rPr>
        <w:t>. Los Angeles, CA: SAGE, pp. 91–110.</w:t>
      </w:r>
    </w:p>
    <w:p w14:paraId="7800DD3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Griebenow</w:t>
      </w:r>
      <w:proofErr w:type="spellEnd"/>
      <w:r w:rsidRPr="00D8283E">
        <w:rPr>
          <w:rFonts w:ascii="Times New Roman" w:eastAsia="Times New Roman" w:hAnsi="Times New Roman" w:cs="Times New Roman"/>
          <w:kern w:val="2"/>
          <w:sz w:val="24"/>
          <w:szCs w:val="24"/>
          <w:lang w:eastAsia="en-CA"/>
          <w14:ligatures w14:val="standardContextual"/>
        </w:rPr>
        <w:t xml:space="preserve"> R, Herrmann H, Smith M, </w:t>
      </w:r>
      <w:proofErr w:type="spellStart"/>
      <w:r w:rsidRPr="00D8283E">
        <w:rPr>
          <w:rFonts w:ascii="Times New Roman" w:eastAsia="Times New Roman" w:hAnsi="Times New Roman" w:cs="Times New Roman"/>
          <w:kern w:val="2"/>
          <w:sz w:val="24"/>
          <w:szCs w:val="24"/>
          <w:lang w:eastAsia="en-CA"/>
          <w14:ligatures w14:val="standardContextual"/>
        </w:rPr>
        <w:t>Bassiouny</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Gual</w:t>
      </w:r>
      <w:proofErr w:type="spellEnd"/>
      <w:r w:rsidRPr="00D8283E">
        <w:rPr>
          <w:rFonts w:ascii="Times New Roman" w:eastAsia="Times New Roman" w:hAnsi="Times New Roman" w:cs="Times New Roman"/>
          <w:kern w:val="2"/>
          <w:sz w:val="24"/>
          <w:szCs w:val="24"/>
          <w:lang w:eastAsia="en-CA"/>
          <w14:ligatures w14:val="standardContextual"/>
        </w:rPr>
        <w:t xml:space="preserve"> A, Li PKT, et al. Continuing education as a contributor to mitigating physician burnout. Journal of CME [Internet]. 2023 Nov 2;12(1). Available from: https://doi.org/10.1080/28338073.2023.2272461</w:t>
      </w:r>
    </w:p>
    <w:p w14:paraId="5434630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Griffin MTQ, </w:t>
      </w:r>
      <w:proofErr w:type="spellStart"/>
      <w:r w:rsidRPr="00D8283E">
        <w:rPr>
          <w:rFonts w:ascii="Times New Roman" w:eastAsia="Times New Roman" w:hAnsi="Times New Roman" w:cs="Times New Roman"/>
          <w:kern w:val="2"/>
          <w:sz w:val="24"/>
          <w:szCs w:val="24"/>
          <w:lang w:eastAsia="en-GB"/>
          <w14:ligatures w14:val="standardContextual"/>
        </w:rPr>
        <w:t>Alfes</w:t>
      </w:r>
      <w:proofErr w:type="spellEnd"/>
      <w:r w:rsidRPr="00D8283E">
        <w:rPr>
          <w:rFonts w:ascii="Times New Roman" w:eastAsia="Times New Roman" w:hAnsi="Times New Roman" w:cs="Times New Roman"/>
          <w:kern w:val="2"/>
          <w:sz w:val="24"/>
          <w:szCs w:val="24"/>
          <w:lang w:eastAsia="en-GB"/>
          <w14:ligatures w14:val="standardContextual"/>
        </w:rPr>
        <w:t xml:space="preserve"> CM, Chavez F, </w:t>
      </w:r>
      <w:proofErr w:type="spellStart"/>
      <w:r w:rsidRPr="00D8283E">
        <w:rPr>
          <w:rFonts w:ascii="Times New Roman" w:eastAsia="Times New Roman" w:hAnsi="Times New Roman" w:cs="Times New Roman"/>
          <w:kern w:val="2"/>
          <w:sz w:val="24"/>
          <w:szCs w:val="24"/>
          <w:lang w:eastAsia="en-GB"/>
          <w14:ligatures w14:val="standardContextual"/>
        </w:rPr>
        <w:t>Ea</w:t>
      </w:r>
      <w:proofErr w:type="spellEnd"/>
      <w:r w:rsidRPr="00D8283E">
        <w:rPr>
          <w:rFonts w:ascii="Times New Roman" w:eastAsia="Times New Roman" w:hAnsi="Times New Roman" w:cs="Times New Roman"/>
          <w:kern w:val="2"/>
          <w:sz w:val="24"/>
          <w:szCs w:val="24"/>
          <w:lang w:eastAsia="en-GB"/>
          <w14:ligatures w14:val="standardContextual"/>
        </w:rPr>
        <w:t xml:space="preserve"> EE, Lynn KA, Rafferty MA, et al. Incorporating climate change into Doctor of Nursing Practice curricula. Journal of Professional Nursing [Internet]. 2022 Jul </w:t>
      </w:r>
      <w:proofErr w:type="gramStart"/>
      <w:r w:rsidRPr="00D8283E">
        <w:rPr>
          <w:rFonts w:ascii="Times New Roman" w:eastAsia="Times New Roman" w:hAnsi="Times New Roman" w:cs="Times New Roman"/>
          <w:kern w:val="2"/>
          <w:sz w:val="24"/>
          <w:szCs w:val="24"/>
          <w:lang w:eastAsia="en-GB"/>
          <w14:ligatures w14:val="standardContextual"/>
        </w:rPr>
        <w:t>14;42:156</w:t>
      </w:r>
      <w:proofErr w:type="gramEnd"/>
      <w:r w:rsidRPr="00D8283E">
        <w:rPr>
          <w:rFonts w:ascii="Times New Roman" w:eastAsia="Times New Roman" w:hAnsi="Times New Roman" w:cs="Times New Roman"/>
          <w:kern w:val="2"/>
          <w:sz w:val="24"/>
          <w:szCs w:val="24"/>
          <w:lang w:eastAsia="en-GB"/>
          <w14:ligatures w14:val="standardContextual"/>
        </w:rPr>
        <w:t>–61. Available from: https://doi.org/10.1016/j.profnurs.2022.06.008</w:t>
      </w:r>
    </w:p>
    <w:p w14:paraId="78C7C34E" w14:textId="77777777" w:rsidR="00D8283E" w:rsidRPr="00D8283E" w:rsidRDefault="00D8283E" w:rsidP="00D8283E">
      <w:pPr>
        <w:shd w:val="clear" w:color="auto" w:fill="FFFFFF"/>
        <w:spacing w:after="0" w:line="360" w:lineRule="auto"/>
        <w:ind w:firstLine="720"/>
        <w:rPr>
          <w:rFonts w:ascii="Times New Roman" w:hAnsi="Times New Roman" w:cs="Times New Roman"/>
          <w:color w:val="05103E"/>
          <w:kern w:val="2"/>
          <w:sz w:val="27"/>
          <w:szCs w:val="27"/>
          <w:bdr w:val="single" w:sz="2" w:space="0" w:color="ECEDEE" w:frame="1"/>
          <w14:ligatures w14:val="standardContextual"/>
        </w:rPr>
      </w:pPr>
      <w:proofErr w:type="spellStart"/>
      <w:r w:rsidRPr="00D8283E">
        <w:rPr>
          <w:rFonts w:ascii="Times New Roman" w:hAnsi="Times New Roman" w:cs="Times New Roman"/>
          <w:color w:val="05103E"/>
          <w:kern w:val="2"/>
          <w:sz w:val="24"/>
          <w:szCs w:val="24"/>
          <w14:ligatures w14:val="standardContextual"/>
        </w:rPr>
        <w:lastRenderedPageBreak/>
        <w:t>Grojsman</w:t>
      </w:r>
      <w:proofErr w:type="spellEnd"/>
      <w:r w:rsidRPr="00D8283E">
        <w:rPr>
          <w:rFonts w:ascii="Times New Roman" w:hAnsi="Times New Roman" w:cs="Times New Roman"/>
          <w:color w:val="05103E"/>
          <w:kern w:val="2"/>
          <w:sz w:val="24"/>
          <w:szCs w:val="24"/>
          <w14:ligatures w14:val="standardContextual"/>
        </w:rPr>
        <w:t xml:space="preserve"> R, </w:t>
      </w:r>
      <w:proofErr w:type="spellStart"/>
      <w:r w:rsidRPr="00D8283E">
        <w:rPr>
          <w:rFonts w:ascii="Times New Roman" w:hAnsi="Times New Roman" w:cs="Times New Roman"/>
          <w:color w:val="05103E"/>
          <w:kern w:val="2"/>
          <w:sz w:val="24"/>
          <w:szCs w:val="24"/>
          <w14:ligatures w14:val="standardContextual"/>
        </w:rPr>
        <w:t>Schütte</w:t>
      </w:r>
      <w:proofErr w:type="spellEnd"/>
      <w:r w:rsidRPr="00D8283E">
        <w:rPr>
          <w:rFonts w:ascii="Times New Roman" w:hAnsi="Times New Roman" w:cs="Times New Roman"/>
          <w:color w:val="05103E"/>
          <w:kern w:val="2"/>
          <w:sz w:val="24"/>
          <w:szCs w:val="24"/>
          <w14:ligatures w14:val="standardContextual"/>
        </w:rPr>
        <w:t xml:space="preserve"> S, </w:t>
      </w:r>
      <w:proofErr w:type="spellStart"/>
      <w:r w:rsidRPr="00D8283E">
        <w:rPr>
          <w:rFonts w:ascii="Times New Roman" w:hAnsi="Times New Roman" w:cs="Times New Roman"/>
          <w:color w:val="05103E"/>
          <w:kern w:val="2"/>
          <w:sz w:val="24"/>
          <w:szCs w:val="24"/>
          <w14:ligatures w14:val="standardContextual"/>
        </w:rPr>
        <w:t>Depoux</w:t>
      </w:r>
      <w:proofErr w:type="spellEnd"/>
      <w:r w:rsidRPr="00D8283E">
        <w:rPr>
          <w:rFonts w:ascii="Times New Roman" w:hAnsi="Times New Roman" w:cs="Times New Roman"/>
          <w:color w:val="05103E"/>
          <w:kern w:val="2"/>
          <w:sz w:val="24"/>
          <w:szCs w:val="24"/>
          <w14:ligatures w14:val="standardContextual"/>
        </w:rPr>
        <w:t xml:space="preserve"> A, </w:t>
      </w:r>
      <w:proofErr w:type="spellStart"/>
      <w:r w:rsidRPr="00D8283E">
        <w:rPr>
          <w:rFonts w:ascii="Times New Roman" w:hAnsi="Times New Roman" w:cs="Times New Roman"/>
          <w:color w:val="05103E"/>
          <w:kern w:val="2"/>
          <w:sz w:val="24"/>
          <w:szCs w:val="24"/>
          <w14:ligatures w14:val="standardContextual"/>
        </w:rPr>
        <w:t>Flahault</w:t>
      </w:r>
      <w:proofErr w:type="spellEnd"/>
      <w:r w:rsidRPr="00D8283E">
        <w:rPr>
          <w:rFonts w:ascii="Times New Roman" w:hAnsi="Times New Roman" w:cs="Times New Roman"/>
          <w:color w:val="05103E"/>
          <w:kern w:val="2"/>
          <w:sz w:val="24"/>
          <w:szCs w:val="24"/>
          <w14:ligatures w14:val="standardContextual"/>
        </w:rPr>
        <w:t xml:space="preserve"> A. Climate change – a still neglected topic in medicine and public health programs? Public Health Forum [Internet]. 2020 Feb 29;28(1):78–80. Available from: </w:t>
      </w:r>
      <w:hyperlink r:id="rId33"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https://doi.org/10.1515/pubhef-2019-0122</w:t>
        </w:r>
      </w:hyperlink>
    </w:p>
    <w:p w14:paraId="229C7748" w14:textId="77777777" w:rsidR="00D8283E" w:rsidRPr="00D8283E" w:rsidRDefault="00D8283E" w:rsidP="00D8283E">
      <w:pPr>
        <w:shd w:val="clear" w:color="auto" w:fill="FFFFFF"/>
        <w:spacing w:after="0" w:line="360" w:lineRule="auto"/>
        <w:ind w:firstLine="720"/>
        <w:rPr>
          <w:rFonts w:ascii="Times New Roman" w:hAnsi="Times New Roman" w:cs="Times New Roman"/>
          <w:color w:val="333333"/>
          <w:kern w:val="2"/>
          <w:sz w:val="24"/>
          <w:szCs w:val="24"/>
          <w:shd w:val="clear" w:color="auto" w:fill="FFFFFF"/>
          <w14:ligatures w14:val="standardContextual"/>
        </w:rPr>
      </w:pPr>
      <w:r w:rsidRPr="00D8283E">
        <w:rPr>
          <w:rFonts w:ascii="Times New Roman" w:hAnsi="Times New Roman" w:cs="Times New Roman"/>
          <w:color w:val="333333"/>
          <w:kern w:val="2"/>
          <w:sz w:val="24"/>
          <w:szCs w:val="24"/>
          <w:shd w:val="clear" w:color="auto" w:fill="FFFFFF"/>
          <w14:ligatures w14:val="standardContextual"/>
        </w:rPr>
        <w:t>Grose J and Richardson J (2013) Strategies for dealing with future shortages due to interruptions in the healthcare procurement supply chain: A worked methodology from the English NHS. </w:t>
      </w:r>
      <w:r w:rsidRPr="00D8283E">
        <w:rPr>
          <w:rFonts w:ascii="Times New Roman" w:hAnsi="Times New Roman" w:cs="Times New Roman"/>
          <w:i/>
          <w:iCs/>
          <w:color w:val="333333"/>
          <w:kern w:val="2"/>
          <w:sz w:val="24"/>
          <w:szCs w:val="24"/>
          <w:shd w:val="clear" w:color="auto" w:fill="FFFFFF"/>
          <w14:ligatures w14:val="standardContextual"/>
        </w:rPr>
        <w:t>Journal of Health Service Research Policy and Practice</w:t>
      </w:r>
      <w:r w:rsidRPr="00D8283E">
        <w:rPr>
          <w:rFonts w:ascii="Times New Roman" w:hAnsi="Times New Roman" w:cs="Times New Roman"/>
          <w:color w:val="333333"/>
          <w:kern w:val="2"/>
          <w:sz w:val="24"/>
          <w:szCs w:val="24"/>
          <w:shd w:val="clear" w:color="auto" w:fill="FFFFFF"/>
          <w14:ligatures w14:val="standardContextual"/>
        </w:rPr>
        <w:t>. Available at: </w:t>
      </w:r>
      <w:hyperlink r:id="rId34" w:history="1">
        <w:r w:rsidRPr="00D8283E">
          <w:rPr>
            <w:rFonts w:ascii="Times New Roman" w:hAnsi="Times New Roman" w:cs="Times New Roman"/>
            <w:color w:val="046FF8"/>
            <w:kern w:val="2"/>
            <w:sz w:val="24"/>
            <w:szCs w:val="24"/>
            <w:u w:val="single"/>
            <w:shd w:val="clear" w:color="auto" w:fill="FFFFFF"/>
            <w14:ligatures w14:val="standardContextual"/>
          </w:rPr>
          <w:t>www.hsr.sagepub.com/content/early/2013/08/21/1355819613502172</w:t>
        </w:r>
      </w:hyperlink>
      <w:r w:rsidRPr="00D8283E">
        <w:rPr>
          <w:rFonts w:ascii="Times New Roman" w:hAnsi="Times New Roman" w:cs="Times New Roman"/>
          <w:color w:val="333333"/>
          <w:kern w:val="2"/>
          <w:sz w:val="24"/>
          <w:szCs w:val="24"/>
          <w:shd w:val="clear" w:color="auto" w:fill="FFFFFF"/>
          <w14:ligatures w14:val="standardContextual"/>
        </w:rPr>
        <w:t>.</w:t>
      </w:r>
    </w:p>
    <w:p w14:paraId="6798C70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Guest G, </w:t>
      </w:r>
      <w:proofErr w:type="spellStart"/>
      <w:r w:rsidRPr="00D8283E">
        <w:rPr>
          <w:rFonts w:ascii="Times New Roman" w:eastAsia="Times New Roman" w:hAnsi="Times New Roman" w:cs="Times New Roman"/>
          <w:kern w:val="2"/>
          <w:sz w:val="24"/>
          <w:szCs w:val="24"/>
          <w:lang w:eastAsia="en-CA"/>
          <w14:ligatures w14:val="standardContextual"/>
        </w:rPr>
        <w:t>Namey</w:t>
      </w:r>
      <w:proofErr w:type="spellEnd"/>
      <w:r w:rsidRPr="00D8283E">
        <w:rPr>
          <w:rFonts w:ascii="Times New Roman" w:eastAsia="Times New Roman" w:hAnsi="Times New Roman" w:cs="Times New Roman"/>
          <w:kern w:val="2"/>
          <w:sz w:val="24"/>
          <w:szCs w:val="24"/>
          <w:lang w:eastAsia="en-CA"/>
          <w14:ligatures w14:val="standardContextual"/>
        </w:rPr>
        <w:t xml:space="preserve"> E, McKenna K. How many focus groups are enough? Building an evidence base for nonprobability sample sizes. Field Methods [Internet]. 2016 Apr 29;29(1):3–22. Available from: https://doi.org/10.1177/1525822x16639015</w:t>
      </w:r>
    </w:p>
    <w:p w14:paraId="6B17D7B1" w14:textId="52F7A8EF"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Guest G. Describing mixed methods research. Journal of Mixed Methods Research [Internet]. 2012 Oct 4;7(2):141–51. Available from: </w:t>
      </w:r>
      <w:hyperlink r:id="rId35"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https://doi.org/10.1177/1558689812461179</w:t>
        </w:r>
      </w:hyperlink>
      <w:r w:rsidR="001D624A">
        <w:rPr>
          <w:rFonts w:ascii="Times New Roman" w:eastAsia="Times New Roman" w:hAnsi="Times New Roman" w:cs="Times New Roman"/>
          <w:kern w:val="2"/>
          <w:sz w:val="24"/>
          <w:szCs w:val="24"/>
          <w:lang w:eastAsia="en-CA"/>
          <w14:ligatures w14:val="standardContextual"/>
        </w:rPr>
        <w:t>.</w:t>
      </w:r>
    </w:p>
    <w:p w14:paraId="528F67BC" w14:textId="785375BC"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1D624A">
        <w:rPr>
          <w:rFonts w:ascii="Times New Roman" w:eastAsia="Times New Roman" w:hAnsi="Times New Roman" w:cs="Times New Roman"/>
          <w:kern w:val="2"/>
          <w:sz w:val="24"/>
          <w:szCs w:val="24"/>
          <w:lang w:eastAsia="en-CA"/>
          <w14:ligatures w14:val="standardContextual"/>
        </w:rPr>
        <w:t>Guetterman</w:t>
      </w:r>
      <w:proofErr w:type="spellEnd"/>
      <w:r w:rsidRPr="001D624A">
        <w:rPr>
          <w:rFonts w:ascii="Times New Roman" w:eastAsia="Times New Roman" w:hAnsi="Times New Roman" w:cs="Times New Roman"/>
          <w:kern w:val="2"/>
          <w:sz w:val="24"/>
          <w:szCs w:val="24"/>
          <w:lang w:eastAsia="en-CA"/>
          <w14:ligatures w14:val="standardContextual"/>
        </w:rPr>
        <w:t xml:space="preserve">, T.C., 2019. Basics of statistics for primary care research. </w:t>
      </w:r>
      <w:r w:rsidRPr="001D624A">
        <w:rPr>
          <w:rFonts w:ascii="Times New Roman" w:eastAsia="Times New Roman" w:hAnsi="Times New Roman" w:cs="Times New Roman"/>
          <w:i/>
          <w:iCs/>
          <w:kern w:val="2"/>
          <w:sz w:val="24"/>
          <w:szCs w:val="24"/>
          <w:lang w:eastAsia="en-CA"/>
          <w14:ligatures w14:val="standardContextual"/>
        </w:rPr>
        <w:t>Family Medicine and Community Health</w:t>
      </w:r>
      <w:r w:rsidRPr="001D624A">
        <w:rPr>
          <w:rFonts w:ascii="Times New Roman" w:eastAsia="Times New Roman" w:hAnsi="Times New Roman" w:cs="Times New Roman"/>
          <w:kern w:val="2"/>
          <w:sz w:val="24"/>
          <w:szCs w:val="24"/>
          <w:lang w:eastAsia="en-CA"/>
          <w14:ligatures w14:val="standardContextual"/>
        </w:rPr>
        <w:t>, 7(2), e000067. Available from: https://doi.org/10.1136/fmch-2018-000067</w:t>
      </w:r>
    </w:p>
    <w:p w14:paraId="0CBA891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Haerr</w:t>
      </w:r>
      <w:proofErr w:type="spellEnd"/>
      <w:r w:rsidRPr="00D8283E">
        <w:rPr>
          <w:rFonts w:ascii="Times New Roman" w:eastAsia="Times New Roman" w:hAnsi="Times New Roman" w:cs="Times New Roman"/>
          <w:kern w:val="2"/>
          <w:sz w:val="24"/>
          <w:szCs w:val="24"/>
          <w:lang w:eastAsia="en-CA"/>
          <w14:ligatures w14:val="standardContextual"/>
        </w:rPr>
        <w:t xml:space="preserve"> MF, Larkins-Pettigrew M. Global Health Certification for </w:t>
      </w:r>
      <w:proofErr w:type="spellStart"/>
      <w:r w:rsidRPr="00D8283E">
        <w:rPr>
          <w:rFonts w:ascii="Times New Roman" w:eastAsia="Times New Roman" w:hAnsi="Times New Roman" w:cs="Times New Roman"/>
          <w:kern w:val="2"/>
          <w:sz w:val="24"/>
          <w:szCs w:val="24"/>
          <w:lang w:eastAsia="en-CA"/>
          <w14:ligatures w14:val="standardContextual"/>
        </w:rPr>
        <w:t>Obstetric</w:t>
      </w:r>
      <w:proofErr w:type="spellEnd"/>
      <w:r w:rsidRPr="00D8283E">
        <w:rPr>
          <w:rFonts w:ascii="Times New Roman" w:eastAsia="Times New Roman" w:hAnsi="Times New Roman" w:cs="Times New Roman"/>
          <w:kern w:val="2"/>
          <w:sz w:val="24"/>
          <w:szCs w:val="24"/>
          <w:lang w:eastAsia="en-CA"/>
          <w14:ligatures w14:val="standardContextual"/>
        </w:rPr>
        <w:t xml:space="preserve"> and Gynecology residents. Annals of Global Health [Internet]. 2017 Apr 7;83(1):43. Available from: https://doi.org/10.1016/j.aogh.2017.03.093</w:t>
      </w:r>
    </w:p>
    <w:p w14:paraId="6B298DC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Haghani</w:t>
      </w:r>
      <w:proofErr w:type="spellEnd"/>
      <w:r w:rsidRPr="00D8283E">
        <w:rPr>
          <w:rFonts w:ascii="Times New Roman" w:eastAsia="Times New Roman" w:hAnsi="Times New Roman" w:cs="Times New Roman"/>
          <w:kern w:val="2"/>
          <w:sz w:val="24"/>
          <w:szCs w:val="24"/>
          <w:lang w:eastAsia="en-CA"/>
          <w14:ligatures w14:val="standardContextual"/>
        </w:rPr>
        <w:t xml:space="preserve"> F, </w:t>
      </w:r>
      <w:proofErr w:type="spellStart"/>
      <w:r w:rsidRPr="00D8283E">
        <w:rPr>
          <w:rFonts w:ascii="Times New Roman" w:eastAsia="Times New Roman" w:hAnsi="Times New Roman" w:cs="Times New Roman"/>
          <w:kern w:val="2"/>
          <w:sz w:val="24"/>
          <w:szCs w:val="24"/>
          <w:lang w:eastAsia="en-CA"/>
          <w14:ligatures w14:val="standardContextual"/>
        </w:rPr>
        <w:t>Aliakbari</w:t>
      </w:r>
      <w:proofErr w:type="spellEnd"/>
      <w:r w:rsidRPr="00D8283E">
        <w:rPr>
          <w:rFonts w:ascii="Times New Roman" w:eastAsia="Times New Roman" w:hAnsi="Times New Roman" w:cs="Times New Roman"/>
          <w:kern w:val="2"/>
          <w:sz w:val="24"/>
          <w:szCs w:val="24"/>
          <w:lang w:eastAsia="en-CA"/>
          <w14:ligatures w14:val="standardContextual"/>
        </w:rPr>
        <w:t xml:space="preserve"> F, Parvin N, </w:t>
      </w:r>
      <w:proofErr w:type="spellStart"/>
      <w:r w:rsidRPr="00D8283E">
        <w:rPr>
          <w:rFonts w:ascii="Times New Roman" w:eastAsia="Times New Roman" w:hAnsi="Times New Roman" w:cs="Times New Roman"/>
          <w:kern w:val="2"/>
          <w:sz w:val="24"/>
          <w:szCs w:val="24"/>
          <w:lang w:eastAsia="en-CA"/>
          <w14:ligatures w14:val="standardContextual"/>
        </w:rPr>
        <w:t>Heidari</w:t>
      </w:r>
      <w:proofErr w:type="spellEnd"/>
      <w:r w:rsidRPr="00D8283E">
        <w:rPr>
          <w:rFonts w:ascii="Times New Roman" w:eastAsia="Times New Roman" w:hAnsi="Times New Roman" w:cs="Times New Roman"/>
          <w:kern w:val="2"/>
          <w:sz w:val="24"/>
          <w:szCs w:val="24"/>
          <w:lang w:eastAsia="en-CA"/>
          <w14:ligatures w14:val="standardContextual"/>
        </w:rPr>
        <w:t xml:space="preserve"> M. Learning theories application in nursing education. Journal of Education and Health Promotion [Internet]. 2015 Jan 1;4(1):2. Available from: https://doi.org/10.4103/2277-9531.151867</w:t>
      </w:r>
    </w:p>
    <w:p w14:paraId="34309FA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Haines A, Patz JA. Health effects of climate change. JAMA [Internet]. 2004 Jan 6;291(1):99. Available from: https://doi.org/10.1001/jama.291.1.99</w:t>
      </w:r>
    </w:p>
    <w:p w14:paraId="486A72E9"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Haines A. Health co-benefits of climate action. The Lancet Planetary Health [Internet]. 2017 Apr 1;1(1</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4–5. Available from: https://doi.org/10.1016/s2542-5196(17)30003-7</w:t>
      </w:r>
    </w:p>
    <w:p w14:paraId="36C71DE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Hampshire K, Islam N, Kissel B, Chase H, </w:t>
      </w:r>
      <w:proofErr w:type="spellStart"/>
      <w:r w:rsidRPr="00D8283E">
        <w:rPr>
          <w:rFonts w:ascii="Times New Roman" w:eastAsia="Times New Roman" w:hAnsi="Times New Roman" w:cs="Times New Roman"/>
          <w:kern w:val="2"/>
          <w:sz w:val="24"/>
          <w:szCs w:val="24"/>
          <w:lang w:eastAsia="en-GB"/>
          <w14:ligatures w14:val="standardContextual"/>
        </w:rPr>
        <w:t>Gundling</w:t>
      </w:r>
      <w:proofErr w:type="spellEnd"/>
      <w:r w:rsidRPr="00D8283E">
        <w:rPr>
          <w:rFonts w:ascii="Times New Roman" w:eastAsia="Times New Roman" w:hAnsi="Times New Roman" w:cs="Times New Roman"/>
          <w:kern w:val="2"/>
          <w:sz w:val="24"/>
          <w:szCs w:val="24"/>
          <w:lang w:eastAsia="en-GB"/>
          <w14:ligatures w14:val="standardContextual"/>
        </w:rPr>
        <w:t xml:space="preserve"> K. The Planetary Health Report Card: a student-led initiative to inspire planetary health in medical schools. The Lancet Planetary Health [Internet]. 2022 Apr 22;6(5</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449–54. Available from: https://doi.org/10.1016/s2542-5196(22)00045-6</w:t>
      </w:r>
    </w:p>
    <w:p w14:paraId="0FD3D94E"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lastRenderedPageBreak/>
        <w:t xml:space="preserve">Hampson T, McKinley J. Problems posing as solutions: </w:t>
      </w:r>
      <w:proofErr w:type="spellStart"/>
      <w:r w:rsidRPr="00D8283E">
        <w:rPr>
          <w:rFonts w:ascii="Times New Roman" w:eastAsia="Times New Roman" w:hAnsi="Times New Roman" w:cs="Times New Roman"/>
          <w:kern w:val="2"/>
          <w:sz w:val="24"/>
          <w:szCs w:val="24"/>
          <w:lang w:eastAsia="en-GB"/>
          <w14:ligatures w14:val="standardContextual"/>
        </w:rPr>
        <w:t>Criticising</w:t>
      </w:r>
      <w:proofErr w:type="spellEnd"/>
      <w:r w:rsidRPr="00D8283E">
        <w:rPr>
          <w:rFonts w:ascii="Times New Roman" w:eastAsia="Times New Roman" w:hAnsi="Times New Roman" w:cs="Times New Roman"/>
          <w:kern w:val="2"/>
          <w:sz w:val="24"/>
          <w:szCs w:val="24"/>
          <w:lang w:eastAsia="en-GB"/>
          <w14:ligatures w14:val="standardContextual"/>
        </w:rPr>
        <w:t xml:space="preserve"> pragmatism as a paradigm for mixed research. Research in Education [Internet]. 2023 Feb 24;116(1):124–38. Available from: https://doi.org/10.1177/00345237231160085</w:t>
      </w:r>
    </w:p>
    <w:p w14:paraId="4D442E6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Hansen M, O’Brien K, Meckler G, Chang AM, Guise JM. Understanding the value of mixed methods research: the Children’s Safety Initiative-Emergency Medical Services. Emergency Medicine Journal [Internet]. 2016 Feb 23;33(7):489–94. Available from: https://doi.org/10.1136/emermed-2015-205277</w:t>
      </w:r>
    </w:p>
    <w:p w14:paraId="4BB4C73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Harrison RL, Reilly TM, Creswell JW. Methodological rigor in mixed Methods: an application in management studies. Journal of Mixed Methods Research [Internet]. 2020 Feb 2;14(4):473–95. Available from: https://doi.org/10.1177/1558689819900585</w:t>
      </w:r>
    </w:p>
    <w:p w14:paraId="714B396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Hartney</w:t>
      </w:r>
      <w:proofErr w:type="spellEnd"/>
      <w:r w:rsidRPr="00D8283E">
        <w:rPr>
          <w:rFonts w:ascii="Times New Roman" w:eastAsia="Times New Roman" w:hAnsi="Times New Roman" w:cs="Times New Roman"/>
          <w:kern w:val="2"/>
          <w:sz w:val="24"/>
          <w:szCs w:val="24"/>
          <w:lang w:eastAsia="en-CA"/>
          <w14:ligatures w14:val="standardContextual"/>
        </w:rPr>
        <w:t xml:space="preserve"> E, </w:t>
      </w:r>
      <w:proofErr w:type="spellStart"/>
      <w:r w:rsidRPr="00D8283E">
        <w:rPr>
          <w:rFonts w:ascii="Times New Roman" w:eastAsia="Times New Roman" w:hAnsi="Times New Roman" w:cs="Times New Roman"/>
          <w:kern w:val="2"/>
          <w:sz w:val="24"/>
          <w:szCs w:val="24"/>
          <w:lang w:eastAsia="en-CA"/>
          <w14:ligatures w14:val="standardContextual"/>
        </w:rPr>
        <w:t>Melis</w:t>
      </w:r>
      <w:proofErr w:type="spellEnd"/>
      <w:r w:rsidRPr="00D8283E">
        <w:rPr>
          <w:rFonts w:ascii="Times New Roman" w:eastAsia="Times New Roman" w:hAnsi="Times New Roman" w:cs="Times New Roman"/>
          <w:kern w:val="2"/>
          <w:sz w:val="24"/>
          <w:szCs w:val="24"/>
          <w:lang w:eastAsia="en-CA"/>
          <w14:ligatures w14:val="standardContextual"/>
        </w:rPr>
        <w:t xml:space="preserve"> E, Taylor D, Dickson G, </w:t>
      </w:r>
      <w:proofErr w:type="spellStart"/>
      <w:r w:rsidRPr="00D8283E">
        <w:rPr>
          <w:rFonts w:ascii="Times New Roman" w:eastAsia="Times New Roman" w:hAnsi="Times New Roman" w:cs="Times New Roman"/>
          <w:kern w:val="2"/>
          <w:sz w:val="24"/>
          <w:szCs w:val="24"/>
          <w:lang w:eastAsia="en-CA"/>
          <w14:ligatures w14:val="standardContextual"/>
        </w:rPr>
        <w:t>Tholl</w:t>
      </w:r>
      <w:proofErr w:type="spellEnd"/>
      <w:r w:rsidRPr="00D8283E">
        <w:rPr>
          <w:rFonts w:ascii="Times New Roman" w:eastAsia="Times New Roman" w:hAnsi="Times New Roman" w:cs="Times New Roman"/>
          <w:kern w:val="2"/>
          <w:sz w:val="24"/>
          <w:szCs w:val="24"/>
          <w:lang w:eastAsia="en-CA"/>
          <w14:ligatures w14:val="standardContextual"/>
        </w:rPr>
        <w:t xml:space="preserve"> B, Grimes K, et al. Leading through the first wave of COVID: a Canadian action research study. Leadership in Health Services [Internet]. 2021 Dec 15;35(1):30–45. Available from: https://doi.org/10.1108/lhs-05-2021-0042</w:t>
      </w:r>
    </w:p>
    <w:p w14:paraId="6DE54B7A" w14:textId="16608E64"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Hayes K, </w:t>
      </w:r>
      <w:proofErr w:type="spellStart"/>
      <w:r w:rsidRPr="00D8283E">
        <w:rPr>
          <w:rFonts w:ascii="Times New Roman" w:eastAsia="Times New Roman" w:hAnsi="Times New Roman" w:cs="Times New Roman"/>
          <w:kern w:val="2"/>
          <w:sz w:val="24"/>
          <w:szCs w:val="24"/>
          <w:lang w:eastAsia="en-CA"/>
          <w14:ligatures w14:val="standardContextual"/>
        </w:rPr>
        <w:t>Blashki</w:t>
      </w:r>
      <w:proofErr w:type="spellEnd"/>
      <w:r w:rsidRPr="00D8283E">
        <w:rPr>
          <w:rFonts w:ascii="Times New Roman" w:eastAsia="Times New Roman" w:hAnsi="Times New Roman" w:cs="Times New Roman"/>
          <w:kern w:val="2"/>
          <w:sz w:val="24"/>
          <w:szCs w:val="24"/>
          <w:lang w:eastAsia="en-CA"/>
          <w14:ligatures w14:val="standardContextual"/>
        </w:rPr>
        <w:t xml:space="preserve"> G, Wiseman J, Burke S, </w:t>
      </w:r>
      <w:proofErr w:type="spellStart"/>
      <w:r w:rsidRPr="00D8283E">
        <w:rPr>
          <w:rFonts w:ascii="Times New Roman" w:eastAsia="Times New Roman" w:hAnsi="Times New Roman" w:cs="Times New Roman"/>
          <w:kern w:val="2"/>
          <w:sz w:val="24"/>
          <w:szCs w:val="24"/>
          <w:lang w:eastAsia="en-CA"/>
          <w14:ligatures w14:val="standardContextual"/>
        </w:rPr>
        <w:t>Reifels</w:t>
      </w:r>
      <w:proofErr w:type="spellEnd"/>
      <w:r w:rsidRPr="00D8283E">
        <w:rPr>
          <w:rFonts w:ascii="Times New Roman" w:eastAsia="Times New Roman" w:hAnsi="Times New Roman" w:cs="Times New Roman"/>
          <w:kern w:val="2"/>
          <w:sz w:val="24"/>
          <w:szCs w:val="24"/>
          <w:lang w:eastAsia="en-CA"/>
          <w14:ligatures w14:val="standardContextual"/>
        </w:rPr>
        <w:t xml:space="preserve"> L. Climate change and mental health: risks, impacts and priority actions. International Journal of Mental Health Systems [Internet]. 2018 Jun 1;12(1). Available from: </w:t>
      </w:r>
      <w:hyperlink r:id="rId36"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https://doi.org/10.1186/s13033-018-0210-6</w:t>
        </w:r>
      </w:hyperlink>
    </w:p>
    <w:p w14:paraId="38337352" w14:textId="43A86AA8"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1D624A">
        <w:rPr>
          <w:rFonts w:ascii="Times New Roman" w:eastAsia="Times New Roman" w:hAnsi="Times New Roman" w:cs="Times New Roman"/>
          <w:kern w:val="2"/>
          <w:sz w:val="24"/>
          <w:szCs w:val="24"/>
          <w:lang w:eastAsia="en-CA"/>
          <w14:ligatures w14:val="standardContextual"/>
        </w:rPr>
        <w:t xml:space="preserve">Health Canada. (2025). </w:t>
      </w:r>
      <w:r w:rsidRPr="001D624A">
        <w:rPr>
          <w:rFonts w:ascii="Times New Roman" w:eastAsia="Times New Roman" w:hAnsi="Times New Roman" w:cs="Times New Roman"/>
          <w:i/>
          <w:iCs/>
          <w:kern w:val="2"/>
          <w:sz w:val="24"/>
          <w:szCs w:val="24"/>
          <w:lang w:eastAsia="en-CA"/>
          <w14:ligatures w14:val="standardContextual"/>
        </w:rPr>
        <w:t xml:space="preserve">Lessons from the </w:t>
      </w:r>
      <w:proofErr w:type="spellStart"/>
      <w:r w:rsidRPr="001D624A">
        <w:rPr>
          <w:rFonts w:ascii="Times New Roman" w:eastAsia="Times New Roman" w:hAnsi="Times New Roman" w:cs="Times New Roman"/>
          <w:i/>
          <w:iCs/>
          <w:kern w:val="2"/>
          <w:sz w:val="24"/>
          <w:szCs w:val="24"/>
          <w:lang w:eastAsia="en-CA"/>
          <w14:ligatures w14:val="standardContextual"/>
        </w:rPr>
        <w:t>HealthADAPT</w:t>
      </w:r>
      <w:proofErr w:type="spellEnd"/>
      <w:r w:rsidRPr="001D624A">
        <w:rPr>
          <w:rFonts w:ascii="Times New Roman" w:eastAsia="Times New Roman" w:hAnsi="Times New Roman" w:cs="Times New Roman"/>
          <w:i/>
          <w:iCs/>
          <w:kern w:val="2"/>
          <w:sz w:val="24"/>
          <w:szCs w:val="24"/>
          <w:lang w:eastAsia="en-CA"/>
          <w14:ligatures w14:val="standardContextual"/>
        </w:rPr>
        <w:t xml:space="preserve"> Program (2018–2022): Strengthening Capacity to Prepare for the Health Impacts of Climate Change in Canada</w:t>
      </w:r>
      <w:r w:rsidRPr="001D624A">
        <w:rPr>
          <w:rFonts w:ascii="Times New Roman" w:eastAsia="Times New Roman" w:hAnsi="Times New Roman" w:cs="Times New Roman"/>
          <w:kern w:val="2"/>
          <w:sz w:val="24"/>
          <w:szCs w:val="24"/>
          <w:lang w:eastAsia="en-CA"/>
          <w14:ligatures w14:val="standardContextual"/>
        </w:rPr>
        <w:t xml:space="preserve">. Health Canada. </w:t>
      </w:r>
      <w:r>
        <w:rPr>
          <w:rFonts w:ascii="Times New Roman" w:eastAsia="Times New Roman" w:hAnsi="Times New Roman" w:cs="Times New Roman"/>
          <w:kern w:val="2"/>
          <w:sz w:val="24"/>
          <w:szCs w:val="24"/>
          <w:lang w:eastAsia="en-CA"/>
          <w14:ligatures w14:val="standardContextual"/>
        </w:rPr>
        <w:t xml:space="preserve">Available from: </w:t>
      </w:r>
      <w:r w:rsidRPr="001D624A">
        <w:rPr>
          <w:rFonts w:ascii="Times New Roman" w:eastAsia="Times New Roman" w:hAnsi="Times New Roman" w:cs="Times New Roman"/>
          <w:kern w:val="2"/>
          <w:sz w:val="24"/>
          <w:szCs w:val="24"/>
          <w:lang w:eastAsia="en-CA"/>
          <w14:ligatures w14:val="standardContextual"/>
        </w:rPr>
        <w:t>https://www.canada.ca/en/health-canada/services/environmental-workplace-health/reports-publications/climate-change-health/lessons-healthadapt-program-2018-2022-strengthening-capacity-health-impacts.html</w:t>
      </w:r>
    </w:p>
    <w:p w14:paraId="108D704C" w14:textId="77777777" w:rsidR="00D8283E" w:rsidRPr="00D8283E" w:rsidRDefault="00D8283E" w:rsidP="00D8283E">
      <w:pPr>
        <w:shd w:val="clear" w:color="auto" w:fill="FFFFFF"/>
        <w:spacing w:after="0" w:line="360" w:lineRule="auto"/>
        <w:ind w:firstLine="720"/>
        <w:rPr>
          <w:rFonts w:ascii="Times New Roman" w:hAnsi="Times New Roman" w:cs="Times New Roman"/>
          <w:color w:val="05103E"/>
          <w:kern w:val="2"/>
          <w:sz w:val="24"/>
          <w:szCs w:val="24"/>
          <w:bdr w:val="single" w:sz="2" w:space="0" w:color="ECEDEE" w:frame="1"/>
          <w14:ligatures w14:val="standardContextual"/>
        </w:rPr>
      </w:pPr>
      <w:r w:rsidRPr="00D8283E">
        <w:rPr>
          <w:rFonts w:ascii="Times New Roman" w:hAnsi="Times New Roman" w:cs="Times New Roman"/>
          <w:color w:val="05103E"/>
          <w:kern w:val="2"/>
          <w:sz w:val="24"/>
          <w:szCs w:val="24"/>
          <w14:ligatures w14:val="standardContextual"/>
        </w:rPr>
        <w:t>Henningsen P. Still modern? Developing the biopsychosocial model for the 21st century. Journal of Psychosomatic Research [Internet]. 2015 Sep 19;79(5):362–3. Available from: </w:t>
      </w:r>
      <w:hyperlink r:id="rId37"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https://doi.org/10.1016/j.jpsychores.2015.09.003</w:t>
        </w:r>
      </w:hyperlink>
    </w:p>
    <w:p w14:paraId="1D19D98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Hepfer</w:t>
      </w:r>
      <w:proofErr w:type="spellEnd"/>
      <w:r w:rsidRPr="00D8283E">
        <w:rPr>
          <w:rFonts w:ascii="Times New Roman" w:eastAsia="Times New Roman" w:hAnsi="Times New Roman" w:cs="Times New Roman"/>
          <w:kern w:val="2"/>
          <w:sz w:val="24"/>
          <w:szCs w:val="24"/>
          <w:lang w:eastAsia="en-CA"/>
          <w14:ligatures w14:val="standardContextual"/>
        </w:rPr>
        <w:t xml:space="preserve"> M, Lawrence TB. The Heterogeneity of Organisational Resilience: Exploring functional, operational and strategic resilience. Organisation Theory [Internet]. 2022 Jan 1;3(1):263178772210747. Available from: https://doi.org/10.1177/26317877221074701</w:t>
      </w:r>
    </w:p>
    <w:p w14:paraId="03BA88D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Hertelendy</w:t>
      </w:r>
      <w:proofErr w:type="spellEnd"/>
      <w:r w:rsidRPr="00D8283E">
        <w:rPr>
          <w:rFonts w:ascii="Times New Roman" w:eastAsia="Times New Roman" w:hAnsi="Times New Roman" w:cs="Times New Roman"/>
          <w:kern w:val="2"/>
          <w:sz w:val="24"/>
          <w:szCs w:val="24"/>
          <w:lang w:eastAsia="en-CA"/>
          <w14:ligatures w14:val="standardContextual"/>
        </w:rPr>
        <w:t xml:space="preserve"> AJ PhD, McNulty EJ MA, </w:t>
      </w:r>
      <w:proofErr w:type="spellStart"/>
      <w:r w:rsidRPr="00D8283E">
        <w:rPr>
          <w:rFonts w:ascii="Times New Roman" w:eastAsia="Times New Roman" w:hAnsi="Times New Roman" w:cs="Times New Roman"/>
          <w:kern w:val="2"/>
          <w:sz w:val="24"/>
          <w:szCs w:val="24"/>
          <w:lang w:eastAsia="en-CA"/>
          <w14:ligatures w14:val="standardContextual"/>
        </w:rPr>
        <w:t>Facep</w:t>
      </w:r>
      <w:proofErr w:type="spellEnd"/>
      <w:r w:rsidRPr="00D8283E">
        <w:rPr>
          <w:rFonts w:ascii="Times New Roman" w:eastAsia="Times New Roman" w:hAnsi="Times New Roman" w:cs="Times New Roman"/>
          <w:kern w:val="2"/>
          <w:sz w:val="24"/>
          <w:szCs w:val="24"/>
          <w:lang w:eastAsia="en-CA"/>
          <w14:ligatures w14:val="standardContextual"/>
        </w:rPr>
        <w:t xml:space="preserve"> FMBJ Md, Mph, PhD </w:t>
      </w:r>
      <w:proofErr w:type="spellStart"/>
      <w:r w:rsidRPr="00D8283E">
        <w:rPr>
          <w:rFonts w:ascii="Times New Roman" w:eastAsia="Times New Roman" w:hAnsi="Times New Roman" w:cs="Times New Roman"/>
          <w:kern w:val="2"/>
          <w:sz w:val="24"/>
          <w:szCs w:val="24"/>
          <w:lang w:eastAsia="en-CA"/>
          <w14:ligatures w14:val="standardContextual"/>
        </w:rPr>
        <w:t>Dtm</w:t>
      </w:r>
      <w:proofErr w:type="spellEnd"/>
      <w:r w:rsidRPr="00D8283E">
        <w:rPr>
          <w:rFonts w:ascii="Times New Roman" w:eastAsia="Times New Roman" w:hAnsi="Times New Roman" w:cs="Times New Roman"/>
          <w:kern w:val="2"/>
          <w:sz w:val="24"/>
          <w:szCs w:val="24"/>
          <w:lang w:eastAsia="en-CA"/>
          <w14:ligatures w14:val="standardContextual"/>
        </w:rPr>
        <w:t xml:space="preserve">, </w:t>
      </w:r>
      <w:proofErr w:type="spellStart"/>
      <w:proofErr w:type="gramStart"/>
      <w:r w:rsidRPr="00D8283E">
        <w:rPr>
          <w:rFonts w:ascii="Times New Roman" w:eastAsia="Times New Roman" w:hAnsi="Times New Roman" w:cs="Times New Roman"/>
          <w:kern w:val="2"/>
          <w:sz w:val="24"/>
          <w:szCs w:val="24"/>
          <w:lang w:eastAsia="en-CA"/>
          <w14:ligatures w14:val="standardContextual"/>
        </w:rPr>
        <w:t>Faap</w:t>
      </w:r>
      <w:proofErr w:type="spellEnd"/>
      <w:r w:rsidRPr="00D8283E">
        <w:rPr>
          <w:rFonts w:ascii="Times New Roman" w:eastAsia="Times New Roman" w:hAnsi="Times New Roman" w:cs="Times New Roman"/>
          <w:kern w:val="2"/>
          <w:sz w:val="24"/>
          <w:szCs w:val="24"/>
          <w:lang w:eastAsia="en-CA"/>
          <w14:ligatures w14:val="standardContextual"/>
        </w:rPr>
        <w:t>,.</w:t>
      </w:r>
      <w:proofErr w:type="gramEnd"/>
      <w:r w:rsidRPr="00D8283E">
        <w:rPr>
          <w:rFonts w:ascii="Times New Roman" w:eastAsia="Times New Roman" w:hAnsi="Times New Roman" w:cs="Times New Roman"/>
          <w:kern w:val="2"/>
          <w:sz w:val="24"/>
          <w:szCs w:val="24"/>
          <w:lang w:eastAsia="en-CA"/>
          <w14:ligatures w14:val="standardContextual"/>
        </w:rPr>
        <w:t xml:space="preserve"> The new normal: A catalyst for leadership adaptation in a tumultuous world—Let’s stop applying 20th century solutions to 21st century problems in emergency management. Journal of Emergency </w:t>
      </w:r>
      <w:r w:rsidRPr="00D8283E">
        <w:rPr>
          <w:rFonts w:ascii="Times New Roman" w:eastAsia="Times New Roman" w:hAnsi="Times New Roman" w:cs="Times New Roman"/>
          <w:kern w:val="2"/>
          <w:sz w:val="24"/>
          <w:szCs w:val="24"/>
          <w:lang w:eastAsia="en-CA"/>
          <w14:ligatures w14:val="standardContextual"/>
        </w:rPr>
        <w:lastRenderedPageBreak/>
        <w:t>Management [Internet]. 2021 Jul 1;19(4):323–5. Available from: https://doi.org/10.5055/jem.0628</w:t>
      </w:r>
    </w:p>
    <w:p w14:paraId="2620DC4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Hertelendy</w:t>
      </w:r>
      <w:proofErr w:type="spellEnd"/>
      <w:r w:rsidRPr="00D8283E">
        <w:rPr>
          <w:rFonts w:ascii="Times New Roman" w:eastAsia="Times New Roman" w:hAnsi="Times New Roman" w:cs="Times New Roman"/>
          <w:kern w:val="2"/>
          <w:sz w:val="24"/>
          <w:szCs w:val="24"/>
          <w:lang w:eastAsia="en-CA"/>
          <w14:ligatures w14:val="standardContextual"/>
        </w:rPr>
        <w:t xml:space="preserve"> AJ, </w:t>
      </w:r>
      <w:proofErr w:type="spellStart"/>
      <w:r w:rsidRPr="00D8283E">
        <w:rPr>
          <w:rFonts w:ascii="Times New Roman" w:eastAsia="Times New Roman" w:hAnsi="Times New Roman" w:cs="Times New Roman"/>
          <w:kern w:val="2"/>
          <w:sz w:val="24"/>
          <w:szCs w:val="24"/>
          <w:lang w:eastAsia="en-CA"/>
          <w14:ligatures w14:val="standardContextual"/>
        </w:rPr>
        <w:t>Tochkin</w:t>
      </w:r>
      <w:proofErr w:type="spellEnd"/>
      <w:r w:rsidRPr="00D8283E">
        <w:rPr>
          <w:rFonts w:ascii="Times New Roman" w:eastAsia="Times New Roman" w:hAnsi="Times New Roman" w:cs="Times New Roman"/>
          <w:kern w:val="2"/>
          <w:sz w:val="24"/>
          <w:szCs w:val="24"/>
          <w:lang w:eastAsia="en-CA"/>
          <w14:ligatures w14:val="standardContextual"/>
        </w:rPr>
        <w:t xml:space="preserve"> J, Richmond J, </w:t>
      </w:r>
      <w:proofErr w:type="spellStart"/>
      <w:r w:rsidRPr="00D8283E">
        <w:rPr>
          <w:rFonts w:ascii="Times New Roman" w:eastAsia="Times New Roman" w:hAnsi="Times New Roman" w:cs="Times New Roman"/>
          <w:kern w:val="2"/>
          <w:sz w:val="24"/>
          <w:szCs w:val="24"/>
          <w:lang w:eastAsia="en-CA"/>
          <w14:ligatures w14:val="standardContextual"/>
        </w:rPr>
        <w:t>Ciottone</w:t>
      </w:r>
      <w:proofErr w:type="spellEnd"/>
      <w:r w:rsidRPr="00D8283E">
        <w:rPr>
          <w:rFonts w:ascii="Times New Roman" w:eastAsia="Times New Roman" w:hAnsi="Times New Roman" w:cs="Times New Roman"/>
          <w:kern w:val="2"/>
          <w:sz w:val="24"/>
          <w:szCs w:val="24"/>
          <w:lang w:eastAsia="en-CA"/>
          <w14:ligatures w14:val="standardContextual"/>
        </w:rPr>
        <w:t xml:space="preserve"> GR. Preparing for the next COVID-19 wave in Canada: managing the crisis facing emergency management leaders in healthcare organisations. BMJ Leader [Internet]. 2021 Jun 17;6(2):121–4. Available from: https://doi.org/10.1136/leader-2020-000437</w:t>
      </w:r>
    </w:p>
    <w:p w14:paraId="55AE60E9"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Hess J, </w:t>
      </w:r>
      <w:proofErr w:type="spellStart"/>
      <w:r w:rsidRPr="00D8283E">
        <w:rPr>
          <w:rFonts w:ascii="Times New Roman" w:eastAsia="Times New Roman" w:hAnsi="Times New Roman" w:cs="Times New Roman"/>
          <w:kern w:val="2"/>
          <w:sz w:val="24"/>
          <w:szCs w:val="24"/>
          <w:lang w:eastAsia="en-CA"/>
          <w14:ligatures w14:val="standardContextual"/>
        </w:rPr>
        <w:t>Boodram</w:t>
      </w:r>
      <w:proofErr w:type="spellEnd"/>
      <w:r w:rsidRPr="00D8283E">
        <w:rPr>
          <w:rFonts w:ascii="Times New Roman" w:eastAsia="Times New Roman" w:hAnsi="Times New Roman" w:cs="Times New Roman"/>
          <w:kern w:val="2"/>
          <w:sz w:val="24"/>
          <w:szCs w:val="24"/>
          <w:lang w:eastAsia="en-CA"/>
          <w14:ligatures w14:val="standardContextual"/>
        </w:rPr>
        <w:t xml:space="preserve"> LLG, Paz S, Ibarra AMS, </w:t>
      </w:r>
      <w:proofErr w:type="spellStart"/>
      <w:r w:rsidRPr="00D8283E">
        <w:rPr>
          <w:rFonts w:ascii="Times New Roman" w:eastAsia="Times New Roman" w:hAnsi="Times New Roman" w:cs="Times New Roman"/>
          <w:kern w:val="2"/>
          <w:sz w:val="24"/>
          <w:szCs w:val="24"/>
          <w:lang w:eastAsia="en-CA"/>
          <w14:ligatures w14:val="standardContextual"/>
        </w:rPr>
        <w:t>Wasserheit</w:t>
      </w:r>
      <w:proofErr w:type="spellEnd"/>
      <w:r w:rsidRPr="00D8283E">
        <w:rPr>
          <w:rFonts w:ascii="Times New Roman" w:eastAsia="Times New Roman" w:hAnsi="Times New Roman" w:cs="Times New Roman"/>
          <w:kern w:val="2"/>
          <w:sz w:val="24"/>
          <w:szCs w:val="24"/>
          <w:lang w:eastAsia="en-CA"/>
          <w14:ligatures w14:val="standardContextual"/>
        </w:rPr>
        <w:t xml:space="preserve"> JN, Lowe R. Strengthening the global response to climate change and infectious disease threats. BMJ [Internet]. 2020 Oct </w:t>
      </w:r>
      <w:proofErr w:type="gramStart"/>
      <w:r w:rsidRPr="00D8283E">
        <w:rPr>
          <w:rFonts w:ascii="Times New Roman" w:eastAsia="Times New Roman" w:hAnsi="Times New Roman" w:cs="Times New Roman"/>
          <w:kern w:val="2"/>
          <w:sz w:val="24"/>
          <w:szCs w:val="24"/>
          <w:lang w:eastAsia="en-CA"/>
          <w14:ligatures w14:val="standardContextual"/>
        </w:rPr>
        <w:t>26;m</w:t>
      </w:r>
      <w:proofErr w:type="gramEnd"/>
      <w:r w:rsidRPr="00D8283E">
        <w:rPr>
          <w:rFonts w:ascii="Times New Roman" w:eastAsia="Times New Roman" w:hAnsi="Times New Roman" w:cs="Times New Roman"/>
          <w:kern w:val="2"/>
          <w:sz w:val="24"/>
          <w:szCs w:val="24"/>
          <w:lang w:eastAsia="en-CA"/>
          <w14:ligatures w14:val="standardContextual"/>
        </w:rPr>
        <w:t>3081. Available from: https://doi.org/10.1136/bmj.m3081</w:t>
      </w:r>
    </w:p>
    <w:p w14:paraId="1DC8A66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Hettige</w:t>
      </w:r>
      <w:proofErr w:type="spellEnd"/>
      <w:r w:rsidRPr="00D8283E">
        <w:rPr>
          <w:rFonts w:ascii="Times New Roman" w:eastAsia="Times New Roman" w:hAnsi="Times New Roman" w:cs="Times New Roman"/>
          <w:kern w:val="2"/>
          <w:sz w:val="24"/>
          <w:szCs w:val="24"/>
          <w:lang w:eastAsia="en-CA"/>
          <w14:ligatures w14:val="standardContextual"/>
        </w:rPr>
        <w:t xml:space="preserve">, A.S., De Silva, D.A.M. and Jayasinghe, M.A.E.K. (2025) ‘An innovative pedagogy in climate change education: a case of problem-based teaching and learning’, in </w:t>
      </w:r>
      <w:proofErr w:type="spellStart"/>
      <w:r w:rsidRPr="00D8283E">
        <w:rPr>
          <w:rFonts w:ascii="Times New Roman" w:eastAsia="Times New Roman" w:hAnsi="Times New Roman" w:cs="Times New Roman"/>
          <w:kern w:val="2"/>
          <w:sz w:val="24"/>
          <w:szCs w:val="24"/>
          <w:lang w:eastAsia="en-CA"/>
          <w14:ligatures w14:val="standardContextual"/>
        </w:rPr>
        <w:t>Malalgoda</w:t>
      </w:r>
      <w:proofErr w:type="spellEnd"/>
      <w:r w:rsidRPr="00D8283E">
        <w:rPr>
          <w:rFonts w:ascii="Times New Roman" w:eastAsia="Times New Roman" w:hAnsi="Times New Roman" w:cs="Times New Roman"/>
          <w:kern w:val="2"/>
          <w:sz w:val="24"/>
          <w:szCs w:val="24"/>
          <w:lang w:eastAsia="en-CA"/>
          <w14:ligatures w14:val="standardContextual"/>
        </w:rPr>
        <w:t xml:space="preserve">, C. </w:t>
      </w:r>
      <w:r w:rsidRPr="00D8283E">
        <w:rPr>
          <w:rFonts w:ascii="Times New Roman" w:eastAsia="Times New Roman" w:hAnsi="Times New Roman" w:cs="Times New Roman"/>
          <w:i/>
          <w:iCs/>
          <w:kern w:val="2"/>
          <w:sz w:val="24"/>
          <w:szCs w:val="24"/>
          <w:lang w:eastAsia="en-CA"/>
          <w14:ligatures w14:val="standardContextual"/>
        </w:rPr>
        <w:t>et al.</w:t>
      </w:r>
      <w:r w:rsidRPr="00D8283E">
        <w:rPr>
          <w:rFonts w:ascii="Times New Roman" w:eastAsia="Times New Roman" w:hAnsi="Times New Roman" w:cs="Times New Roman"/>
          <w:kern w:val="2"/>
          <w:sz w:val="24"/>
          <w:szCs w:val="24"/>
          <w:lang w:eastAsia="en-CA"/>
          <w14:ligatures w14:val="standardContextual"/>
        </w:rPr>
        <w:t xml:space="preserve"> (eds.) </w:t>
      </w:r>
      <w:r w:rsidRPr="00D8283E">
        <w:rPr>
          <w:rFonts w:ascii="Times New Roman" w:eastAsia="Times New Roman" w:hAnsi="Times New Roman" w:cs="Times New Roman"/>
          <w:i/>
          <w:iCs/>
          <w:kern w:val="2"/>
          <w:sz w:val="24"/>
          <w:szCs w:val="24"/>
          <w:lang w:eastAsia="en-CA"/>
          <w14:ligatures w14:val="standardContextual"/>
        </w:rPr>
        <w:t>Climate change adaptation in the built environment</w:t>
      </w:r>
      <w:r w:rsidRPr="00D8283E">
        <w:rPr>
          <w:rFonts w:ascii="Times New Roman" w:eastAsia="Times New Roman" w:hAnsi="Times New Roman" w:cs="Times New Roman"/>
          <w:kern w:val="2"/>
          <w:sz w:val="24"/>
          <w:szCs w:val="24"/>
          <w:lang w:eastAsia="en-CA"/>
          <w14:ligatures w14:val="standardContextual"/>
        </w:rPr>
        <w:t>. Cham: Springer, pp. 1–15. https://doi.org/10.1007/978-3-031-75826-3_19</w:t>
      </w:r>
    </w:p>
    <w:p w14:paraId="35A5B75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Heydari</w:t>
      </w:r>
      <w:proofErr w:type="spellEnd"/>
      <w:r w:rsidRPr="00D8283E">
        <w:rPr>
          <w:rFonts w:ascii="Times New Roman" w:eastAsia="Times New Roman" w:hAnsi="Times New Roman" w:cs="Times New Roman"/>
          <w:kern w:val="2"/>
          <w:sz w:val="24"/>
          <w:szCs w:val="24"/>
          <w:lang w:eastAsia="en-CA"/>
          <w14:ligatures w14:val="standardContextual"/>
        </w:rPr>
        <w:t xml:space="preserve"> MR, </w:t>
      </w:r>
      <w:proofErr w:type="spellStart"/>
      <w:r w:rsidRPr="00D8283E">
        <w:rPr>
          <w:rFonts w:ascii="Times New Roman" w:eastAsia="Times New Roman" w:hAnsi="Times New Roman" w:cs="Times New Roman"/>
          <w:kern w:val="2"/>
          <w:sz w:val="24"/>
          <w:szCs w:val="24"/>
          <w:lang w:eastAsia="en-CA"/>
          <w14:ligatures w14:val="standardContextual"/>
        </w:rPr>
        <w:t>Taghva</w:t>
      </w:r>
      <w:proofErr w:type="spellEnd"/>
      <w:r w:rsidRPr="00D8283E">
        <w:rPr>
          <w:rFonts w:ascii="Times New Roman" w:eastAsia="Times New Roman" w:hAnsi="Times New Roman" w:cs="Times New Roman"/>
          <w:kern w:val="2"/>
          <w:sz w:val="24"/>
          <w:szCs w:val="24"/>
          <w:lang w:eastAsia="en-CA"/>
          <w14:ligatures w14:val="standardContextual"/>
        </w:rPr>
        <w:t xml:space="preserve"> F, </w:t>
      </w:r>
      <w:proofErr w:type="spellStart"/>
      <w:r w:rsidRPr="00D8283E">
        <w:rPr>
          <w:rFonts w:ascii="Times New Roman" w:eastAsia="Times New Roman" w:hAnsi="Times New Roman" w:cs="Times New Roman"/>
          <w:kern w:val="2"/>
          <w:sz w:val="24"/>
          <w:szCs w:val="24"/>
          <w:lang w:eastAsia="en-CA"/>
          <w14:ligatures w14:val="standardContextual"/>
        </w:rPr>
        <w:t>Amini</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Delavari</w:t>
      </w:r>
      <w:proofErr w:type="spellEnd"/>
      <w:r w:rsidRPr="00D8283E">
        <w:rPr>
          <w:rFonts w:ascii="Times New Roman" w:eastAsia="Times New Roman" w:hAnsi="Times New Roman" w:cs="Times New Roman"/>
          <w:kern w:val="2"/>
          <w:sz w:val="24"/>
          <w:szCs w:val="24"/>
          <w:lang w:eastAsia="en-CA"/>
          <w14:ligatures w14:val="standardContextual"/>
        </w:rPr>
        <w:t xml:space="preserve"> S. Using Kirkpatrick’s model to measure the effect of a new teaching and learning methods workshop for health care staff. BMC Research Notes [Internet]. 2019 Jul 10;12(1). Available from: https://doi.org/10.1186/s13104-019-4421-y</w:t>
      </w:r>
    </w:p>
    <w:p w14:paraId="3177FF64" w14:textId="32B17137"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Hoeppe</w:t>
      </w:r>
      <w:proofErr w:type="spellEnd"/>
      <w:r w:rsidRPr="00D8283E">
        <w:rPr>
          <w:rFonts w:ascii="Times New Roman" w:eastAsia="Times New Roman" w:hAnsi="Times New Roman" w:cs="Times New Roman"/>
          <w:kern w:val="2"/>
          <w:sz w:val="24"/>
          <w:szCs w:val="24"/>
          <w:lang w:eastAsia="en-CA"/>
          <w14:ligatures w14:val="standardContextual"/>
        </w:rPr>
        <w:t xml:space="preserve"> P. Trends in weather related disasters – Consequences for insurers and society. Weather and Climate Extremes [Internet]. 2015 Oct </w:t>
      </w:r>
      <w:proofErr w:type="gramStart"/>
      <w:r w:rsidRPr="00D8283E">
        <w:rPr>
          <w:rFonts w:ascii="Times New Roman" w:eastAsia="Times New Roman" w:hAnsi="Times New Roman" w:cs="Times New Roman"/>
          <w:kern w:val="2"/>
          <w:sz w:val="24"/>
          <w:szCs w:val="24"/>
          <w:lang w:eastAsia="en-CA"/>
          <w14:ligatures w14:val="standardContextual"/>
        </w:rPr>
        <w:t>30;11:70</w:t>
      </w:r>
      <w:proofErr w:type="gramEnd"/>
      <w:r w:rsidRPr="00D8283E">
        <w:rPr>
          <w:rFonts w:ascii="Times New Roman" w:eastAsia="Times New Roman" w:hAnsi="Times New Roman" w:cs="Times New Roman"/>
          <w:kern w:val="2"/>
          <w:sz w:val="24"/>
          <w:szCs w:val="24"/>
          <w:lang w:eastAsia="en-CA"/>
          <w14:ligatures w14:val="standardContextual"/>
        </w:rPr>
        <w:t xml:space="preserve">–9. Available from: </w:t>
      </w:r>
      <w:hyperlink r:id="rId38"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https://doi.org/10.1016/j.wace.2015.10.002</w:t>
        </w:r>
      </w:hyperlink>
      <w:r w:rsidR="001D624A">
        <w:rPr>
          <w:rFonts w:ascii="Times New Roman" w:eastAsia="Times New Roman" w:hAnsi="Times New Roman" w:cs="Times New Roman"/>
          <w:kern w:val="2"/>
          <w:sz w:val="24"/>
          <w:szCs w:val="24"/>
          <w:lang w:eastAsia="en-CA"/>
          <w14:ligatures w14:val="standardContextual"/>
        </w:rPr>
        <w:t>.</w:t>
      </w:r>
    </w:p>
    <w:p w14:paraId="22DBC6D8" w14:textId="05431E22"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1D624A">
        <w:rPr>
          <w:rFonts w:ascii="Times New Roman" w:eastAsia="Times New Roman" w:hAnsi="Times New Roman" w:cs="Times New Roman"/>
          <w:kern w:val="2"/>
          <w:sz w:val="24"/>
          <w:szCs w:val="24"/>
          <w:lang w:eastAsia="en-CA"/>
          <w14:ligatures w14:val="standardContextual"/>
        </w:rPr>
        <w:t>Holtrop</w:t>
      </w:r>
      <w:proofErr w:type="spellEnd"/>
      <w:r w:rsidRPr="001D624A">
        <w:rPr>
          <w:rFonts w:ascii="Times New Roman" w:eastAsia="Times New Roman" w:hAnsi="Times New Roman" w:cs="Times New Roman"/>
          <w:kern w:val="2"/>
          <w:sz w:val="24"/>
          <w:szCs w:val="24"/>
          <w:lang w:eastAsia="en-CA"/>
          <w14:ligatures w14:val="standardContextual"/>
        </w:rPr>
        <w:t xml:space="preserve">, J.S. and Glasgow, R.E., 2020. Pragmatic research: An introduction for clinical practitioners. </w:t>
      </w:r>
      <w:r w:rsidRPr="001D624A">
        <w:rPr>
          <w:rFonts w:ascii="Times New Roman" w:eastAsia="Times New Roman" w:hAnsi="Times New Roman" w:cs="Times New Roman"/>
          <w:i/>
          <w:iCs/>
          <w:kern w:val="2"/>
          <w:sz w:val="24"/>
          <w:szCs w:val="24"/>
          <w:lang w:eastAsia="en-CA"/>
          <w14:ligatures w14:val="standardContextual"/>
        </w:rPr>
        <w:t>Family Practice</w:t>
      </w:r>
      <w:r w:rsidRPr="001D624A">
        <w:rPr>
          <w:rFonts w:ascii="Times New Roman" w:eastAsia="Times New Roman" w:hAnsi="Times New Roman" w:cs="Times New Roman"/>
          <w:kern w:val="2"/>
          <w:sz w:val="24"/>
          <w:szCs w:val="24"/>
          <w:lang w:eastAsia="en-CA"/>
          <w14:ligatures w14:val="standardContextual"/>
        </w:rPr>
        <w:t>, 37(3), pp.424–428. Available from: https://doi.org/10.1093/fampra/cmz092</w:t>
      </w:r>
    </w:p>
    <w:p w14:paraId="638D774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Horton R. A new epoch for health professionals’ education. The Lancet [Internet]. 2010 Nov 30;376(9756):1875–7. Available from: https://doi.org/10.1016/s0140-6736(10)62008-9</w:t>
      </w:r>
    </w:p>
    <w:p w14:paraId="45265B8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Hosseini S, Allen L, Khalid F, Li D, </w:t>
      </w:r>
      <w:proofErr w:type="spellStart"/>
      <w:r w:rsidRPr="00D8283E">
        <w:rPr>
          <w:rFonts w:ascii="Times New Roman" w:eastAsia="Times New Roman" w:hAnsi="Times New Roman" w:cs="Times New Roman"/>
          <w:kern w:val="2"/>
          <w:sz w:val="24"/>
          <w:szCs w:val="24"/>
          <w:lang w:eastAsia="en-GB"/>
          <w14:ligatures w14:val="standardContextual"/>
        </w:rPr>
        <w:t>Stellrecht</w:t>
      </w:r>
      <w:proofErr w:type="spellEnd"/>
      <w:r w:rsidRPr="00D8283E">
        <w:rPr>
          <w:rFonts w:ascii="Times New Roman" w:eastAsia="Times New Roman" w:hAnsi="Times New Roman" w:cs="Times New Roman"/>
          <w:kern w:val="2"/>
          <w:sz w:val="24"/>
          <w:szCs w:val="24"/>
          <w:lang w:eastAsia="en-GB"/>
          <w14:ligatures w14:val="standardContextual"/>
        </w:rPr>
        <w:t xml:space="preserve"> E, Howard M, et al. Evaluation of Continuing Professional Development for Physicians – Time for Change: A scoping review. Perspectives on Medical Education [Internet]. 2023 Jan 1;12(1):198–207. Available from: https://doi.org/10.5334/pme.838</w:t>
      </w:r>
    </w:p>
    <w:p w14:paraId="6B92175E"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Iira</w:t>
      </w:r>
      <w:proofErr w:type="spellEnd"/>
      <w:r w:rsidRPr="00D8283E">
        <w:rPr>
          <w:rFonts w:ascii="Times New Roman" w:eastAsia="Times New Roman" w:hAnsi="Times New Roman" w:cs="Times New Roman"/>
          <w:kern w:val="2"/>
          <w:sz w:val="24"/>
          <w:szCs w:val="24"/>
          <w:lang w:eastAsia="en-GB"/>
          <w14:ligatures w14:val="standardContextual"/>
        </w:rPr>
        <w:t xml:space="preserve"> T, Ruth M, </w:t>
      </w:r>
      <w:proofErr w:type="spellStart"/>
      <w:r w:rsidRPr="00D8283E">
        <w:rPr>
          <w:rFonts w:ascii="Times New Roman" w:eastAsia="Times New Roman" w:hAnsi="Times New Roman" w:cs="Times New Roman"/>
          <w:kern w:val="2"/>
          <w:sz w:val="24"/>
          <w:szCs w:val="24"/>
          <w:lang w:eastAsia="en-GB"/>
          <w14:ligatures w14:val="standardContextual"/>
        </w:rPr>
        <w:t>Hannele</w:t>
      </w:r>
      <w:proofErr w:type="spellEnd"/>
      <w:r w:rsidRPr="00D8283E">
        <w:rPr>
          <w:rFonts w:ascii="Times New Roman" w:eastAsia="Times New Roman" w:hAnsi="Times New Roman" w:cs="Times New Roman"/>
          <w:kern w:val="2"/>
          <w:sz w:val="24"/>
          <w:szCs w:val="24"/>
          <w:lang w:eastAsia="en-GB"/>
          <w14:ligatures w14:val="standardContextual"/>
        </w:rPr>
        <w:t xml:space="preserve"> T, </w:t>
      </w:r>
      <w:proofErr w:type="spellStart"/>
      <w:r w:rsidRPr="00D8283E">
        <w:rPr>
          <w:rFonts w:ascii="Times New Roman" w:eastAsia="Times New Roman" w:hAnsi="Times New Roman" w:cs="Times New Roman"/>
          <w:kern w:val="2"/>
          <w:sz w:val="24"/>
          <w:szCs w:val="24"/>
          <w:lang w:eastAsia="en-GB"/>
          <w14:ligatures w14:val="standardContextual"/>
        </w:rPr>
        <w:t>Jouni</w:t>
      </w:r>
      <w:proofErr w:type="spellEnd"/>
      <w:r w:rsidRPr="00D8283E">
        <w:rPr>
          <w:rFonts w:ascii="Times New Roman" w:eastAsia="Times New Roman" w:hAnsi="Times New Roman" w:cs="Times New Roman"/>
          <w:kern w:val="2"/>
          <w:sz w:val="24"/>
          <w:szCs w:val="24"/>
          <w:lang w:eastAsia="en-GB"/>
          <w14:ligatures w14:val="standardContextual"/>
        </w:rPr>
        <w:t xml:space="preserve"> J, Lauri K. Finnish nurses’ perceptions of the health impacts of climate change and their preparation to address those impacts. Nursing Forum [Internet]. 2020 Dec 16;56(2):365–71. Available from: https://doi.org/10.1111/nuf.12540</w:t>
      </w:r>
    </w:p>
    <w:p w14:paraId="5E975C5F" w14:textId="77777777" w:rsidR="00D8283E" w:rsidRDefault="00D8283E" w:rsidP="00D8283E">
      <w:pPr>
        <w:spacing w:line="278" w:lineRule="auto"/>
        <w:ind w:firstLine="720"/>
        <w:rPr>
          <w:rFonts w:ascii="Times New Roman" w:hAnsi="Times New Roman" w:cs="Times New Roman"/>
          <w:color w:val="222222"/>
          <w:kern w:val="2"/>
          <w:sz w:val="24"/>
          <w:szCs w:val="24"/>
          <w:shd w:val="clear" w:color="auto" w:fill="FFFFFF"/>
          <w14:ligatures w14:val="standardContextual"/>
        </w:rPr>
      </w:pPr>
      <w:proofErr w:type="spellStart"/>
      <w:r w:rsidRPr="00D8283E">
        <w:rPr>
          <w:rFonts w:ascii="Times New Roman" w:hAnsi="Times New Roman" w:cs="Times New Roman"/>
          <w:color w:val="222222"/>
          <w:kern w:val="2"/>
          <w:sz w:val="24"/>
          <w:szCs w:val="24"/>
          <w:shd w:val="clear" w:color="auto" w:fill="FFFFFF"/>
          <w14:ligatures w14:val="standardContextual"/>
        </w:rPr>
        <w:lastRenderedPageBreak/>
        <w:t>Illing</w:t>
      </w:r>
      <w:proofErr w:type="spellEnd"/>
      <w:r w:rsidRPr="00D8283E">
        <w:rPr>
          <w:rFonts w:ascii="Times New Roman" w:hAnsi="Times New Roman" w:cs="Times New Roman"/>
          <w:color w:val="222222"/>
          <w:kern w:val="2"/>
          <w:sz w:val="24"/>
          <w:szCs w:val="24"/>
          <w:shd w:val="clear" w:color="auto" w:fill="FFFFFF"/>
          <w14:ligatures w14:val="standardContextual"/>
        </w:rPr>
        <w:t>, J., 2013. Thinking about research: theoretical perspectives, ethics and scholarship. </w:t>
      </w:r>
      <w:r w:rsidRPr="00D8283E">
        <w:rPr>
          <w:rFonts w:ascii="Times New Roman" w:hAnsi="Times New Roman" w:cs="Times New Roman"/>
          <w:i/>
          <w:iCs/>
          <w:color w:val="222222"/>
          <w:kern w:val="2"/>
          <w:sz w:val="24"/>
          <w:szCs w:val="24"/>
          <w:shd w:val="clear" w:color="auto" w:fill="FFFFFF"/>
          <w14:ligatures w14:val="standardContextual"/>
        </w:rPr>
        <w:t>Understanding medical education: Evidence, theory and practice</w:t>
      </w:r>
      <w:r w:rsidRPr="00D8283E">
        <w:rPr>
          <w:rFonts w:ascii="Times New Roman" w:hAnsi="Times New Roman" w:cs="Times New Roman"/>
          <w:color w:val="222222"/>
          <w:kern w:val="2"/>
          <w:sz w:val="24"/>
          <w:szCs w:val="24"/>
          <w:shd w:val="clear" w:color="auto" w:fill="FFFFFF"/>
          <w14:ligatures w14:val="standardContextual"/>
        </w:rPr>
        <w:t>, pp.329-347.</w:t>
      </w:r>
    </w:p>
    <w:p w14:paraId="0B2E5D96" w14:textId="253708DC" w:rsidR="001D624A" w:rsidRPr="00D8283E" w:rsidRDefault="001D624A" w:rsidP="00824053">
      <w:pPr>
        <w:spacing w:line="360" w:lineRule="auto"/>
        <w:ind w:firstLine="720"/>
        <w:rPr>
          <w:rFonts w:ascii="Times New Roman" w:hAnsi="Times New Roman" w:cs="Times New Roman"/>
          <w:color w:val="222222"/>
          <w:kern w:val="2"/>
          <w:sz w:val="24"/>
          <w:szCs w:val="24"/>
          <w:shd w:val="clear" w:color="auto" w:fill="FFFFFF"/>
          <w14:ligatures w14:val="standardContextual"/>
        </w:rPr>
      </w:pPr>
      <w:r w:rsidRPr="001D624A">
        <w:rPr>
          <w:rFonts w:ascii="Times New Roman" w:hAnsi="Times New Roman" w:cs="Times New Roman"/>
          <w:color w:val="222222"/>
          <w:kern w:val="2"/>
          <w:sz w:val="24"/>
          <w:szCs w:val="24"/>
          <w:shd w:val="clear" w:color="auto" w:fill="FFFFFF"/>
          <w14:ligatures w14:val="standardContextual"/>
        </w:rPr>
        <w:t xml:space="preserve">International Association for Adolescent Health (IAAH) Education Committee, 2022. </w:t>
      </w:r>
      <w:r w:rsidRPr="001D624A">
        <w:rPr>
          <w:rFonts w:ascii="Times New Roman" w:hAnsi="Times New Roman" w:cs="Times New Roman"/>
          <w:i/>
          <w:iCs/>
          <w:color w:val="222222"/>
          <w:kern w:val="2"/>
          <w:sz w:val="24"/>
          <w:szCs w:val="24"/>
          <w:shd w:val="clear" w:color="auto" w:fill="FFFFFF"/>
          <w14:ligatures w14:val="standardContextual"/>
        </w:rPr>
        <w:t>Policy statement on education and training of healthcare providers</w:t>
      </w:r>
      <w:r w:rsidRPr="001D624A">
        <w:rPr>
          <w:rFonts w:ascii="Times New Roman" w:hAnsi="Times New Roman" w:cs="Times New Roman"/>
          <w:color w:val="222222"/>
          <w:kern w:val="2"/>
          <w:sz w:val="24"/>
          <w:szCs w:val="24"/>
          <w:shd w:val="clear" w:color="auto" w:fill="FFFFFF"/>
          <w14:ligatures w14:val="standardContextual"/>
        </w:rPr>
        <w:t>. Available from: https://iaah.org/education-training-healthcare-providers/.</w:t>
      </w:r>
    </w:p>
    <w:p w14:paraId="6FBF7FA7"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14:ligatures w14:val="standardContextual"/>
        </w:rPr>
        <w:t xml:space="preserve">International Federation of Medical Students’ Association. Training manual: climate and health. Enabling students and young professionals to understand and act upon climate change using a health narrative. </w:t>
      </w:r>
      <w:r w:rsidRPr="00D8283E">
        <w:rPr>
          <w:rFonts w:ascii="Times New Roman" w:hAnsi="Times New Roman" w:cs="Times New Roman"/>
          <w:kern w:val="2"/>
          <w:sz w:val="24"/>
          <w:szCs w:val="24"/>
          <w:lang w:val="sv-SE"/>
          <w14:ligatures w14:val="standardContextual"/>
        </w:rPr>
        <w:t>IFMSA, 2016. https://ifmsa.org/wp-content/uploads/2017/03/Final-IFMSAClimate-</w:t>
      </w:r>
      <w:r w:rsidRPr="00D8283E">
        <w:rPr>
          <w:rFonts w:ascii="Times New Roman" w:hAnsi="Times New Roman" w:cs="Times New Roman"/>
          <w:kern w:val="2"/>
          <w:sz w:val="24"/>
          <w:szCs w:val="24"/>
          <w14:ligatures w14:val="standardContextual"/>
        </w:rPr>
        <w:t>and-health-training-Manual-2016.pdf (viewed May 2024).</w:t>
      </w:r>
    </w:p>
    <w:p w14:paraId="3CCC30C3" w14:textId="17B59875" w:rsidR="001D624A"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824053">
        <w:rPr>
          <w:rFonts w:ascii="Times New Roman" w:eastAsia="Times New Roman" w:hAnsi="Times New Roman" w:cs="Times New Roman"/>
          <w:kern w:val="2"/>
          <w:sz w:val="24"/>
          <w:szCs w:val="24"/>
          <w:lang w:eastAsia="en-CA"/>
          <w14:ligatures w14:val="standardContextual"/>
        </w:rPr>
        <w:t>International Organization for Migration (IOM), 2026.</w:t>
      </w:r>
      <w:r w:rsidRPr="001D624A">
        <w:rPr>
          <w:rFonts w:ascii="Times New Roman" w:eastAsia="Times New Roman" w:hAnsi="Times New Roman" w:cs="Times New Roman"/>
          <w:kern w:val="2"/>
          <w:sz w:val="24"/>
          <w:szCs w:val="24"/>
          <w:lang w:eastAsia="en-CA"/>
          <w14:ligatures w14:val="standardContextual"/>
        </w:rPr>
        <w:t xml:space="preserve"> Climate change and migration: Understanding the context. In: </w:t>
      </w:r>
      <w:r w:rsidRPr="001D624A">
        <w:rPr>
          <w:rFonts w:ascii="Times New Roman" w:eastAsia="Times New Roman" w:hAnsi="Times New Roman" w:cs="Times New Roman"/>
          <w:i/>
          <w:iCs/>
          <w:kern w:val="2"/>
          <w:sz w:val="24"/>
          <w:szCs w:val="24"/>
          <w:lang w:eastAsia="en-CA"/>
          <w14:ligatures w14:val="standardContextual"/>
        </w:rPr>
        <w:t>World Migration Report 2026</w:t>
      </w:r>
      <w:r w:rsidRPr="001D624A">
        <w:rPr>
          <w:rFonts w:ascii="Times New Roman" w:eastAsia="Times New Roman" w:hAnsi="Times New Roman" w:cs="Times New Roman"/>
          <w:kern w:val="2"/>
          <w:sz w:val="24"/>
          <w:szCs w:val="24"/>
          <w:lang w:eastAsia="en-CA"/>
          <w14:ligatures w14:val="standardContextual"/>
        </w:rPr>
        <w:t>. Available from: https://worldmigrationreport.iom.int/what-we-do/world-migration-report-2026/chapter-6/climate-change-and-migration-understanding-context.</w:t>
      </w:r>
    </w:p>
    <w:p w14:paraId="20910D06" w14:textId="47770A1F"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Irby DM, Cooke M, </w:t>
      </w:r>
      <w:proofErr w:type="spellStart"/>
      <w:r w:rsidRPr="00D8283E">
        <w:rPr>
          <w:rFonts w:ascii="Times New Roman" w:eastAsia="Times New Roman" w:hAnsi="Times New Roman" w:cs="Times New Roman"/>
          <w:kern w:val="2"/>
          <w:sz w:val="24"/>
          <w:szCs w:val="24"/>
          <w:lang w:eastAsia="en-CA"/>
          <w14:ligatures w14:val="standardContextual"/>
        </w:rPr>
        <w:t>OʼBrien</w:t>
      </w:r>
      <w:proofErr w:type="spellEnd"/>
      <w:r w:rsidRPr="00D8283E">
        <w:rPr>
          <w:rFonts w:ascii="Times New Roman" w:eastAsia="Times New Roman" w:hAnsi="Times New Roman" w:cs="Times New Roman"/>
          <w:kern w:val="2"/>
          <w:sz w:val="24"/>
          <w:szCs w:val="24"/>
          <w:lang w:eastAsia="en-CA"/>
          <w14:ligatures w14:val="standardContextual"/>
        </w:rPr>
        <w:t xml:space="preserve"> BC. Calls for Reform of Medical Education by the Carnegie Foundation for the Advancement of Teaching: 1910 and 2010. Academic Medicine [Internet]. 2010 Jan 22;85(2):220–7. Available from: https://doi.org/10.1097/acm.0b013e3181c88449</w:t>
      </w:r>
    </w:p>
    <w:p w14:paraId="77AD739F"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Issa R, Baker C, Spooner R, Abrams R, </w:t>
      </w:r>
      <w:proofErr w:type="spellStart"/>
      <w:r w:rsidRPr="00D8283E">
        <w:rPr>
          <w:rFonts w:ascii="Times New Roman" w:eastAsia="Times New Roman" w:hAnsi="Times New Roman" w:cs="Times New Roman"/>
          <w:kern w:val="2"/>
          <w:sz w:val="24"/>
          <w:szCs w:val="24"/>
          <w:lang w:eastAsia="en-GB"/>
          <w14:ligatures w14:val="standardContextual"/>
        </w:rPr>
        <w:t>Gopfert</w:t>
      </w:r>
      <w:proofErr w:type="spellEnd"/>
      <w:r w:rsidRPr="00D8283E">
        <w:rPr>
          <w:rFonts w:ascii="Times New Roman" w:eastAsia="Times New Roman" w:hAnsi="Times New Roman" w:cs="Times New Roman"/>
          <w:kern w:val="2"/>
          <w:sz w:val="24"/>
          <w:szCs w:val="24"/>
          <w:lang w:eastAsia="en-GB"/>
          <w14:ligatures w14:val="standardContextual"/>
        </w:rPr>
        <w:t xml:space="preserve"> A, Evans M, et al. Mapping the movement for climate change and health in England: a descriptive review and theory of change analysis. Perspectives in Public Health [Internet]. 2021 Nov 1;141(6):328–37. Available from: https://doi.org/10.1177/17579139211058303</w:t>
      </w:r>
    </w:p>
    <w:p w14:paraId="54398FC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Ivankova</w:t>
      </w:r>
      <w:proofErr w:type="spellEnd"/>
      <w:r w:rsidRPr="00D8283E">
        <w:rPr>
          <w:rFonts w:ascii="Times New Roman" w:eastAsia="Times New Roman" w:hAnsi="Times New Roman" w:cs="Times New Roman"/>
          <w:kern w:val="2"/>
          <w:sz w:val="24"/>
          <w:szCs w:val="24"/>
          <w:lang w:eastAsia="en-CA"/>
          <w14:ligatures w14:val="standardContextual"/>
        </w:rPr>
        <w:t xml:space="preserve"> NV, Creswell JW, Stick SL. Using Mixed-Methods Sequential Explanatory Design: From Theory to practice. Field Methods [Internet]. 2005 Dec 23;18(1):3–20. Available from: https://doi.org/10.1177/1525822x05282260</w:t>
      </w:r>
    </w:p>
    <w:p w14:paraId="3F4E7AD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Jacob S, </w:t>
      </w:r>
      <w:proofErr w:type="spellStart"/>
      <w:r w:rsidRPr="00D8283E">
        <w:rPr>
          <w:rFonts w:ascii="Times New Roman" w:eastAsia="Times New Roman" w:hAnsi="Times New Roman" w:cs="Times New Roman"/>
          <w:kern w:val="2"/>
          <w:sz w:val="24"/>
          <w:szCs w:val="24"/>
          <w:lang w:eastAsia="en-CA"/>
          <w14:ligatures w14:val="standardContextual"/>
        </w:rPr>
        <w:t>Furgerson</w:t>
      </w:r>
      <w:proofErr w:type="spellEnd"/>
      <w:r w:rsidRPr="00D8283E">
        <w:rPr>
          <w:rFonts w:ascii="Times New Roman" w:eastAsia="Times New Roman" w:hAnsi="Times New Roman" w:cs="Times New Roman"/>
          <w:kern w:val="2"/>
          <w:sz w:val="24"/>
          <w:szCs w:val="24"/>
          <w:lang w:eastAsia="en-CA"/>
          <w14:ligatures w14:val="standardContextual"/>
        </w:rPr>
        <w:t xml:space="preserve"> S. Writing interview protocols and conducting interviews: tips for students new to the field of qualitative research. The Qualitative Report [Internet]. 2015 Jan 20; Available from: https://doi.org/10.46743/2160-3715/2012.1718</w:t>
      </w:r>
    </w:p>
    <w:p w14:paraId="40CAB1D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Jagals</w:t>
      </w:r>
      <w:proofErr w:type="spellEnd"/>
      <w:r w:rsidRPr="00D8283E">
        <w:rPr>
          <w:rFonts w:ascii="Times New Roman" w:eastAsia="Times New Roman" w:hAnsi="Times New Roman" w:cs="Times New Roman"/>
          <w:kern w:val="2"/>
          <w:sz w:val="24"/>
          <w:szCs w:val="24"/>
          <w:lang w:eastAsia="en-CA"/>
          <w14:ligatures w14:val="standardContextual"/>
        </w:rPr>
        <w:t xml:space="preserve"> P, </w:t>
      </w:r>
      <w:proofErr w:type="spellStart"/>
      <w:r w:rsidRPr="00D8283E">
        <w:rPr>
          <w:rFonts w:ascii="Times New Roman" w:eastAsia="Times New Roman" w:hAnsi="Times New Roman" w:cs="Times New Roman"/>
          <w:kern w:val="2"/>
          <w:sz w:val="24"/>
          <w:szCs w:val="24"/>
          <w:lang w:eastAsia="en-CA"/>
          <w14:ligatures w14:val="standardContextual"/>
        </w:rPr>
        <w:t>Ebi</w:t>
      </w:r>
      <w:proofErr w:type="spellEnd"/>
      <w:r w:rsidRPr="00D8283E">
        <w:rPr>
          <w:rFonts w:ascii="Times New Roman" w:eastAsia="Times New Roman" w:hAnsi="Times New Roman" w:cs="Times New Roman"/>
          <w:kern w:val="2"/>
          <w:sz w:val="24"/>
          <w:szCs w:val="24"/>
          <w:lang w:eastAsia="en-CA"/>
          <w14:ligatures w14:val="standardContextual"/>
        </w:rPr>
        <w:t xml:space="preserve"> K. Core Competencies for Health Workers to Deal with Climate and Environmental Change. International Journal of Environmental Research and Public Health [Internet]. 2021 Apr 7;18(8):3849. Available from: https://doi.org/10.3390/ijerph18083849</w:t>
      </w:r>
    </w:p>
    <w:p w14:paraId="3B155FF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lastRenderedPageBreak/>
        <w:t>Jaini</w:t>
      </w:r>
      <w:proofErr w:type="spellEnd"/>
      <w:r w:rsidRPr="00D8283E">
        <w:rPr>
          <w:rFonts w:ascii="Times New Roman" w:eastAsia="Times New Roman" w:hAnsi="Times New Roman" w:cs="Times New Roman"/>
          <w:kern w:val="2"/>
          <w:sz w:val="24"/>
          <w:szCs w:val="24"/>
          <w:lang w:eastAsia="en-CA"/>
          <w14:ligatures w14:val="standardContextual"/>
        </w:rPr>
        <w:t xml:space="preserve"> PA, Lee JSH. A review of 21st century utility of a biopsychosocial model in United States medical school education. Journal of Lifestyle Medicine [Internet]. 2015 Sep 30;5(2):49–59. Available from: https://doi.org/10.15280/jlm.2015.5.2.49</w:t>
      </w:r>
    </w:p>
    <w:p w14:paraId="3E1079C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James LE, Welton-Mitchell C, Noel JR, James AS. Integrating mental health and disaster preparedness in intervention: a randomized controlled trial with earthquake and flood-affected communities in Haiti. Psychological Medicine [Internet]. 2019 Feb 14;50(2):342–52. Available from: https://doi.org/10.1017/s0033291719000163</w:t>
      </w:r>
    </w:p>
    <w:p w14:paraId="191C8D5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JBI Manual for Evidence Synthesis [Internet]. JBI eBooks. 2020. Available from: https://doi.org/10.46658/jbimes-20-01</w:t>
      </w:r>
    </w:p>
    <w:p w14:paraId="7767892A" w14:textId="2E58C452"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Jersby</w:t>
      </w:r>
      <w:proofErr w:type="spellEnd"/>
      <w:r w:rsidRPr="00D8283E">
        <w:rPr>
          <w:rFonts w:ascii="Times New Roman" w:eastAsia="Times New Roman" w:hAnsi="Times New Roman" w:cs="Times New Roman"/>
          <w:kern w:val="2"/>
          <w:sz w:val="24"/>
          <w:szCs w:val="24"/>
          <w:lang w:eastAsia="en-CA"/>
          <w14:ligatures w14:val="standardContextual"/>
        </w:rPr>
        <w:t xml:space="preserve"> M, Ridley A. Embedding sustainability into healthcare education. British Journal of Nursing [Internet]. 2023 Jun 22;32(12):602. Available from: </w:t>
      </w:r>
      <w:hyperlink r:id="rId39"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https://doi.org/10.12968/bjon.2023.32.12.602</w:t>
        </w:r>
      </w:hyperlink>
    </w:p>
    <w:p w14:paraId="360D5A3B" w14:textId="59A946D6"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1D624A">
        <w:rPr>
          <w:rFonts w:ascii="Times New Roman" w:eastAsia="Times New Roman" w:hAnsi="Times New Roman" w:cs="Times New Roman"/>
          <w:kern w:val="2"/>
          <w:sz w:val="24"/>
          <w:szCs w:val="24"/>
          <w:lang w:eastAsia="en-CA"/>
          <w14:ligatures w14:val="standardContextual"/>
        </w:rPr>
        <w:t>Jeong</w:t>
      </w:r>
      <w:proofErr w:type="spellEnd"/>
      <w:r w:rsidRPr="001D624A">
        <w:rPr>
          <w:rFonts w:ascii="Times New Roman" w:eastAsia="Times New Roman" w:hAnsi="Times New Roman" w:cs="Times New Roman"/>
          <w:kern w:val="2"/>
          <w:sz w:val="24"/>
          <w:szCs w:val="24"/>
          <w:lang w:eastAsia="en-CA"/>
          <w14:ligatures w14:val="standardContextual"/>
        </w:rPr>
        <w:t xml:space="preserve"> D, </w:t>
      </w:r>
      <w:proofErr w:type="spellStart"/>
      <w:r w:rsidRPr="001D624A">
        <w:rPr>
          <w:rFonts w:ascii="Times New Roman" w:eastAsia="Times New Roman" w:hAnsi="Times New Roman" w:cs="Times New Roman"/>
          <w:kern w:val="2"/>
          <w:sz w:val="24"/>
          <w:szCs w:val="24"/>
          <w:lang w:eastAsia="en-CA"/>
          <w14:ligatures w14:val="standardContextual"/>
        </w:rPr>
        <w:t>Presseau</w:t>
      </w:r>
      <w:proofErr w:type="spellEnd"/>
      <w:r w:rsidRPr="001D624A">
        <w:rPr>
          <w:rFonts w:ascii="Times New Roman" w:eastAsia="Times New Roman" w:hAnsi="Times New Roman" w:cs="Times New Roman"/>
          <w:kern w:val="2"/>
          <w:sz w:val="24"/>
          <w:szCs w:val="24"/>
          <w:lang w:eastAsia="en-CA"/>
          <w14:ligatures w14:val="standardContextual"/>
        </w:rPr>
        <w:t xml:space="preserve"> J, </w:t>
      </w:r>
      <w:proofErr w:type="spellStart"/>
      <w:r w:rsidRPr="001D624A">
        <w:rPr>
          <w:rFonts w:ascii="Times New Roman" w:eastAsia="Times New Roman" w:hAnsi="Times New Roman" w:cs="Times New Roman"/>
          <w:kern w:val="2"/>
          <w:sz w:val="24"/>
          <w:szCs w:val="24"/>
          <w:lang w:eastAsia="en-CA"/>
          <w14:ligatures w14:val="standardContextual"/>
        </w:rPr>
        <w:t>ElChamaa</w:t>
      </w:r>
      <w:proofErr w:type="spellEnd"/>
      <w:r w:rsidRPr="001D624A">
        <w:rPr>
          <w:rFonts w:ascii="Times New Roman" w:eastAsia="Times New Roman" w:hAnsi="Times New Roman" w:cs="Times New Roman"/>
          <w:kern w:val="2"/>
          <w:sz w:val="24"/>
          <w:szCs w:val="24"/>
          <w:lang w:eastAsia="en-CA"/>
          <w14:ligatures w14:val="standardContextual"/>
        </w:rPr>
        <w:t xml:space="preserve"> R, Naumann DN, Mascaro C, </w:t>
      </w:r>
      <w:proofErr w:type="spellStart"/>
      <w:r w:rsidRPr="001D624A">
        <w:rPr>
          <w:rFonts w:ascii="Times New Roman" w:eastAsia="Times New Roman" w:hAnsi="Times New Roman" w:cs="Times New Roman"/>
          <w:kern w:val="2"/>
          <w:sz w:val="24"/>
          <w:szCs w:val="24"/>
          <w:lang w:eastAsia="en-CA"/>
          <w14:ligatures w14:val="standardContextual"/>
        </w:rPr>
        <w:t>Luconi</w:t>
      </w:r>
      <w:proofErr w:type="spellEnd"/>
      <w:r w:rsidRPr="001D624A">
        <w:rPr>
          <w:rFonts w:ascii="Times New Roman" w:eastAsia="Times New Roman" w:hAnsi="Times New Roman" w:cs="Times New Roman"/>
          <w:kern w:val="2"/>
          <w:sz w:val="24"/>
          <w:szCs w:val="24"/>
          <w:lang w:eastAsia="en-CA"/>
          <w14:ligatures w14:val="standardContextual"/>
        </w:rPr>
        <w:t xml:space="preserve"> F, Smith KM, </w:t>
      </w:r>
      <w:proofErr w:type="spellStart"/>
      <w:r w:rsidRPr="001D624A">
        <w:rPr>
          <w:rFonts w:ascii="Times New Roman" w:eastAsia="Times New Roman" w:hAnsi="Times New Roman" w:cs="Times New Roman"/>
          <w:kern w:val="2"/>
          <w:sz w:val="24"/>
          <w:szCs w:val="24"/>
          <w:lang w:eastAsia="en-CA"/>
          <w14:ligatures w14:val="standardContextual"/>
        </w:rPr>
        <w:t>Kitto</w:t>
      </w:r>
      <w:proofErr w:type="spellEnd"/>
      <w:r w:rsidRPr="001D624A">
        <w:rPr>
          <w:rFonts w:ascii="Times New Roman" w:eastAsia="Times New Roman" w:hAnsi="Times New Roman" w:cs="Times New Roman"/>
          <w:kern w:val="2"/>
          <w:sz w:val="24"/>
          <w:szCs w:val="24"/>
          <w:lang w:eastAsia="en-CA"/>
          <w14:ligatures w14:val="standardContextual"/>
        </w:rPr>
        <w:t xml:space="preserve"> S. Barriers and Facilitators to Self-Directed Learning in Continuing Professional Development for Physicians in Canada: A Scoping Review. </w:t>
      </w:r>
      <w:proofErr w:type="spellStart"/>
      <w:r w:rsidRPr="001D624A">
        <w:rPr>
          <w:rFonts w:ascii="Times New Roman" w:eastAsia="Times New Roman" w:hAnsi="Times New Roman" w:cs="Times New Roman"/>
          <w:kern w:val="2"/>
          <w:sz w:val="24"/>
          <w:szCs w:val="24"/>
          <w:lang w:eastAsia="en-CA"/>
          <w14:ligatures w14:val="standardContextual"/>
        </w:rPr>
        <w:t>Acad</w:t>
      </w:r>
      <w:proofErr w:type="spellEnd"/>
      <w:r w:rsidRPr="001D624A">
        <w:rPr>
          <w:rFonts w:ascii="Times New Roman" w:eastAsia="Times New Roman" w:hAnsi="Times New Roman" w:cs="Times New Roman"/>
          <w:kern w:val="2"/>
          <w:sz w:val="24"/>
          <w:szCs w:val="24"/>
          <w:lang w:eastAsia="en-CA"/>
          <w14:ligatures w14:val="standardContextual"/>
        </w:rPr>
        <w:t xml:space="preserve"> Med. 2018 Aug;93(8):1245-1254. </w:t>
      </w:r>
      <w:proofErr w:type="spellStart"/>
      <w:r w:rsidRPr="001D624A">
        <w:rPr>
          <w:rFonts w:ascii="Times New Roman" w:eastAsia="Times New Roman" w:hAnsi="Times New Roman" w:cs="Times New Roman"/>
          <w:kern w:val="2"/>
          <w:sz w:val="24"/>
          <w:szCs w:val="24"/>
          <w:lang w:eastAsia="en-CA"/>
          <w14:ligatures w14:val="standardContextual"/>
        </w:rPr>
        <w:t>doi</w:t>
      </w:r>
      <w:proofErr w:type="spellEnd"/>
      <w:r w:rsidRPr="001D624A">
        <w:rPr>
          <w:rFonts w:ascii="Times New Roman" w:eastAsia="Times New Roman" w:hAnsi="Times New Roman" w:cs="Times New Roman"/>
          <w:kern w:val="2"/>
          <w:sz w:val="24"/>
          <w:szCs w:val="24"/>
          <w:lang w:eastAsia="en-CA"/>
          <w14:ligatures w14:val="standardContextual"/>
        </w:rPr>
        <w:t>: 10.1097/ACM.0000000000002237. PMID: 29642101; PMCID: PMC6092094.</w:t>
      </w:r>
    </w:p>
    <w:p w14:paraId="5A05F76F" w14:textId="77777777" w:rsidR="00D8283E" w:rsidRPr="00D8283E" w:rsidRDefault="00D8283E" w:rsidP="00D8283E">
      <w:pPr>
        <w:spacing w:line="278" w:lineRule="auto"/>
        <w:ind w:firstLine="720"/>
        <w:rPr>
          <w:rFonts w:ascii="Times New Roman" w:hAnsi="Times New Roman" w:cs="Times New Roman"/>
          <w:kern w:val="2"/>
          <w:sz w:val="24"/>
          <w:szCs w:val="24"/>
          <w14:ligatures w14:val="standardContextual"/>
        </w:rPr>
      </w:pPr>
      <w:bookmarkStart w:id="113" w:name="_Hlk180151525"/>
      <w:r w:rsidRPr="00D8283E">
        <w:rPr>
          <w:rFonts w:ascii="Times New Roman" w:hAnsi="Times New Roman" w:cs="Times New Roman"/>
          <w:kern w:val="2"/>
          <w:sz w:val="24"/>
          <w:szCs w:val="24"/>
          <w:shd w:val="clear" w:color="auto" w:fill="FFFFFF"/>
          <w14:ligatures w14:val="standardContextual"/>
        </w:rPr>
        <w:t xml:space="preserve">Johnson R., McGowan M., Turner L. </w:t>
      </w:r>
      <w:bookmarkEnd w:id="113"/>
      <w:r w:rsidRPr="00D8283E">
        <w:rPr>
          <w:rFonts w:ascii="Times New Roman" w:hAnsi="Times New Roman" w:cs="Times New Roman"/>
          <w:kern w:val="2"/>
          <w:sz w:val="24"/>
          <w:szCs w:val="24"/>
          <w:shd w:val="clear" w:color="auto" w:fill="FFFFFF"/>
          <w14:ligatures w14:val="standardContextual"/>
        </w:rPr>
        <w:t>(2010). Grounded theory in practice: Is it inherently a mixed method? </w:t>
      </w:r>
      <w:r w:rsidRPr="00D8283E">
        <w:rPr>
          <w:rFonts w:ascii="Times New Roman" w:hAnsi="Times New Roman" w:cs="Times New Roman"/>
          <w:i/>
          <w:iCs/>
          <w:kern w:val="2"/>
          <w:sz w:val="24"/>
          <w:szCs w:val="24"/>
          <w:shd w:val="clear" w:color="auto" w:fill="FFFFFF"/>
          <w14:ligatures w14:val="standardContextual"/>
        </w:rPr>
        <w:t>Research in the Schools</w:t>
      </w:r>
      <w:r w:rsidRPr="00D8283E">
        <w:rPr>
          <w:rFonts w:ascii="Times New Roman" w:hAnsi="Times New Roman" w:cs="Times New Roman"/>
          <w:kern w:val="2"/>
          <w:sz w:val="24"/>
          <w:szCs w:val="24"/>
          <w:shd w:val="clear" w:color="auto" w:fill="FFFFFF"/>
          <w14:ligatures w14:val="standardContextual"/>
        </w:rPr>
        <w:t>, 17, 65-78.</w:t>
      </w:r>
    </w:p>
    <w:p w14:paraId="31F23BC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Johnson RB, Onwuegbuzie AJ, Turner LA. Toward a definition of mixed methods research. Journal of Mixed Methods Research [Internet]. 2007 Mar 30;1(2):112–33. Available from: https://doi.org/10.1177/1558689806298224</w:t>
      </w:r>
    </w:p>
    <w:p w14:paraId="34ED4FE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Johnson RB, Onwuegbuzie AJ. Mixed Methods research: a research paradigm whose time has come. Educational Researcher [Internet]. 2004 Oct 1;33(7):14–26. Available from: https://doi.org/10.3102/0013189x033007014</w:t>
      </w:r>
    </w:p>
    <w:p w14:paraId="0F1F841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Jones P, Comfort D. Local Resilience Forums in England. Athens Journal of Social Sciences [Internet]. 2021 Feb 1;8(2):99–110. Available from: https://doi.org/10.30958/ajss.8-2-2</w:t>
      </w:r>
    </w:p>
    <w:p w14:paraId="471A8BF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Kalassian</w:t>
      </w:r>
      <w:proofErr w:type="spellEnd"/>
      <w:r w:rsidRPr="00D8283E">
        <w:rPr>
          <w:rFonts w:ascii="Times New Roman" w:eastAsia="Times New Roman" w:hAnsi="Times New Roman" w:cs="Times New Roman"/>
          <w:kern w:val="2"/>
          <w:sz w:val="24"/>
          <w:szCs w:val="24"/>
          <w:lang w:eastAsia="en-CA"/>
          <w14:ligatures w14:val="standardContextual"/>
        </w:rPr>
        <w:t xml:space="preserve"> KG, </w:t>
      </w:r>
      <w:proofErr w:type="spellStart"/>
      <w:r w:rsidRPr="00D8283E">
        <w:rPr>
          <w:rFonts w:ascii="Times New Roman" w:eastAsia="Times New Roman" w:hAnsi="Times New Roman" w:cs="Times New Roman"/>
          <w:kern w:val="2"/>
          <w:sz w:val="24"/>
          <w:szCs w:val="24"/>
          <w:lang w:eastAsia="en-CA"/>
          <w14:ligatures w14:val="standardContextual"/>
        </w:rPr>
        <w:t>Dremsizov</w:t>
      </w:r>
      <w:proofErr w:type="spellEnd"/>
      <w:r w:rsidRPr="00D8283E">
        <w:rPr>
          <w:rFonts w:ascii="Times New Roman" w:eastAsia="Times New Roman" w:hAnsi="Times New Roman" w:cs="Times New Roman"/>
          <w:kern w:val="2"/>
          <w:sz w:val="24"/>
          <w:szCs w:val="24"/>
          <w:lang w:eastAsia="en-CA"/>
          <w14:ligatures w14:val="standardContextual"/>
        </w:rPr>
        <w:t xml:space="preserve"> T, Angus DC. Translating research evidence into clinical practice: new challenges for critical care. Critical Care [Internet]. 2002 Jan 1;6(1):11. Available from: https://doi.org/10.1186/cc1446</w:t>
      </w:r>
    </w:p>
    <w:p w14:paraId="607966D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Karthikeyan P, </w:t>
      </w:r>
      <w:proofErr w:type="spellStart"/>
      <w:r w:rsidRPr="00D8283E">
        <w:rPr>
          <w:rFonts w:ascii="Times New Roman" w:eastAsia="Times New Roman" w:hAnsi="Times New Roman" w:cs="Times New Roman"/>
          <w:kern w:val="2"/>
          <w:sz w:val="24"/>
          <w:szCs w:val="24"/>
          <w:lang w:eastAsia="en-GB"/>
          <w14:ligatures w14:val="standardContextual"/>
        </w:rPr>
        <w:t>Pulimoottil</w:t>
      </w:r>
      <w:proofErr w:type="spellEnd"/>
      <w:r w:rsidRPr="00D8283E">
        <w:rPr>
          <w:rFonts w:ascii="Times New Roman" w:eastAsia="Times New Roman" w:hAnsi="Times New Roman" w:cs="Times New Roman"/>
          <w:kern w:val="2"/>
          <w:sz w:val="24"/>
          <w:szCs w:val="24"/>
          <w:lang w:eastAsia="en-GB"/>
          <w14:ligatures w14:val="standardContextual"/>
        </w:rPr>
        <w:t xml:space="preserve"> DT. Design and Implementation of competency based Postgraduate Medical education in Otorhinolaryngology: </w:t>
      </w:r>
      <w:proofErr w:type="gramStart"/>
      <w:r w:rsidRPr="00D8283E">
        <w:rPr>
          <w:rFonts w:ascii="Times New Roman" w:eastAsia="Times New Roman" w:hAnsi="Times New Roman" w:cs="Times New Roman"/>
          <w:kern w:val="2"/>
          <w:sz w:val="24"/>
          <w:szCs w:val="24"/>
          <w:lang w:eastAsia="en-GB"/>
          <w14:ligatures w14:val="standardContextual"/>
        </w:rPr>
        <w:t>the</w:t>
      </w:r>
      <w:proofErr w:type="gramEnd"/>
      <w:r w:rsidRPr="00D8283E">
        <w:rPr>
          <w:rFonts w:ascii="Times New Roman" w:eastAsia="Times New Roman" w:hAnsi="Times New Roman" w:cs="Times New Roman"/>
          <w:kern w:val="2"/>
          <w:sz w:val="24"/>
          <w:szCs w:val="24"/>
          <w:lang w:eastAsia="en-GB"/>
          <w14:ligatures w14:val="standardContextual"/>
        </w:rPr>
        <w:t xml:space="preserve"> Pilot Experience in India. Indian </w:t>
      </w:r>
      <w:r w:rsidRPr="00D8283E">
        <w:rPr>
          <w:rFonts w:ascii="Times New Roman" w:eastAsia="Times New Roman" w:hAnsi="Times New Roman" w:cs="Times New Roman"/>
          <w:kern w:val="2"/>
          <w:sz w:val="24"/>
          <w:szCs w:val="24"/>
          <w:lang w:eastAsia="en-GB"/>
          <w14:ligatures w14:val="standardContextual"/>
        </w:rPr>
        <w:lastRenderedPageBreak/>
        <w:t>Journal of Otolaryngology and Head &amp; Neck Surgery [Internet]. 2018 Aug 23;71(S1):671–8. Available from: https://doi.org/10.1007/s12070-018-1474-5</w:t>
      </w:r>
    </w:p>
    <w:p w14:paraId="2C6C1317" w14:textId="77777777" w:rsidR="00D8283E" w:rsidRPr="00D8283E" w:rsidRDefault="00D8283E" w:rsidP="00D8283E">
      <w:pPr>
        <w:spacing w:after="0"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color w:val="2A2A2A"/>
          <w:kern w:val="2"/>
          <w:sz w:val="24"/>
          <w:szCs w:val="24"/>
          <w:shd w:val="clear" w:color="auto" w:fill="FFFFFF"/>
          <w14:ligatures w14:val="standardContextual"/>
        </w:rPr>
        <w:t>Kathryn S. Quick, Martha S. Feldman, Boundaries as Junctures: Collaborative Boundary Work for Building Efficient Resilience, </w:t>
      </w:r>
      <w:r w:rsidRPr="00D8283E">
        <w:rPr>
          <w:rFonts w:ascii="Times New Roman" w:hAnsi="Times New Roman" w:cs="Times New Roman"/>
          <w:i/>
          <w:iCs/>
          <w:color w:val="2A2A2A"/>
          <w:kern w:val="2"/>
          <w:sz w:val="24"/>
          <w:szCs w:val="24"/>
          <w:bdr w:val="none" w:sz="0" w:space="0" w:color="auto" w:frame="1"/>
          <w:shd w:val="clear" w:color="auto" w:fill="FFFFFF"/>
          <w14:ligatures w14:val="standardContextual"/>
        </w:rPr>
        <w:t>Journal of Public Administration Research and Theory</w:t>
      </w:r>
      <w:r w:rsidRPr="00D8283E">
        <w:rPr>
          <w:rFonts w:ascii="Times New Roman" w:hAnsi="Times New Roman" w:cs="Times New Roman"/>
          <w:color w:val="2A2A2A"/>
          <w:kern w:val="2"/>
          <w:sz w:val="24"/>
          <w:szCs w:val="24"/>
          <w:shd w:val="clear" w:color="auto" w:fill="FFFFFF"/>
          <w14:ligatures w14:val="standardContextual"/>
        </w:rPr>
        <w:t>, Volume 24, Issue 3, July 2014, Pages 673–695, </w:t>
      </w:r>
      <w:hyperlink r:id="rId40" w:history="1">
        <w:r w:rsidRPr="00D8283E">
          <w:rPr>
            <w:rFonts w:ascii="Times New Roman" w:hAnsi="Times New Roman" w:cs="Times New Roman"/>
            <w:color w:val="006FB7"/>
            <w:kern w:val="2"/>
            <w:sz w:val="24"/>
            <w:szCs w:val="24"/>
            <w:u w:val="single"/>
            <w:bdr w:val="none" w:sz="0" w:space="0" w:color="auto" w:frame="1"/>
            <w:shd w:val="clear" w:color="auto" w:fill="FFFFFF"/>
            <w14:ligatures w14:val="standardContextual"/>
          </w:rPr>
          <w:t>https://doi.org/10.1093/jopart/mut085</w:t>
        </w:r>
      </w:hyperlink>
    </w:p>
    <w:p w14:paraId="492514EC" w14:textId="77777777" w:rsidR="00D8283E" w:rsidRPr="00D8283E" w:rsidRDefault="00D8283E" w:rsidP="00D8283E">
      <w:pPr>
        <w:shd w:val="clear" w:color="auto" w:fill="FFFFFF"/>
        <w:spacing w:after="0" w:line="360" w:lineRule="auto"/>
        <w:ind w:firstLine="720"/>
        <w:rPr>
          <w:rFonts w:ascii="Times New Roman" w:hAnsi="Times New Roman" w:cs="Times New Roman"/>
          <w:color w:val="05103E"/>
          <w:kern w:val="2"/>
          <w:sz w:val="24"/>
          <w:szCs w:val="24"/>
          <w:bdr w:val="single" w:sz="2" w:space="0" w:color="ECEDEE" w:frame="1"/>
          <w14:ligatures w14:val="standardContextual"/>
        </w:rPr>
      </w:pPr>
      <w:proofErr w:type="spellStart"/>
      <w:r w:rsidRPr="00D8283E">
        <w:rPr>
          <w:rFonts w:ascii="Times New Roman" w:hAnsi="Times New Roman" w:cs="Times New Roman"/>
          <w:color w:val="05103E"/>
          <w:kern w:val="2"/>
          <w:sz w:val="24"/>
          <w:szCs w:val="24"/>
          <w14:ligatures w14:val="standardContextual"/>
        </w:rPr>
        <w:t>Katoue</w:t>
      </w:r>
      <w:proofErr w:type="spellEnd"/>
      <w:r w:rsidRPr="00D8283E">
        <w:rPr>
          <w:rFonts w:ascii="Times New Roman" w:hAnsi="Times New Roman" w:cs="Times New Roman"/>
          <w:color w:val="05103E"/>
          <w:kern w:val="2"/>
          <w:sz w:val="24"/>
          <w:szCs w:val="24"/>
          <w14:ligatures w14:val="standardContextual"/>
        </w:rPr>
        <w:t xml:space="preserve"> MG, </w:t>
      </w:r>
      <w:proofErr w:type="spellStart"/>
      <w:r w:rsidRPr="00D8283E">
        <w:rPr>
          <w:rFonts w:ascii="Times New Roman" w:hAnsi="Times New Roman" w:cs="Times New Roman"/>
          <w:color w:val="05103E"/>
          <w:kern w:val="2"/>
          <w:sz w:val="24"/>
          <w:szCs w:val="24"/>
          <w14:ligatures w14:val="standardContextual"/>
        </w:rPr>
        <w:t>Schwinghammer</w:t>
      </w:r>
      <w:proofErr w:type="spellEnd"/>
      <w:r w:rsidRPr="00D8283E">
        <w:rPr>
          <w:rFonts w:ascii="Times New Roman" w:hAnsi="Times New Roman" w:cs="Times New Roman"/>
          <w:color w:val="05103E"/>
          <w:kern w:val="2"/>
          <w:sz w:val="24"/>
          <w:szCs w:val="24"/>
          <w14:ligatures w14:val="standardContextual"/>
        </w:rPr>
        <w:t xml:space="preserve"> TL. Competency‐based education in pharmacy: A review of its development, applications, and challenges. Journal of Evaluation in Clinical Practice [Internet]. 2020 Feb 18;26(4):1114–23. Available from: </w:t>
      </w:r>
      <w:hyperlink r:id="rId41"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https://doi.org/10.1111/jep.13362</w:t>
        </w:r>
      </w:hyperlink>
    </w:p>
    <w:p w14:paraId="2EA08B1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Katzman JG, </w:t>
      </w:r>
      <w:proofErr w:type="spellStart"/>
      <w:r w:rsidRPr="00D8283E">
        <w:rPr>
          <w:rFonts w:ascii="Times New Roman" w:eastAsia="Times New Roman" w:hAnsi="Times New Roman" w:cs="Times New Roman"/>
          <w:kern w:val="2"/>
          <w:sz w:val="24"/>
          <w:szCs w:val="24"/>
          <w:lang w:eastAsia="en-CA"/>
          <w14:ligatures w14:val="standardContextual"/>
        </w:rPr>
        <w:t>Tomedi</w:t>
      </w:r>
      <w:proofErr w:type="spellEnd"/>
      <w:r w:rsidRPr="00D8283E">
        <w:rPr>
          <w:rFonts w:ascii="Times New Roman" w:eastAsia="Times New Roman" w:hAnsi="Times New Roman" w:cs="Times New Roman"/>
          <w:kern w:val="2"/>
          <w:sz w:val="24"/>
          <w:szCs w:val="24"/>
          <w:lang w:eastAsia="en-CA"/>
          <w14:ligatures w14:val="standardContextual"/>
        </w:rPr>
        <w:t xml:space="preserve"> LE, Herring D, Jones H, Groves R, </w:t>
      </w:r>
      <w:proofErr w:type="spellStart"/>
      <w:r w:rsidRPr="00D8283E">
        <w:rPr>
          <w:rFonts w:ascii="Times New Roman" w:eastAsia="Times New Roman" w:hAnsi="Times New Roman" w:cs="Times New Roman"/>
          <w:kern w:val="2"/>
          <w:sz w:val="24"/>
          <w:szCs w:val="24"/>
          <w:lang w:eastAsia="en-CA"/>
          <w14:ligatures w14:val="standardContextual"/>
        </w:rPr>
        <w:t>Norsworthy</w:t>
      </w:r>
      <w:proofErr w:type="spellEnd"/>
      <w:r w:rsidRPr="00D8283E">
        <w:rPr>
          <w:rFonts w:ascii="Times New Roman" w:eastAsia="Times New Roman" w:hAnsi="Times New Roman" w:cs="Times New Roman"/>
          <w:kern w:val="2"/>
          <w:sz w:val="24"/>
          <w:szCs w:val="24"/>
          <w:lang w:eastAsia="en-CA"/>
          <w14:ligatures w14:val="standardContextual"/>
        </w:rPr>
        <w:t xml:space="preserve"> K, et al. Educating community health professionals about the </w:t>
      </w:r>
      <w:proofErr w:type="gramStart"/>
      <w:r w:rsidRPr="00D8283E">
        <w:rPr>
          <w:rFonts w:ascii="Times New Roman" w:eastAsia="Times New Roman" w:hAnsi="Times New Roman" w:cs="Times New Roman"/>
          <w:kern w:val="2"/>
          <w:sz w:val="24"/>
          <w:szCs w:val="24"/>
          <w:lang w:eastAsia="en-CA"/>
          <w14:ligatures w14:val="standardContextual"/>
        </w:rPr>
        <w:t>Health</w:t>
      </w:r>
      <w:proofErr w:type="gramEnd"/>
      <w:r w:rsidRPr="00D8283E">
        <w:rPr>
          <w:rFonts w:ascii="Times New Roman" w:eastAsia="Times New Roman" w:hAnsi="Times New Roman" w:cs="Times New Roman"/>
          <w:kern w:val="2"/>
          <w:sz w:val="24"/>
          <w:szCs w:val="24"/>
          <w:lang w:eastAsia="en-CA"/>
          <w14:ligatures w14:val="standardContextual"/>
        </w:rPr>
        <w:t xml:space="preserve">-Related Effects of Climate Change through ECHO </w:t>
      </w:r>
      <w:proofErr w:type="spellStart"/>
      <w:r w:rsidRPr="00D8283E">
        <w:rPr>
          <w:rFonts w:ascii="Times New Roman" w:eastAsia="Times New Roman" w:hAnsi="Times New Roman" w:cs="Times New Roman"/>
          <w:kern w:val="2"/>
          <w:sz w:val="24"/>
          <w:szCs w:val="24"/>
          <w:lang w:eastAsia="en-CA"/>
          <w14:ligatures w14:val="standardContextual"/>
        </w:rPr>
        <w:t>telementoring</w:t>
      </w:r>
      <w:proofErr w:type="spellEnd"/>
      <w:r w:rsidRPr="00D8283E">
        <w:rPr>
          <w:rFonts w:ascii="Times New Roman" w:eastAsia="Times New Roman" w:hAnsi="Times New Roman" w:cs="Times New Roman"/>
          <w:kern w:val="2"/>
          <w:sz w:val="24"/>
          <w:szCs w:val="24"/>
          <w:lang w:eastAsia="en-CA"/>
          <w14:ligatures w14:val="standardContextual"/>
        </w:rPr>
        <w:t xml:space="preserve">. Journal of Primary Care &amp; Community Health [Internet]. 2022 Jan </w:t>
      </w:r>
      <w:proofErr w:type="gramStart"/>
      <w:r w:rsidRPr="00D8283E">
        <w:rPr>
          <w:rFonts w:ascii="Times New Roman" w:eastAsia="Times New Roman" w:hAnsi="Times New Roman" w:cs="Times New Roman"/>
          <w:kern w:val="2"/>
          <w:sz w:val="24"/>
          <w:szCs w:val="24"/>
          <w:lang w:eastAsia="en-CA"/>
          <w14:ligatures w14:val="standardContextual"/>
        </w:rPr>
        <w:t>1;13:215013192211020</w:t>
      </w:r>
      <w:proofErr w:type="gramEnd"/>
      <w:r w:rsidRPr="00D8283E">
        <w:rPr>
          <w:rFonts w:ascii="Times New Roman" w:eastAsia="Times New Roman" w:hAnsi="Times New Roman" w:cs="Times New Roman"/>
          <w:kern w:val="2"/>
          <w:sz w:val="24"/>
          <w:szCs w:val="24"/>
          <w:lang w:eastAsia="en-CA"/>
          <w14:ligatures w14:val="standardContextual"/>
        </w:rPr>
        <w:t>. Available from: https://doi.org/10.1177/21501319221102033</w:t>
      </w:r>
    </w:p>
    <w:p w14:paraId="60048D4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Kaur M. Application of mixed method approach in public health research. Indian Journal of Community Medicine [Internet]. 2016 Jan 1;41(2):93. Available from: https://doi.org/10.4103/0970-0218.173495</w:t>
      </w:r>
    </w:p>
    <w:p w14:paraId="29ADB9A9"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Kaushik V, Walsh CA. Pragmatism as a research paradigm and its implications for social work research. Social Sciences [Internet]. 2019 Sep 6;8(9):255. Available from: https://doi.org/10.3390/socsci8090255</w:t>
      </w:r>
    </w:p>
    <w:p w14:paraId="08B8577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Kegel F, Luo OD, Richer S. The impact of extreme heat events on emergency departments in Canadian hospitals. Wilderness and Environmental Medicine [Internet]. 2021 Dec 1;32(4):433–40. Available from: https://doi.org/10.1016/j.wem.2021.05.004</w:t>
      </w:r>
    </w:p>
    <w:p w14:paraId="22FF7C1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Keselman</w:t>
      </w:r>
      <w:proofErr w:type="spellEnd"/>
      <w:r w:rsidRPr="00D8283E">
        <w:rPr>
          <w:rFonts w:ascii="Times New Roman" w:eastAsia="Times New Roman" w:hAnsi="Times New Roman" w:cs="Times New Roman"/>
          <w:kern w:val="2"/>
          <w:sz w:val="24"/>
          <w:szCs w:val="24"/>
          <w:lang w:eastAsia="en-CA"/>
          <w14:ligatures w14:val="standardContextual"/>
        </w:rPr>
        <w:t xml:space="preserve"> D, Saxe-Braithwaite M. Authentic and ethical leadership during a crisis. Healthcare Management Forum [Internet]. 2020 Dec 17;34(3):154–7. Available from: https://doi.org/10.1177/0840470420973051</w:t>
      </w:r>
    </w:p>
    <w:p w14:paraId="3E4869B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Kettles AM, Creswell JW, Zhang W. Mixed methods research in mental health nursing. Journal of Psychiatric and Mental Health Nursing [Internet]. 2011 Feb 10;18(6):535–42. Available from: https://doi.org/10.1111/j.1365-2850.2011.01701.x</w:t>
      </w:r>
    </w:p>
    <w:p w14:paraId="7B0CE99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Khalil H, Bennett M, Godfrey C, </w:t>
      </w:r>
      <w:proofErr w:type="spellStart"/>
      <w:r w:rsidRPr="00D8283E">
        <w:rPr>
          <w:rFonts w:ascii="Times New Roman" w:eastAsia="Times New Roman" w:hAnsi="Times New Roman" w:cs="Times New Roman"/>
          <w:kern w:val="2"/>
          <w:sz w:val="24"/>
          <w:szCs w:val="24"/>
          <w:lang w:eastAsia="en-CA"/>
          <w14:ligatures w14:val="standardContextual"/>
        </w:rPr>
        <w:t>McInerney</w:t>
      </w:r>
      <w:proofErr w:type="spellEnd"/>
      <w:r w:rsidRPr="00D8283E">
        <w:rPr>
          <w:rFonts w:ascii="Times New Roman" w:eastAsia="Times New Roman" w:hAnsi="Times New Roman" w:cs="Times New Roman"/>
          <w:kern w:val="2"/>
          <w:sz w:val="24"/>
          <w:szCs w:val="24"/>
          <w:lang w:eastAsia="en-CA"/>
          <w14:ligatures w14:val="standardContextual"/>
        </w:rPr>
        <w:t xml:space="preserve"> P, Munn Z, Peters M. Evaluation of the JBI scoping reviews methodology by current users. International Journal of Evidence-Based Healthcare [Internet]. 2019 Sep 22;18(1):95–100. Available from: https://doi.org/10.1097/xeb.0000000000000202</w:t>
      </w:r>
    </w:p>
    <w:p w14:paraId="3969808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 xml:space="preserve">Khan T, Abimbola S, </w:t>
      </w:r>
      <w:proofErr w:type="spellStart"/>
      <w:r w:rsidRPr="00D8283E">
        <w:rPr>
          <w:rFonts w:ascii="Times New Roman" w:eastAsia="Times New Roman" w:hAnsi="Times New Roman" w:cs="Times New Roman"/>
          <w:kern w:val="2"/>
          <w:sz w:val="24"/>
          <w:szCs w:val="24"/>
          <w:lang w:eastAsia="en-CA"/>
          <w14:ligatures w14:val="standardContextual"/>
        </w:rPr>
        <w:t>Kyobutungi</w:t>
      </w:r>
      <w:proofErr w:type="spellEnd"/>
      <w:r w:rsidRPr="00D8283E">
        <w:rPr>
          <w:rFonts w:ascii="Times New Roman" w:eastAsia="Times New Roman" w:hAnsi="Times New Roman" w:cs="Times New Roman"/>
          <w:kern w:val="2"/>
          <w:sz w:val="24"/>
          <w:szCs w:val="24"/>
          <w:lang w:eastAsia="en-CA"/>
          <w14:ligatures w14:val="standardContextual"/>
        </w:rPr>
        <w:t xml:space="preserve"> C, Pai M. How we classify countries and people—and why it matters. BMJ Global Health [Internet]. 2022 Jun 1;7(6</w:t>
      </w:r>
      <w:proofErr w:type="gramStart"/>
      <w:r w:rsidRPr="00D8283E">
        <w:rPr>
          <w:rFonts w:ascii="Times New Roman" w:eastAsia="Times New Roman" w:hAnsi="Times New Roman" w:cs="Times New Roman"/>
          <w:kern w:val="2"/>
          <w:sz w:val="24"/>
          <w:szCs w:val="24"/>
          <w:lang w:eastAsia="en-CA"/>
          <w14:ligatures w14:val="standardContextual"/>
        </w:rPr>
        <w:t>):e</w:t>
      </w:r>
      <w:proofErr w:type="gramEnd"/>
      <w:r w:rsidRPr="00D8283E">
        <w:rPr>
          <w:rFonts w:ascii="Times New Roman" w:eastAsia="Times New Roman" w:hAnsi="Times New Roman" w:cs="Times New Roman"/>
          <w:kern w:val="2"/>
          <w:sz w:val="24"/>
          <w:szCs w:val="24"/>
          <w:lang w:eastAsia="en-CA"/>
          <w14:ligatures w14:val="standardContextual"/>
        </w:rPr>
        <w:t>009704. Available from: https://doi.org/10.1136/bmjgh-2022-009704</w:t>
      </w:r>
    </w:p>
    <w:p w14:paraId="1F75541A"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Kiguli-Malwadde</w:t>
      </w:r>
      <w:proofErr w:type="spellEnd"/>
      <w:r w:rsidRPr="00D8283E">
        <w:rPr>
          <w:rFonts w:ascii="Times New Roman" w:eastAsia="Times New Roman" w:hAnsi="Times New Roman" w:cs="Times New Roman"/>
          <w:kern w:val="2"/>
          <w:sz w:val="24"/>
          <w:szCs w:val="24"/>
          <w:lang w:eastAsia="en-GB"/>
          <w14:ligatures w14:val="standardContextual"/>
        </w:rPr>
        <w:t xml:space="preserve"> E, </w:t>
      </w:r>
      <w:proofErr w:type="spellStart"/>
      <w:r w:rsidRPr="00D8283E">
        <w:rPr>
          <w:rFonts w:ascii="Times New Roman" w:eastAsia="Times New Roman" w:hAnsi="Times New Roman" w:cs="Times New Roman"/>
          <w:kern w:val="2"/>
          <w:sz w:val="24"/>
          <w:szCs w:val="24"/>
          <w:lang w:eastAsia="en-GB"/>
          <w14:ligatures w14:val="standardContextual"/>
        </w:rPr>
        <w:t>Omaswa</w:t>
      </w:r>
      <w:proofErr w:type="spellEnd"/>
      <w:r w:rsidRPr="00D8283E">
        <w:rPr>
          <w:rFonts w:ascii="Times New Roman" w:eastAsia="Times New Roman" w:hAnsi="Times New Roman" w:cs="Times New Roman"/>
          <w:kern w:val="2"/>
          <w:sz w:val="24"/>
          <w:szCs w:val="24"/>
          <w:lang w:eastAsia="en-GB"/>
          <w14:ligatures w14:val="standardContextual"/>
        </w:rPr>
        <w:t xml:space="preserve"> F, </w:t>
      </w:r>
      <w:proofErr w:type="spellStart"/>
      <w:r w:rsidRPr="00D8283E">
        <w:rPr>
          <w:rFonts w:ascii="Times New Roman" w:eastAsia="Times New Roman" w:hAnsi="Times New Roman" w:cs="Times New Roman"/>
          <w:kern w:val="2"/>
          <w:sz w:val="24"/>
          <w:szCs w:val="24"/>
          <w:lang w:eastAsia="en-GB"/>
          <w14:ligatures w14:val="standardContextual"/>
        </w:rPr>
        <w:t>Olapade-Olaopa</w:t>
      </w:r>
      <w:proofErr w:type="spellEnd"/>
      <w:r w:rsidRPr="00D8283E">
        <w:rPr>
          <w:rFonts w:ascii="Times New Roman" w:eastAsia="Times New Roman" w:hAnsi="Times New Roman" w:cs="Times New Roman"/>
          <w:kern w:val="2"/>
          <w:sz w:val="24"/>
          <w:szCs w:val="24"/>
          <w:lang w:eastAsia="en-GB"/>
          <w14:ligatures w14:val="standardContextual"/>
        </w:rPr>
        <w:t xml:space="preserve"> O, </w:t>
      </w:r>
      <w:proofErr w:type="spellStart"/>
      <w:r w:rsidRPr="00D8283E">
        <w:rPr>
          <w:rFonts w:ascii="Times New Roman" w:eastAsia="Times New Roman" w:hAnsi="Times New Roman" w:cs="Times New Roman"/>
          <w:kern w:val="2"/>
          <w:sz w:val="24"/>
          <w:szCs w:val="24"/>
          <w:lang w:eastAsia="en-GB"/>
          <w14:ligatures w14:val="standardContextual"/>
        </w:rPr>
        <w:t>Kiguli</w:t>
      </w:r>
      <w:proofErr w:type="spellEnd"/>
      <w:r w:rsidRPr="00D8283E">
        <w:rPr>
          <w:rFonts w:ascii="Times New Roman" w:eastAsia="Times New Roman" w:hAnsi="Times New Roman" w:cs="Times New Roman"/>
          <w:kern w:val="2"/>
          <w:sz w:val="24"/>
          <w:szCs w:val="24"/>
          <w:lang w:eastAsia="en-GB"/>
          <w14:ligatures w14:val="standardContextual"/>
        </w:rPr>
        <w:t xml:space="preserve"> S, Chen C, </w:t>
      </w:r>
      <w:proofErr w:type="spellStart"/>
      <w:r w:rsidRPr="00D8283E">
        <w:rPr>
          <w:rFonts w:ascii="Times New Roman" w:eastAsia="Times New Roman" w:hAnsi="Times New Roman" w:cs="Times New Roman"/>
          <w:kern w:val="2"/>
          <w:sz w:val="24"/>
          <w:szCs w:val="24"/>
          <w:lang w:eastAsia="en-GB"/>
          <w14:ligatures w14:val="standardContextual"/>
        </w:rPr>
        <w:t>Sewankambo</w:t>
      </w:r>
      <w:proofErr w:type="spellEnd"/>
      <w:r w:rsidRPr="00D8283E">
        <w:rPr>
          <w:rFonts w:ascii="Times New Roman" w:eastAsia="Times New Roman" w:hAnsi="Times New Roman" w:cs="Times New Roman"/>
          <w:kern w:val="2"/>
          <w:sz w:val="24"/>
          <w:szCs w:val="24"/>
          <w:lang w:eastAsia="en-GB"/>
          <w14:ligatures w14:val="standardContextual"/>
        </w:rPr>
        <w:t xml:space="preserve"> N, et al. Competency-based medical education in two Sub-Saharan African medical schools. Advances in Medical Education and Practice [Internet]. 2014 Dec 1;483. Available from: https://doi.org/10.2147/amep.s68480</w:t>
      </w:r>
    </w:p>
    <w:p w14:paraId="732829B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Kleinheksel</w:t>
      </w:r>
      <w:proofErr w:type="spellEnd"/>
      <w:r w:rsidRPr="00D8283E">
        <w:rPr>
          <w:rFonts w:ascii="Times New Roman" w:eastAsia="Times New Roman" w:hAnsi="Times New Roman" w:cs="Times New Roman"/>
          <w:kern w:val="2"/>
          <w:sz w:val="24"/>
          <w:szCs w:val="24"/>
          <w:lang w:eastAsia="en-CA"/>
          <w14:ligatures w14:val="standardContextual"/>
        </w:rPr>
        <w:t xml:space="preserve"> AJ. Medical schools don’t change; people do. Canadian Medical Education Journal [Internet]. 2022 Jul 6;13(3):1–4. Available from: https://doi.org/10.36834/cmej.75637</w:t>
      </w:r>
    </w:p>
    <w:p w14:paraId="66D5E54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Kondirolli</w:t>
      </w:r>
      <w:proofErr w:type="spellEnd"/>
      <w:r w:rsidRPr="00D8283E">
        <w:rPr>
          <w:rFonts w:ascii="Times New Roman" w:eastAsia="Times New Roman" w:hAnsi="Times New Roman" w:cs="Times New Roman"/>
          <w:kern w:val="2"/>
          <w:sz w:val="24"/>
          <w:szCs w:val="24"/>
          <w:lang w:eastAsia="en-CA"/>
          <w14:ligatures w14:val="standardContextual"/>
        </w:rPr>
        <w:t xml:space="preserve"> F, Sunder N. Mental health effects of education. Health Economics [Internet]. 2022 Jul 7;31(S2):22–39. Available from: https://doi.org/10.1002/hec.4565</w:t>
      </w:r>
    </w:p>
    <w:p w14:paraId="36CA398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Kotcher</w:t>
      </w:r>
      <w:proofErr w:type="spellEnd"/>
      <w:r w:rsidRPr="00D8283E">
        <w:rPr>
          <w:rFonts w:ascii="Times New Roman" w:eastAsia="Times New Roman" w:hAnsi="Times New Roman" w:cs="Times New Roman"/>
          <w:kern w:val="2"/>
          <w:sz w:val="24"/>
          <w:szCs w:val="24"/>
          <w:lang w:eastAsia="en-GB"/>
          <w14:ligatures w14:val="standardContextual"/>
        </w:rPr>
        <w:t xml:space="preserve"> J, </w:t>
      </w:r>
      <w:proofErr w:type="spellStart"/>
      <w:r w:rsidRPr="00D8283E">
        <w:rPr>
          <w:rFonts w:ascii="Times New Roman" w:eastAsia="Times New Roman" w:hAnsi="Times New Roman" w:cs="Times New Roman"/>
          <w:kern w:val="2"/>
          <w:sz w:val="24"/>
          <w:szCs w:val="24"/>
          <w:lang w:eastAsia="en-GB"/>
          <w14:ligatures w14:val="standardContextual"/>
        </w:rPr>
        <w:t>Maibach</w:t>
      </w:r>
      <w:proofErr w:type="spellEnd"/>
      <w:r w:rsidRPr="00D8283E">
        <w:rPr>
          <w:rFonts w:ascii="Times New Roman" w:eastAsia="Times New Roman" w:hAnsi="Times New Roman" w:cs="Times New Roman"/>
          <w:kern w:val="2"/>
          <w:sz w:val="24"/>
          <w:szCs w:val="24"/>
          <w:lang w:eastAsia="en-GB"/>
          <w14:ligatures w14:val="standardContextual"/>
        </w:rPr>
        <w:t xml:space="preserve"> E, Miller J, Campbell E, </w:t>
      </w:r>
      <w:proofErr w:type="spellStart"/>
      <w:r w:rsidRPr="00D8283E">
        <w:rPr>
          <w:rFonts w:ascii="Times New Roman" w:eastAsia="Times New Roman" w:hAnsi="Times New Roman" w:cs="Times New Roman"/>
          <w:kern w:val="2"/>
          <w:sz w:val="24"/>
          <w:szCs w:val="24"/>
          <w:lang w:eastAsia="en-GB"/>
          <w14:ligatures w14:val="standardContextual"/>
        </w:rPr>
        <w:t>Alqodmani</w:t>
      </w:r>
      <w:proofErr w:type="spellEnd"/>
      <w:r w:rsidRPr="00D8283E">
        <w:rPr>
          <w:rFonts w:ascii="Times New Roman" w:eastAsia="Times New Roman" w:hAnsi="Times New Roman" w:cs="Times New Roman"/>
          <w:kern w:val="2"/>
          <w:sz w:val="24"/>
          <w:szCs w:val="24"/>
          <w:lang w:eastAsia="en-GB"/>
          <w14:ligatures w14:val="standardContextual"/>
        </w:rPr>
        <w:t xml:space="preserve"> L, </w:t>
      </w:r>
      <w:proofErr w:type="spellStart"/>
      <w:r w:rsidRPr="00D8283E">
        <w:rPr>
          <w:rFonts w:ascii="Times New Roman" w:eastAsia="Times New Roman" w:hAnsi="Times New Roman" w:cs="Times New Roman"/>
          <w:kern w:val="2"/>
          <w:sz w:val="24"/>
          <w:szCs w:val="24"/>
          <w:lang w:eastAsia="en-GB"/>
          <w14:ligatures w14:val="standardContextual"/>
        </w:rPr>
        <w:t>Maiero</w:t>
      </w:r>
      <w:proofErr w:type="spellEnd"/>
      <w:r w:rsidRPr="00D8283E">
        <w:rPr>
          <w:rFonts w:ascii="Times New Roman" w:eastAsia="Times New Roman" w:hAnsi="Times New Roman" w:cs="Times New Roman"/>
          <w:kern w:val="2"/>
          <w:sz w:val="24"/>
          <w:szCs w:val="24"/>
          <w:lang w:eastAsia="en-GB"/>
          <w14:ligatures w14:val="standardContextual"/>
        </w:rPr>
        <w:t xml:space="preserve"> M, et al. Views of health professionals on climate change and health: a multinational survey study. The Lancet Planetary Health [Internet]. 2021 Apr 8;5(5</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316–23. Available from: https://doi.org/10.1016/s2542-5196(21)00053-x</w:t>
      </w:r>
    </w:p>
    <w:p w14:paraId="070E9EC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Kreslake</w:t>
      </w:r>
      <w:proofErr w:type="spellEnd"/>
      <w:r w:rsidRPr="00D8283E">
        <w:rPr>
          <w:rFonts w:ascii="Times New Roman" w:eastAsia="Times New Roman" w:hAnsi="Times New Roman" w:cs="Times New Roman"/>
          <w:kern w:val="2"/>
          <w:sz w:val="24"/>
          <w:szCs w:val="24"/>
          <w:lang w:eastAsia="en-CA"/>
          <w14:ligatures w14:val="standardContextual"/>
        </w:rPr>
        <w:t xml:space="preserve"> JM, </w:t>
      </w:r>
      <w:proofErr w:type="spellStart"/>
      <w:r w:rsidRPr="00D8283E">
        <w:rPr>
          <w:rFonts w:ascii="Times New Roman" w:eastAsia="Times New Roman" w:hAnsi="Times New Roman" w:cs="Times New Roman"/>
          <w:kern w:val="2"/>
          <w:sz w:val="24"/>
          <w:szCs w:val="24"/>
          <w:lang w:eastAsia="en-CA"/>
          <w14:ligatures w14:val="standardContextual"/>
        </w:rPr>
        <w:t>Sarfaty</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Roser-Renouf</w:t>
      </w:r>
      <w:proofErr w:type="spellEnd"/>
      <w:r w:rsidRPr="00D8283E">
        <w:rPr>
          <w:rFonts w:ascii="Times New Roman" w:eastAsia="Times New Roman" w:hAnsi="Times New Roman" w:cs="Times New Roman"/>
          <w:kern w:val="2"/>
          <w:sz w:val="24"/>
          <w:szCs w:val="24"/>
          <w:lang w:eastAsia="en-CA"/>
          <w14:ligatures w14:val="standardContextual"/>
        </w:rPr>
        <w:t xml:space="preserve"> C, Leiserowitz AA, </w:t>
      </w:r>
      <w:proofErr w:type="spellStart"/>
      <w:r w:rsidRPr="00D8283E">
        <w:rPr>
          <w:rFonts w:ascii="Times New Roman" w:eastAsia="Times New Roman" w:hAnsi="Times New Roman" w:cs="Times New Roman"/>
          <w:kern w:val="2"/>
          <w:sz w:val="24"/>
          <w:szCs w:val="24"/>
          <w:lang w:eastAsia="en-CA"/>
          <w14:ligatures w14:val="standardContextual"/>
        </w:rPr>
        <w:t>Maibach</w:t>
      </w:r>
      <w:proofErr w:type="spellEnd"/>
      <w:r w:rsidRPr="00D8283E">
        <w:rPr>
          <w:rFonts w:ascii="Times New Roman" w:eastAsia="Times New Roman" w:hAnsi="Times New Roman" w:cs="Times New Roman"/>
          <w:kern w:val="2"/>
          <w:sz w:val="24"/>
          <w:szCs w:val="24"/>
          <w:lang w:eastAsia="en-CA"/>
          <w14:ligatures w14:val="standardContextual"/>
        </w:rPr>
        <w:t xml:space="preserve"> EW. The critical roles of health professionals in climate change prevention and preparedness. American Journal of Public Health [Internet]. 2017 Oct 26;108(S2</w:t>
      </w:r>
      <w:proofErr w:type="gramStart"/>
      <w:r w:rsidRPr="00D8283E">
        <w:rPr>
          <w:rFonts w:ascii="Times New Roman" w:eastAsia="Times New Roman" w:hAnsi="Times New Roman" w:cs="Times New Roman"/>
          <w:kern w:val="2"/>
          <w:sz w:val="24"/>
          <w:szCs w:val="24"/>
          <w:lang w:eastAsia="en-CA"/>
          <w14:ligatures w14:val="standardContextual"/>
        </w:rPr>
        <w:t>):S</w:t>
      </w:r>
      <w:proofErr w:type="gramEnd"/>
      <w:r w:rsidRPr="00D8283E">
        <w:rPr>
          <w:rFonts w:ascii="Times New Roman" w:eastAsia="Times New Roman" w:hAnsi="Times New Roman" w:cs="Times New Roman"/>
          <w:kern w:val="2"/>
          <w:sz w:val="24"/>
          <w:szCs w:val="24"/>
          <w:lang w:eastAsia="en-CA"/>
          <w14:ligatures w14:val="standardContextual"/>
        </w:rPr>
        <w:t>68–9. Available from: https://doi.org/10.2105/ajph.2017.304044</w:t>
      </w:r>
    </w:p>
    <w:p w14:paraId="56ED255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Kreslake</w:t>
      </w:r>
      <w:proofErr w:type="spellEnd"/>
      <w:r w:rsidRPr="00D8283E">
        <w:rPr>
          <w:rFonts w:ascii="Times New Roman" w:eastAsia="Times New Roman" w:hAnsi="Times New Roman" w:cs="Times New Roman"/>
          <w:kern w:val="2"/>
          <w:sz w:val="24"/>
          <w:szCs w:val="24"/>
          <w:lang w:eastAsia="en-CA"/>
          <w14:ligatures w14:val="standardContextual"/>
        </w:rPr>
        <w:t xml:space="preserve"> JM, </w:t>
      </w:r>
      <w:proofErr w:type="spellStart"/>
      <w:r w:rsidRPr="00D8283E">
        <w:rPr>
          <w:rFonts w:ascii="Times New Roman" w:eastAsia="Times New Roman" w:hAnsi="Times New Roman" w:cs="Times New Roman"/>
          <w:kern w:val="2"/>
          <w:sz w:val="24"/>
          <w:szCs w:val="24"/>
          <w:lang w:eastAsia="en-CA"/>
          <w14:ligatures w14:val="standardContextual"/>
        </w:rPr>
        <w:t>Sarfaty</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Roser-Renouf</w:t>
      </w:r>
      <w:proofErr w:type="spellEnd"/>
      <w:r w:rsidRPr="00D8283E">
        <w:rPr>
          <w:rFonts w:ascii="Times New Roman" w:eastAsia="Times New Roman" w:hAnsi="Times New Roman" w:cs="Times New Roman"/>
          <w:kern w:val="2"/>
          <w:sz w:val="24"/>
          <w:szCs w:val="24"/>
          <w:lang w:eastAsia="en-CA"/>
          <w14:ligatures w14:val="standardContextual"/>
        </w:rPr>
        <w:t xml:space="preserve"> C, Leiserowitz AA, </w:t>
      </w:r>
      <w:proofErr w:type="spellStart"/>
      <w:r w:rsidRPr="00D8283E">
        <w:rPr>
          <w:rFonts w:ascii="Times New Roman" w:eastAsia="Times New Roman" w:hAnsi="Times New Roman" w:cs="Times New Roman"/>
          <w:kern w:val="2"/>
          <w:sz w:val="24"/>
          <w:szCs w:val="24"/>
          <w:lang w:eastAsia="en-CA"/>
          <w14:ligatures w14:val="standardContextual"/>
        </w:rPr>
        <w:t>Maibach</w:t>
      </w:r>
      <w:proofErr w:type="spellEnd"/>
      <w:r w:rsidRPr="00D8283E">
        <w:rPr>
          <w:rFonts w:ascii="Times New Roman" w:eastAsia="Times New Roman" w:hAnsi="Times New Roman" w:cs="Times New Roman"/>
          <w:kern w:val="2"/>
          <w:sz w:val="24"/>
          <w:szCs w:val="24"/>
          <w:lang w:eastAsia="en-CA"/>
          <w14:ligatures w14:val="standardContextual"/>
        </w:rPr>
        <w:t xml:space="preserve"> EW. The critical roles of health professionals in climate change prevention and preparedness. American Journal of Public Health [Internet]. 2017 Oct 26;108(S2</w:t>
      </w:r>
      <w:proofErr w:type="gramStart"/>
      <w:r w:rsidRPr="00D8283E">
        <w:rPr>
          <w:rFonts w:ascii="Times New Roman" w:eastAsia="Times New Roman" w:hAnsi="Times New Roman" w:cs="Times New Roman"/>
          <w:kern w:val="2"/>
          <w:sz w:val="24"/>
          <w:szCs w:val="24"/>
          <w:lang w:eastAsia="en-CA"/>
          <w14:ligatures w14:val="standardContextual"/>
        </w:rPr>
        <w:t>):S</w:t>
      </w:r>
      <w:proofErr w:type="gramEnd"/>
      <w:r w:rsidRPr="00D8283E">
        <w:rPr>
          <w:rFonts w:ascii="Times New Roman" w:eastAsia="Times New Roman" w:hAnsi="Times New Roman" w:cs="Times New Roman"/>
          <w:kern w:val="2"/>
          <w:sz w:val="24"/>
          <w:szCs w:val="24"/>
          <w:lang w:eastAsia="en-CA"/>
          <w14:ligatures w14:val="standardContextual"/>
        </w:rPr>
        <w:t>68–9. Available from: https://doi.org/10.2105/ajph.2017.304044</w:t>
      </w:r>
    </w:p>
    <w:p w14:paraId="62BF0CB1"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Laryeafio</w:t>
      </w:r>
      <w:proofErr w:type="spellEnd"/>
      <w:r w:rsidRPr="00D8283E">
        <w:rPr>
          <w:rFonts w:ascii="Times New Roman" w:eastAsia="Times New Roman" w:hAnsi="Times New Roman" w:cs="Times New Roman"/>
          <w:kern w:val="2"/>
          <w:sz w:val="24"/>
          <w:szCs w:val="24"/>
          <w:lang w:eastAsia="en-GB"/>
          <w14:ligatures w14:val="standardContextual"/>
        </w:rPr>
        <w:t xml:space="preserve"> MN, </w:t>
      </w:r>
      <w:proofErr w:type="spellStart"/>
      <w:r w:rsidRPr="00D8283E">
        <w:rPr>
          <w:rFonts w:ascii="Times New Roman" w:eastAsia="Times New Roman" w:hAnsi="Times New Roman" w:cs="Times New Roman"/>
          <w:kern w:val="2"/>
          <w:sz w:val="24"/>
          <w:szCs w:val="24"/>
          <w:lang w:eastAsia="en-GB"/>
          <w14:ligatures w14:val="standardContextual"/>
        </w:rPr>
        <w:t>Ogbewe</w:t>
      </w:r>
      <w:proofErr w:type="spellEnd"/>
      <w:r w:rsidRPr="00D8283E">
        <w:rPr>
          <w:rFonts w:ascii="Times New Roman" w:eastAsia="Times New Roman" w:hAnsi="Times New Roman" w:cs="Times New Roman"/>
          <w:kern w:val="2"/>
          <w:sz w:val="24"/>
          <w:szCs w:val="24"/>
          <w:lang w:eastAsia="en-GB"/>
          <w14:ligatures w14:val="standardContextual"/>
        </w:rPr>
        <w:t xml:space="preserve"> OC. Ethical consideration dilemma: systematic review of ethics in qualitative data collection through interviews. Journal of Ethics in Entrepreneurship and Technology [Internet]. 2023 Aug 10;3(2):94–110. Available from: https://doi.org/10.1108/jeet-09-2022-0014</w:t>
      </w:r>
    </w:p>
    <w:p w14:paraId="5656CD13"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Lawrence LM, Bishop A, Curran J. Integrated Knowledge Translation with Public Health Policy Makers: A Scoping Review. Healthcare Policy [Internet]. 2019 Feb 28;14(3):55–77. Available from: https://doi.org/10.12927/hcpol.2019.25792</w:t>
      </w:r>
    </w:p>
    <w:p w14:paraId="5B06258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lastRenderedPageBreak/>
        <w:t>Légaré</w:t>
      </w:r>
      <w:proofErr w:type="spellEnd"/>
      <w:r w:rsidRPr="00D8283E">
        <w:rPr>
          <w:rFonts w:ascii="Times New Roman" w:eastAsia="Times New Roman" w:hAnsi="Times New Roman" w:cs="Times New Roman"/>
          <w:kern w:val="2"/>
          <w:sz w:val="24"/>
          <w:szCs w:val="24"/>
          <w:lang w:eastAsia="en-CA"/>
          <w14:ligatures w14:val="standardContextual"/>
        </w:rPr>
        <w:t xml:space="preserve"> F, </w:t>
      </w:r>
      <w:proofErr w:type="spellStart"/>
      <w:r w:rsidRPr="00D8283E">
        <w:rPr>
          <w:rFonts w:ascii="Times New Roman" w:eastAsia="Times New Roman" w:hAnsi="Times New Roman" w:cs="Times New Roman"/>
          <w:kern w:val="2"/>
          <w:sz w:val="24"/>
          <w:szCs w:val="24"/>
          <w:lang w:eastAsia="en-CA"/>
          <w14:ligatures w14:val="standardContextual"/>
        </w:rPr>
        <w:t>Ratté</w:t>
      </w:r>
      <w:proofErr w:type="spellEnd"/>
      <w:r w:rsidRPr="00D8283E">
        <w:rPr>
          <w:rFonts w:ascii="Times New Roman" w:eastAsia="Times New Roman" w:hAnsi="Times New Roman" w:cs="Times New Roman"/>
          <w:kern w:val="2"/>
          <w:sz w:val="24"/>
          <w:szCs w:val="24"/>
          <w:lang w:eastAsia="en-CA"/>
          <w14:ligatures w14:val="standardContextual"/>
        </w:rPr>
        <w:t xml:space="preserve"> S, Gravel K, Graham ID. Barriers and facilitators to implementing shared decision-making in clinical practice: Update of a systematic review of health professionals’ perceptions. Patient Education and Counseling [Internet]. 2008 Aug 27;73(3):526–35. Available from: https://doi.org/10.1016/j.pec.2008.07.018</w:t>
      </w:r>
    </w:p>
    <w:p w14:paraId="15DA546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Lemke D, Holtz S, Gerber M, </w:t>
      </w:r>
      <w:proofErr w:type="spellStart"/>
      <w:r w:rsidRPr="00D8283E">
        <w:rPr>
          <w:rFonts w:ascii="Times New Roman" w:eastAsia="Times New Roman" w:hAnsi="Times New Roman" w:cs="Times New Roman"/>
          <w:kern w:val="2"/>
          <w:sz w:val="24"/>
          <w:szCs w:val="24"/>
          <w:lang w:eastAsia="en-CA"/>
          <w14:ligatures w14:val="standardContextual"/>
        </w:rPr>
        <w:t>Amberger</w:t>
      </w:r>
      <w:proofErr w:type="spellEnd"/>
      <w:r w:rsidRPr="00D8283E">
        <w:rPr>
          <w:rFonts w:ascii="Times New Roman" w:eastAsia="Times New Roman" w:hAnsi="Times New Roman" w:cs="Times New Roman"/>
          <w:kern w:val="2"/>
          <w:sz w:val="24"/>
          <w:szCs w:val="24"/>
          <w:lang w:eastAsia="en-CA"/>
          <w14:ligatures w14:val="standardContextual"/>
        </w:rPr>
        <w:t xml:space="preserve"> O, </w:t>
      </w:r>
      <w:proofErr w:type="spellStart"/>
      <w:r w:rsidRPr="00D8283E">
        <w:rPr>
          <w:rFonts w:ascii="Times New Roman" w:eastAsia="Times New Roman" w:hAnsi="Times New Roman" w:cs="Times New Roman"/>
          <w:kern w:val="2"/>
          <w:sz w:val="24"/>
          <w:szCs w:val="24"/>
          <w:lang w:eastAsia="en-CA"/>
          <w14:ligatures w14:val="standardContextual"/>
        </w:rPr>
        <w:t>Schütze</w:t>
      </w:r>
      <w:proofErr w:type="spellEnd"/>
      <w:r w:rsidRPr="00D8283E">
        <w:rPr>
          <w:rFonts w:ascii="Times New Roman" w:eastAsia="Times New Roman" w:hAnsi="Times New Roman" w:cs="Times New Roman"/>
          <w:kern w:val="2"/>
          <w:sz w:val="24"/>
          <w:szCs w:val="24"/>
          <w:lang w:eastAsia="en-CA"/>
          <w14:ligatures w14:val="standardContextual"/>
        </w:rPr>
        <w:t xml:space="preserve"> D, Müller B, et al. From niche topic to inclusion in the curriculum - design and evaluation of the elective course “climate change and health”. PubMed [Internet]. 2023 Jan 1;40(3</w:t>
      </w:r>
      <w:proofErr w:type="gramStart"/>
      <w:r w:rsidRPr="00D8283E">
        <w:rPr>
          <w:rFonts w:ascii="Times New Roman" w:eastAsia="Times New Roman" w:hAnsi="Times New Roman" w:cs="Times New Roman"/>
          <w:kern w:val="2"/>
          <w:sz w:val="24"/>
          <w:szCs w:val="24"/>
          <w:lang w:eastAsia="en-CA"/>
          <w14:ligatures w14:val="standardContextual"/>
        </w:rPr>
        <w:t>):Doc</w:t>
      </w:r>
      <w:proofErr w:type="gramEnd"/>
      <w:r w:rsidRPr="00D8283E">
        <w:rPr>
          <w:rFonts w:ascii="Times New Roman" w:eastAsia="Times New Roman" w:hAnsi="Times New Roman" w:cs="Times New Roman"/>
          <w:kern w:val="2"/>
          <w:sz w:val="24"/>
          <w:szCs w:val="24"/>
          <w:lang w:eastAsia="en-CA"/>
          <w14:ligatures w14:val="standardContextual"/>
        </w:rPr>
        <w:t>31. Available from: https://pubmed.ncbi.nlm.nih.gov/37377570</w:t>
      </w:r>
    </w:p>
    <w:p w14:paraId="73E5D620" w14:textId="77777777" w:rsidR="00D8283E" w:rsidRPr="00D8283E" w:rsidRDefault="00D8283E" w:rsidP="00D8283E">
      <w:pPr>
        <w:spacing w:line="278" w:lineRule="auto"/>
        <w:ind w:firstLine="720"/>
        <w:rPr>
          <w:rFonts w:ascii="Times New Roman" w:hAnsi="Times New Roman" w:cs="Times New Roman"/>
          <w:color w:val="333333"/>
          <w:kern w:val="2"/>
          <w:sz w:val="24"/>
          <w:szCs w:val="24"/>
          <w:shd w:val="clear" w:color="auto" w:fill="F9F9F9"/>
          <w14:ligatures w14:val="standardContextual"/>
        </w:rPr>
      </w:pPr>
      <w:r w:rsidRPr="00D8283E">
        <w:rPr>
          <w:rFonts w:ascii="Times New Roman" w:hAnsi="Times New Roman" w:cs="Times New Roman"/>
          <w:color w:val="333333"/>
          <w:kern w:val="2"/>
          <w:sz w:val="24"/>
          <w:szCs w:val="24"/>
          <w:shd w:val="clear" w:color="auto" w:fill="F9F9F9"/>
          <w14:ligatures w14:val="standardContextual"/>
        </w:rPr>
        <w:t xml:space="preserve">Lewis, A., Kirkman, A., &amp; Holmes, L. (2019). Wellness in allied health students: The case for change. Health Education in </w:t>
      </w:r>
      <w:proofErr w:type="gramStart"/>
      <w:r w:rsidRPr="00D8283E">
        <w:rPr>
          <w:rFonts w:ascii="Times New Roman" w:hAnsi="Times New Roman" w:cs="Times New Roman"/>
          <w:color w:val="333333"/>
          <w:kern w:val="2"/>
          <w:sz w:val="24"/>
          <w:szCs w:val="24"/>
          <w:shd w:val="clear" w:color="auto" w:fill="F9F9F9"/>
          <w14:ligatures w14:val="standardContextual"/>
        </w:rPr>
        <w:t>Practice :</w:t>
      </w:r>
      <w:proofErr w:type="gramEnd"/>
      <w:r w:rsidRPr="00D8283E">
        <w:rPr>
          <w:rFonts w:ascii="Times New Roman" w:hAnsi="Times New Roman" w:cs="Times New Roman"/>
          <w:color w:val="333333"/>
          <w:kern w:val="2"/>
          <w:sz w:val="24"/>
          <w:szCs w:val="24"/>
          <w:shd w:val="clear" w:color="auto" w:fill="F9F9F9"/>
          <w14:ligatures w14:val="standardContextual"/>
        </w:rPr>
        <w:t xml:space="preserve"> Journal of Research for Professional Learning, 2(1), 48–65. </w:t>
      </w:r>
      <w:hyperlink r:id="rId42" w:history="1">
        <w:r w:rsidRPr="00D8283E">
          <w:rPr>
            <w:rFonts w:ascii="Times New Roman" w:hAnsi="Times New Roman" w:cs="Times New Roman"/>
            <w:color w:val="467886" w:themeColor="hyperlink"/>
            <w:kern w:val="2"/>
            <w:sz w:val="24"/>
            <w:szCs w:val="24"/>
            <w:u w:val="single"/>
            <w:shd w:val="clear" w:color="auto" w:fill="F9F9F9"/>
            <w14:ligatures w14:val="standardContextual"/>
          </w:rPr>
          <w:t>https://search.informit.org/doi/10.3316/informit.519612001913741</w:t>
        </w:r>
      </w:hyperlink>
    </w:p>
    <w:p w14:paraId="5354857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Lim, W.M. (2025) ‘What is quantitative research? An overview and guidelines’, </w:t>
      </w:r>
      <w:r w:rsidRPr="00D8283E">
        <w:rPr>
          <w:rFonts w:ascii="Times New Roman" w:eastAsia="Times New Roman" w:hAnsi="Times New Roman" w:cs="Times New Roman"/>
          <w:i/>
          <w:iCs/>
          <w:kern w:val="2"/>
          <w:sz w:val="24"/>
          <w:szCs w:val="24"/>
          <w:lang w:eastAsia="en-CA"/>
          <w14:ligatures w14:val="standardContextual"/>
        </w:rPr>
        <w:t>Australasian Marketing Journal</w:t>
      </w:r>
      <w:r w:rsidRPr="00D8283E">
        <w:rPr>
          <w:rFonts w:ascii="Times New Roman" w:eastAsia="Times New Roman" w:hAnsi="Times New Roman" w:cs="Times New Roman"/>
          <w:kern w:val="2"/>
          <w:sz w:val="24"/>
          <w:szCs w:val="24"/>
          <w:lang w:eastAsia="en-CA"/>
          <w14:ligatures w14:val="standardContextual"/>
        </w:rPr>
        <w:t>, 33(3), pp. 325–348.</w:t>
      </w:r>
    </w:p>
    <w:p w14:paraId="6C91A343"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14:ligatures w14:val="standardContextual"/>
        </w:rPr>
        <w:t>Linton ME, Wilson KJ, Dabney B. 2021. Integrating environmental sustainability content into an RN-to-BSN Program: A pilot study. Creating healthy work Environments Virtual 2021</w:t>
      </w:r>
    </w:p>
    <w:p w14:paraId="2A312A8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Lopez-Fernandez O, Molina-</w:t>
      </w:r>
      <w:proofErr w:type="spellStart"/>
      <w:r w:rsidRPr="00D8283E">
        <w:rPr>
          <w:rFonts w:ascii="Times New Roman" w:eastAsia="Times New Roman" w:hAnsi="Times New Roman" w:cs="Times New Roman"/>
          <w:kern w:val="2"/>
          <w:sz w:val="24"/>
          <w:szCs w:val="24"/>
          <w:lang w:eastAsia="en-CA"/>
          <w14:ligatures w14:val="standardContextual"/>
        </w:rPr>
        <w:t>Azorin</w:t>
      </w:r>
      <w:proofErr w:type="spellEnd"/>
      <w:r w:rsidRPr="00D8283E">
        <w:rPr>
          <w:rFonts w:ascii="Times New Roman" w:eastAsia="Times New Roman" w:hAnsi="Times New Roman" w:cs="Times New Roman"/>
          <w:kern w:val="2"/>
          <w:sz w:val="24"/>
          <w:szCs w:val="24"/>
          <w:lang w:eastAsia="en-CA"/>
          <w14:ligatures w14:val="standardContextual"/>
        </w:rPr>
        <w:t xml:space="preserve"> JF. The use of mixed methods research in the field of behavioural sciences. Quality &amp; Quantity [Internet]. 2011 Jul 21;45(6):1459–72. Available from: https://doi.org/10.1007/s11135-011-9543-9</w:t>
      </w:r>
    </w:p>
    <w:p w14:paraId="3B39CAD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López-Medina IM, Álvarez-García C, Parra-</w:t>
      </w:r>
      <w:proofErr w:type="spellStart"/>
      <w:r w:rsidRPr="00D8283E">
        <w:rPr>
          <w:rFonts w:ascii="Times New Roman" w:eastAsia="Times New Roman" w:hAnsi="Times New Roman" w:cs="Times New Roman"/>
          <w:kern w:val="2"/>
          <w:sz w:val="24"/>
          <w:szCs w:val="24"/>
          <w:lang w:eastAsia="en-CA"/>
          <w14:ligatures w14:val="standardContextual"/>
        </w:rPr>
        <w:t>Anguita</w:t>
      </w:r>
      <w:proofErr w:type="spellEnd"/>
      <w:r w:rsidRPr="00D8283E">
        <w:rPr>
          <w:rFonts w:ascii="Times New Roman" w:eastAsia="Times New Roman" w:hAnsi="Times New Roman" w:cs="Times New Roman"/>
          <w:kern w:val="2"/>
          <w:sz w:val="24"/>
          <w:szCs w:val="24"/>
          <w:lang w:eastAsia="en-CA"/>
          <w14:ligatures w14:val="standardContextual"/>
        </w:rPr>
        <w:t xml:space="preserve"> L, Sanz-</w:t>
      </w:r>
      <w:proofErr w:type="spellStart"/>
      <w:r w:rsidRPr="00D8283E">
        <w:rPr>
          <w:rFonts w:ascii="Times New Roman" w:eastAsia="Times New Roman" w:hAnsi="Times New Roman" w:cs="Times New Roman"/>
          <w:kern w:val="2"/>
          <w:sz w:val="24"/>
          <w:szCs w:val="24"/>
          <w:lang w:eastAsia="en-CA"/>
          <w14:ligatures w14:val="standardContextual"/>
        </w:rPr>
        <w:t>Martos</w:t>
      </w:r>
      <w:proofErr w:type="spellEnd"/>
      <w:r w:rsidRPr="00D8283E">
        <w:rPr>
          <w:rFonts w:ascii="Times New Roman" w:eastAsia="Times New Roman" w:hAnsi="Times New Roman" w:cs="Times New Roman"/>
          <w:kern w:val="2"/>
          <w:sz w:val="24"/>
          <w:szCs w:val="24"/>
          <w:lang w:eastAsia="en-CA"/>
          <w14:ligatures w14:val="standardContextual"/>
        </w:rPr>
        <w:t xml:space="preserve"> S, Álvarez-Nieto C. Perceptions and concerns about sustainable healthcare of nursing students trained in sustainability and health: A cohort study. Nurse Education in Practice [Internet]. 2022 Oct </w:t>
      </w:r>
      <w:proofErr w:type="gramStart"/>
      <w:r w:rsidRPr="00D8283E">
        <w:rPr>
          <w:rFonts w:ascii="Times New Roman" w:eastAsia="Times New Roman" w:hAnsi="Times New Roman" w:cs="Times New Roman"/>
          <w:kern w:val="2"/>
          <w:sz w:val="24"/>
          <w:szCs w:val="24"/>
          <w:lang w:eastAsia="en-CA"/>
          <w14:ligatures w14:val="standardContextual"/>
        </w:rPr>
        <w:t>30;65:103489</w:t>
      </w:r>
      <w:proofErr w:type="gramEnd"/>
      <w:r w:rsidRPr="00D8283E">
        <w:rPr>
          <w:rFonts w:ascii="Times New Roman" w:eastAsia="Times New Roman" w:hAnsi="Times New Roman" w:cs="Times New Roman"/>
          <w:kern w:val="2"/>
          <w:sz w:val="24"/>
          <w:szCs w:val="24"/>
          <w:lang w:eastAsia="en-CA"/>
          <w14:ligatures w14:val="standardContextual"/>
        </w:rPr>
        <w:t>. Available from: https://doi.org/10.1016/j.nepr.2022.103489</w:t>
      </w:r>
    </w:p>
    <w:p w14:paraId="3328A59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Lopez-Medina IM, Álvarez-Nieto C, Grose J, Elsbernd A, Huss N, </w:t>
      </w:r>
      <w:proofErr w:type="spellStart"/>
      <w:r w:rsidRPr="00D8283E">
        <w:rPr>
          <w:rFonts w:ascii="Times New Roman" w:eastAsia="Times New Roman" w:hAnsi="Times New Roman" w:cs="Times New Roman"/>
          <w:kern w:val="2"/>
          <w:sz w:val="24"/>
          <w:szCs w:val="24"/>
          <w:lang w:eastAsia="en-CA"/>
          <w14:ligatures w14:val="standardContextual"/>
        </w:rPr>
        <w:t>Huynen</w:t>
      </w:r>
      <w:proofErr w:type="spellEnd"/>
      <w:r w:rsidRPr="00D8283E">
        <w:rPr>
          <w:rFonts w:ascii="Times New Roman" w:eastAsia="Times New Roman" w:hAnsi="Times New Roman" w:cs="Times New Roman"/>
          <w:kern w:val="2"/>
          <w:sz w:val="24"/>
          <w:szCs w:val="24"/>
          <w:lang w:eastAsia="en-CA"/>
          <w14:ligatures w14:val="standardContextual"/>
        </w:rPr>
        <w:t xml:space="preserve"> M, et al. Competencies on environmental health and pedagogical approaches in the nursing curriculum: A systematic review of the literature. Nurse Education in Practice [Internet]. 2019 Apr </w:t>
      </w:r>
      <w:proofErr w:type="gramStart"/>
      <w:r w:rsidRPr="00D8283E">
        <w:rPr>
          <w:rFonts w:ascii="Times New Roman" w:eastAsia="Times New Roman" w:hAnsi="Times New Roman" w:cs="Times New Roman"/>
          <w:kern w:val="2"/>
          <w:sz w:val="24"/>
          <w:szCs w:val="24"/>
          <w:lang w:eastAsia="en-CA"/>
          <w14:ligatures w14:val="standardContextual"/>
        </w:rPr>
        <w:t>5;37:1</w:t>
      </w:r>
      <w:proofErr w:type="gramEnd"/>
      <w:r w:rsidRPr="00D8283E">
        <w:rPr>
          <w:rFonts w:ascii="Times New Roman" w:eastAsia="Times New Roman" w:hAnsi="Times New Roman" w:cs="Times New Roman"/>
          <w:kern w:val="2"/>
          <w:sz w:val="24"/>
          <w:szCs w:val="24"/>
          <w:lang w:eastAsia="en-CA"/>
          <w14:ligatures w14:val="standardContextual"/>
        </w:rPr>
        <w:t>–8. Available from: https://doi.org/10.1016/j.nepr.2019.04.004</w:t>
      </w:r>
    </w:p>
    <w:p w14:paraId="3964ED11" w14:textId="01AE94DC" w:rsid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Lu K, Schellenberg J. Canadian Federation of Medical Students [Internet]. Available from: </w:t>
      </w:r>
      <w:hyperlink r:id="rId43" w:history="1">
        <w:r w:rsidR="001D624A" w:rsidRPr="001E0C8C">
          <w:rPr>
            <w:rStyle w:val="Hyperlink"/>
            <w:rFonts w:ascii="Times New Roman" w:eastAsia="Times New Roman" w:hAnsi="Times New Roman" w:cs="Times New Roman"/>
            <w:kern w:val="2"/>
            <w:sz w:val="24"/>
            <w:szCs w:val="24"/>
            <w:lang w:eastAsia="en-GB"/>
            <w14:ligatures w14:val="standardContextual"/>
          </w:rPr>
          <w:t>https://www.cfms.org/what-we-do/global-health/climate-change-and-health</w:t>
        </w:r>
      </w:hyperlink>
    </w:p>
    <w:p w14:paraId="3552B02A" w14:textId="77777777" w:rsidR="001D624A" w:rsidRPr="001D624A" w:rsidRDefault="001D624A" w:rsidP="001D624A">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1D624A">
        <w:rPr>
          <w:rFonts w:ascii="Times New Roman" w:eastAsia="Times New Roman" w:hAnsi="Times New Roman" w:cs="Times New Roman"/>
          <w:kern w:val="2"/>
          <w:sz w:val="24"/>
          <w:szCs w:val="24"/>
          <w:lang w:eastAsia="en-GB"/>
          <w14:ligatures w14:val="standardContextual"/>
        </w:rPr>
        <w:t xml:space="preserve">Mago A, </w:t>
      </w:r>
      <w:proofErr w:type="spellStart"/>
      <w:r w:rsidRPr="001D624A">
        <w:rPr>
          <w:rFonts w:ascii="Times New Roman" w:eastAsia="Times New Roman" w:hAnsi="Times New Roman" w:cs="Times New Roman"/>
          <w:kern w:val="2"/>
          <w:sz w:val="24"/>
          <w:szCs w:val="24"/>
          <w:lang w:eastAsia="en-GB"/>
          <w14:ligatures w14:val="standardContextual"/>
        </w:rPr>
        <w:t>Dhali</w:t>
      </w:r>
      <w:proofErr w:type="spellEnd"/>
      <w:r w:rsidRPr="001D624A">
        <w:rPr>
          <w:rFonts w:ascii="Times New Roman" w:eastAsia="Times New Roman" w:hAnsi="Times New Roman" w:cs="Times New Roman"/>
          <w:kern w:val="2"/>
          <w:sz w:val="24"/>
          <w:szCs w:val="24"/>
          <w:lang w:eastAsia="en-GB"/>
          <w14:ligatures w14:val="standardContextual"/>
        </w:rPr>
        <w:t xml:space="preserve"> A, Kumar H, </w:t>
      </w:r>
      <w:proofErr w:type="spellStart"/>
      <w:r w:rsidRPr="001D624A">
        <w:rPr>
          <w:rFonts w:ascii="Times New Roman" w:eastAsia="Times New Roman" w:hAnsi="Times New Roman" w:cs="Times New Roman"/>
          <w:kern w:val="2"/>
          <w:sz w:val="24"/>
          <w:szCs w:val="24"/>
          <w:lang w:eastAsia="en-GB"/>
          <w14:ligatures w14:val="standardContextual"/>
        </w:rPr>
        <w:t>Maity</w:t>
      </w:r>
      <w:proofErr w:type="spellEnd"/>
      <w:r w:rsidRPr="001D624A">
        <w:rPr>
          <w:rFonts w:ascii="Times New Roman" w:eastAsia="Times New Roman" w:hAnsi="Times New Roman" w:cs="Times New Roman"/>
          <w:kern w:val="2"/>
          <w:sz w:val="24"/>
          <w:szCs w:val="24"/>
          <w:lang w:eastAsia="en-GB"/>
          <w14:ligatures w14:val="standardContextual"/>
        </w:rPr>
        <w:t xml:space="preserve"> R, Kumar B. Planetary health and its relevance in the modern era: A topical review. SAGE Open Med. 2024 May </w:t>
      </w:r>
      <w:proofErr w:type="gramStart"/>
      <w:r w:rsidRPr="001D624A">
        <w:rPr>
          <w:rFonts w:ascii="Times New Roman" w:eastAsia="Times New Roman" w:hAnsi="Times New Roman" w:cs="Times New Roman"/>
          <w:kern w:val="2"/>
          <w:sz w:val="24"/>
          <w:szCs w:val="24"/>
          <w:lang w:eastAsia="en-GB"/>
          <w14:ligatures w14:val="standardContextual"/>
        </w:rPr>
        <w:t>20;12:20503121241254231</w:t>
      </w:r>
      <w:proofErr w:type="gramEnd"/>
      <w:r w:rsidRPr="001D624A">
        <w:rPr>
          <w:rFonts w:ascii="Times New Roman" w:eastAsia="Times New Roman" w:hAnsi="Times New Roman" w:cs="Times New Roman"/>
          <w:kern w:val="2"/>
          <w:sz w:val="24"/>
          <w:szCs w:val="24"/>
          <w:lang w:eastAsia="en-GB"/>
          <w14:ligatures w14:val="standardContextual"/>
        </w:rPr>
        <w:t xml:space="preserve">. </w:t>
      </w:r>
      <w:proofErr w:type="spellStart"/>
      <w:r w:rsidRPr="001D624A">
        <w:rPr>
          <w:rFonts w:ascii="Times New Roman" w:eastAsia="Times New Roman" w:hAnsi="Times New Roman" w:cs="Times New Roman"/>
          <w:kern w:val="2"/>
          <w:sz w:val="24"/>
          <w:szCs w:val="24"/>
          <w:lang w:eastAsia="en-GB"/>
          <w14:ligatures w14:val="standardContextual"/>
        </w:rPr>
        <w:t>doi</w:t>
      </w:r>
      <w:proofErr w:type="spellEnd"/>
      <w:r w:rsidRPr="001D624A">
        <w:rPr>
          <w:rFonts w:ascii="Times New Roman" w:eastAsia="Times New Roman" w:hAnsi="Times New Roman" w:cs="Times New Roman"/>
          <w:kern w:val="2"/>
          <w:sz w:val="24"/>
          <w:szCs w:val="24"/>
          <w:lang w:eastAsia="en-GB"/>
          <w14:ligatures w14:val="standardContextual"/>
        </w:rPr>
        <w:t>: 10.1177/20503121241254231. PMID: 38774741; PMCID: PMC11107315.</w:t>
      </w:r>
    </w:p>
    <w:p w14:paraId="52310321" w14:textId="3A8E65FC" w:rsidR="001D624A" w:rsidRPr="00D8283E" w:rsidRDefault="001D624A"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
    <w:p w14:paraId="6FE777E5"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Maibach</w:t>
      </w:r>
      <w:proofErr w:type="spellEnd"/>
      <w:r w:rsidRPr="00D8283E">
        <w:rPr>
          <w:rFonts w:ascii="Times New Roman" w:eastAsia="Times New Roman" w:hAnsi="Times New Roman" w:cs="Times New Roman"/>
          <w:kern w:val="2"/>
          <w:sz w:val="24"/>
          <w:szCs w:val="24"/>
          <w:lang w:eastAsia="en-GB"/>
          <w14:ligatures w14:val="standardContextual"/>
        </w:rPr>
        <w:t xml:space="preserve"> E, </w:t>
      </w:r>
      <w:proofErr w:type="spellStart"/>
      <w:r w:rsidRPr="00D8283E">
        <w:rPr>
          <w:rFonts w:ascii="Times New Roman" w:eastAsia="Times New Roman" w:hAnsi="Times New Roman" w:cs="Times New Roman"/>
          <w:kern w:val="2"/>
          <w:sz w:val="24"/>
          <w:szCs w:val="24"/>
          <w:lang w:eastAsia="en-GB"/>
          <w14:ligatures w14:val="standardContextual"/>
        </w:rPr>
        <w:t>Frumkin</w:t>
      </w:r>
      <w:proofErr w:type="spellEnd"/>
      <w:r w:rsidRPr="00D8283E">
        <w:rPr>
          <w:rFonts w:ascii="Times New Roman" w:eastAsia="Times New Roman" w:hAnsi="Times New Roman" w:cs="Times New Roman"/>
          <w:kern w:val="2"/>
          <w:sz w:val="24"/>
          <w:szCs w:val="24"/>
          <w:lang w:eastAsia="en-GB"/>
          <w14:ligatures w14:val="standardContextual"/>
        </w:rPr>
        <w:t xml:space="preserve"> H, </w:t>
      </w:r>
      <w:proofErr w:type="spellStart"/>
      <w:r w:rsidRPr="00D8283E">
        <w:rPr>
          <w:rFonts w:ascii="Times New Roman" w:eastAsia="Times New Roman" w:hAnsi="Times New Roman" w:cs="Times New Roman"/>
          <w:kern w:val="2"/>
          <w:sz w:val="24"/>
          <w:szCs w:val="24"/>
          <w:lang w:eastAsia="en-GB"/>
          <w14:ligatures w14:val="standardContextual"/>
        </w:rPr>
        <w:t>Ahdoot</w:t>
      </w:r>
      <w:proofErr w:type="spellEnd"/>
      <w:r w:rsidRPr="00D8283E">
        <w:rPr>
          <w:rFonts w:ascii="Times New Roman" w:eastAsia="Times New Roman" w:hAnsi="Times New Roman" w:cs="Times New Roman"/>
          <w:kern w:val="2"/>
          <w:sz w:val="24"/>
          <w:szCs w:val="24"/>
          <w:lang w:eastAsia="en-GB"/>
          <w14:ligatures w14:val="standardContextual"/>
        </w:rPr>
        <w:t xml:space="preserve"> S. Health professionals and the climate crisis: trusted voices, essential roles. World Medical &amp; Health Policy [Internet]. 2021 Mar 1;13(1):137–45. Available from: https://doi.org/10.1002/wmh3.421</w:t>
      </w:r>
    </w:p>
    <w:p w14:paraId="1DEF7A6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Mankbadi</w:t>
      </w:r>
      <w:proofErr w:type="spellEnd"/>
      <w:r w:rsidRPr="00D8283E">
        <w:rPr>
          <w:rFonts w:ascii="Times New Roman" w:eastAsia="Times New Roman" w:hAnsi="Times New Roman" w:cs="Times New Roman"/>
          <w:kern w:val="2"/>
          <w:sz w:val="24"/>
          <w:szCs w:val="24"/>
          <w:lang w:eastAsia="en-CA"/>
          <w14:ligatures w14:val="standardContextual"/>
        </w:rPr>
        <w:t xml:space="preserve"> M, Sterling A, Du S, Diaz A, Patel P, McGee M, et al. Transforming Global Health Education with the Utilization of Simulations and Workshops. Annals of Global Health [Internet]. 2017 Apr 7;83(1):190. Available from: https://doi.org/10.1016/j.aogh.2017.03.478</w:t>
      </w:r>
    </w:p>
    <w:p w14:paraId="0737EF7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Mann KV. Theoretical perspectives in medical education: past experience and future possibilities. Medical Education [Internet]. 2010 Dec 14;45(1):60–8. Available from: https://doi.org/10.1111/j.1365-2923.2010.03757.x</w:t>
      </w:r>
    </w:p>
    <w:p w14:paraId="07EAF34A" w14:textId="77777777" w:rsidR="00D8283E" w:rsidRDefault="00D8283E" w:rsidP="00D8283E">
      <w:pPr>
        <w:shd w:val="clear" w:color="auto" w:fill="FFFFFF"/>
        <w:spacing w:after="0" w:line="360" w:lineRule="auto"/>
        <w:ind w:firstLine="720"/>
        <w:rPr>
          <w:rFonts w:ascii="Times New Roman" w:hAnsi="Times New Roman" w:cs="Times New Roman"/>
          <w:color w:val="05103E"/>
          <w:kern w:val="2"/>
          <w:sz w:val="24"/>
          <w:szCs w:val="24"/>
          <w:bdr w:val="single" w:sz="2" w:space="0" w:color="ECEDEE" w:frame="1"/>
          <w14:ligatures w14:val="standardContextual"/>
        </w:rPr>
      </w:pPr>
      <w:r w:rsidRPr="00D8283E">
        <w:rPr>
          <w:rFonts w:ascii="Times New Roman" w:hAnsi="Times New Roman" w:cs="Times New Roman"/>
          <w:color w:val="05103E"/>
          <w:kern w:val="2"/>
          <w:sz w:val="24"/>
          <w:szCs w:val="24"/>
          <w14:ligatures w14:val="standardContextual"/>
        </w:rPr>
        <w:t>Martin. Climate Action - United Nations Sustainable development [Internet]. United Nations Sustainable Development. 2022. Available from: </w:t>
      </w:r>
      <w:hyperlink r:id="rId44" w:anchor=":~:text=Cop21%2C%2012%20December%202015&amp;text=12%20December%202015.-,In%20the%20agreement%2C%20all%20countries%20agreed%20to%20work%20to%20limit,strive%20for%201.5%20degrees%20Celsius" w:history="1">
        <w:r w:rsidRPr="00D8283E">
          <w:rPr>
            <w:rFonts w:ascii="Times New Roman" w:hAnsi="Times New Roman" w:cs="Times New Roman"/>
            <w:color w:val="467886" w:themeColor="hyperlink"/>
            <w:kern w:val="2"/>
            <w:sz w:val="24"/>
            <w:szCs w:val="24"/>
            <w:u w:val="single"/>
            <w:bdr w:val="single" w:sz="2" w:space="0" w:color="ECEDEE" w:frame="1"/>
            <w14:ligatures w14:val="standardContextual"/>
          </w:rPr>
          <w:t>https://www.un.org/sustainabledevelopment/climate-action/#:~:text=Cop21%2C%2012%20December%202015&amp;text=12%20December%202015.-,In%20the%20agreement%2C%20all%20countries%20agreed%20to%20work%20to%20limit,strive%20for%201.5%20degrees%20Celsius</w:t>
        </w:r>
      </w:hyperlink>
      <w:r w:rsidRPr="00D8283E">
        <w:rPr>
          <w:rFonts w:ascii="Times New Roman" w:hAnsi="Times New Roman" w:cs="Times New Roman"/>
          <w:color w:val="05103E"/>
          <w:kern w:val="2"/>
          <w:sz w:val="24"/>
          <w:szCs w:val="24"/>
          <w:bdr w:val="single" w:sz="2" w:space="0" w:color="ECEDEE" w:frame="1"/>
          <w14:ligatures w14:val="standardContextual"/>
        </w:rPr>
        <w:t>.</w:t>
      </w:r>
    </w:p>
    <w:p w14:paraId="4729A522" w14:textId="5E6549A4" w:rsidR="001D624A" w:rsidRPr="00D8283E" w:rsidRDefault="001D624A" w:rsidP="001D624A">
      <w:pPr>
        <w:shd w:val="clear" w:color="auto" w:fill="FFFFFF"/>
        <w:spacing w:after="0" w:line="360" w:lineRule="auto"/>
        <w:ind w:firstLine="720"/>
        <w:rPr>
          <w:rFonts w:ascii="Times New Roman" w:hAnsi="Times New Roman" w:cs="Times New Roman"/>
          <w:color w:val="05103E"/>
          <w:kern w:val="2"/>
          <w:sz w:val="24"/>
          <w:szCs w:val="24"/>
          <w:bdr w:val="single" w:sz="2" w:space="0" w:color="ECEDEE" w:frame="1"/>
          <w14:ligatures w14:val="standardContextual"/>
        </w:rPr>
      </w:pPr>
      <w:r w:rsidRPr="001D624A">
        <w:rPr>
          <w:rFonts w:ascii="Times New Roman" w:hAnsi="Times New Roman" w:cs="Times New Roman"/>
          <w:color w:val="05103E"/>
          <w:kern w:val="2"/>
          <w:sz w:val="24"/>
          <w:szCs w:val="24"/>
          <w:bdr w:val="single" w:sz="2" w:space="0" w:color="ECEDEE" w:frame="1"/>
          <w14:ligatures w14:val="standardContextual"/>
        </w:rPr>
        <w:t xml:space="preserve">Martinez, R.G., Lewis, C.C. and Weiner, B.J., 2014. Instrumentation issues in implementation science. </w:t>
      </w:r>
      <w:r w:rsidRPr="001D624A">
        <w:rPr>
          <w:rFonts w:ascii="Times New Roman" w:hAnsi="Times New Roman" w:cs="Times New Roman"/>
          <w:i/>
          <w:iCs/>
          <w:color w:val="05103E"/>
          <w:kern w:val="2"/>
          <w:sz w:val="24"/>
          <w:szCs w:val="24"/>
          <w:bdr w:val="single" w:sz="2" w:space="0" w:color="ECEDEE" w:frame="1"/>
          <w14:ligatures w14:val="standardContextual"/>
        </w:rPr>
        <w:t>Implementation Science</w:t>
      </w:r>
      <w:r w:rsidRPr="001D624A">
        <w:rPr>
          <w:rFonts w:ascii="Times New Roman" w:hAnsi="Times New Roman" w:cs="Times New Roman"/>
          <w:color w:val="05103E"/>
          <w:kern w:val="2"/>
          <w:sz w:val="24"/>
          <w:szCs w:val="24"/>
          <w:bdr w:val="single" w:sz="2" w:space="0" w:color="ECEDEE" w:frame="1"/>
          <w14:ligatures w14:val="standardContextual"/>
        </w:rPr>
        <w:t>, 9, p.118. Available from: https://doi.org/10.1186/s13012-014-0118-8</w:t>
      </w:r>
    </w:p>
    <w:p w14:paraId="5B841AC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Matthews NR, Davies B, Ward H. Global health education in UK medical schools: a review of undergraduate university curricula. BMJ Global Health [Internet]. 2020 Dec 1;5(12</w:t>
      </w:r>
      <w:proofErr w:type="gramStart"/>
      <w:r w:rsidRPr="00D8283E">
        <w:rPr>
          <w:rFonts w:ascii="Times New Roman" w:eastAsia="Times New Roman" w:hAnsi="Times New Roman" w:cs="Times New Roman"/>
          <w:kern w:val="2"/>
          <w:sz w:val="24"/>
          <w:szCs w:val="24"/>
          <w:lang w:eastAsia="en-CA"/>
          <w14:ligatures w14:val="standardContextual"/>
        </w:rPr>
        <w:t>):e</w:t>
      </w:r>
      <w:proofErr w:type="gramEnd"/>
      <w:r w:rsidRPr="00D8283E">
        <w:rPr>
          <w:rFonts w:ascii="Times New Roman" w:eastAsia="Times New Roman" w:hAnsi="Times New Roman" w:cs="Times New Roman"/>
          <w:kern w:val="2"/>
          <w:sz w:val="24"/>
          <w:szCs w:val="24"/>
          <w:lang w:eastAsia="en-CA"/>
          <w14:ligatures w14:val="standardContextual"/>
        </w:rPr>
        <w:t>002801. Available from: https://doi.org/10.1136/bmjgh-2020-002801</w:t>
      </w:r>
    </w:p>
    <w:p w14:paraId="7604F7CC"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Maxwell J, </w:t>
      </w:r>
      <w:proofErr w:type="spellStart"/>
      <w:r w:rsidRPr="00D8283E">
        <w:rPr>
          <w:rFonts w:ascii="Times New Roman" w:eastAsia="Times New Roman" w:hAnsi="Times New Roman" w:cs="Times New Roman"/>
          <w:kern w:val="2"/>
          <w:sz w:val="24"/>
          <w:szCs w:val="24"/>
          <w:lang w:eastAsia="en-GB"/>
          <w14:ligatures w14:val="standardContextual"/>
        </w:rPr>
        <w:t>Blashki</w:t>
      </w:r>
      <w:proofErr w:type="spellEnd"/>
      <w:r w:rsidRPr="00D8283E">
        <w:rPr>
          <w:rFonts w:ascii="Times New Roman" w:eastAsia="Times New Roman" w:hAnsi="Times New Roman" w:cs="Times New Roman"/>
          <w:kern w:val="2"/>
          <w:sz w:val="24"/>
          <w:szCs w:val="24"/>
          <w:lang w:eastAsia="en-GB"/>
          <w14:ligatures w14:val="standardContextual"/>
        </w:rPr>
        <w:t xml:space="preserve"> G. Teaching about Climate Change in Medical Education: An Opportunity. Deleted Journal [Internet]. 2016 Apr 26;5(1). Available from: https://doi.org/10.4081/jphr.2016.673</w:t>
      </w:r>
    </w:p>
    <w:p w14:paraId="37A3385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McElroy KG, </w:t>
      </w:r>
      <w:proofErr w:type="spellStart"/>
      <w:r w:rsidRPr="00D8283E">
        <w:rPr>
          <w:rFonts w:ascii="Times New Roman" w:eastAsia="Times New Roman" w:hAnsi="Times New Roman" w:cs="Times New Roman"/>
          <w:kern w:val="2"/>
          <w:sz w:val="24"/>
          <w:szCs w:val="24"/>
          <w:lang w:eastAsia="en-CA"/>
          <w14:ligatures w14:val="standardContextual"/>
        </w:rPr>
        <w:t>Gilden</w:t>
      </w:r>
      <w:proofErr w:type="spellEnd"/>
      <w:r w:rsidRPr="00D8283E">
        <w:rPr>
          <w:rFonts w:ascii="Times New Roman" w:eastAsia="Times New Roman" w:hAnsi="Times New Roman" w:cs="Times New Roman"/>
          <w:kern w:val="2"/>
          <w:sz w:val="24"/>
          <w:szCs w:val="24"/>
          <w:lang w:eastAsia="en-CA"/>
          <w14:ligatures w14:val="standardContextual"/>
        </w:rPr>
        <w:t xml:space="preserve"> R, Sattler B. Environmental health nursing education: One school’s journey. Public Health Nursing [Internet]. 2020 Sep 28;38(2):258–65. Available from: https://doi.org/10.1111/phn.12815</w:t>
      </w:r>
    </w:p>
    <w:p w14:paraId="0BB4EC0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McGrath C, </w:t>
      </w:r>
      <w:proofErr w:type="spellStart"/>
      <w:r w:rsidRPr="00D8283E">
        <w:rPr>
          <w:rFonts w:ascii="Times New Roman" w:eastAsia="Times New Roman" w:hAnsi="Times New Roman" w:cs="Times New Roman"/>
          <w:kern w:val="2"/>
          <w:sz w:val="24"/>
          <w:szCs w:val="24"/>
          <w:lang w:eastAsia="en-GB"/>
          <w14:ligatures w14:val="standardContextual"/>
        </w:rPr>
        <w:t>Palmgren</w:t>
      </w:r>
      <w:proofErr w:type="spellEnd"/>
      <w:r w:rsidRPr="00D8283E">
        <w:rPr>
          <w:rFonts w:ascii="Times New Roman" w:eastAsia="Times New Roman" w:hAnsi="Times New Roman" w:cs="Times New Roman"/>
          <w:kern w:val="2"/>
          <w:sz w:val="24"/>
          <w:szCs w:val="24"/>
          <w:lang w:eastAsia="en-GB"/>
          <w14:ligatures w14:val="standardContextual"/>
        </w:rPr>
        <w:t xml:space="preserve"> PJ, </w:t>
      </w:r>
      <w:proofErr w:type="spellStart"/>
      <w:r w:rsidRPr="00D8283E">
        <w:rPr>
          <w:rFonts w:ascii="Times New Roman" w:eastAsia="Times New Roman" w:hAnsi="Times New Roman" w:cs="Times New Roman"/>
          <w:kern w:val="2"/>
          <w:sz w:val="24"/>
          <w:szCs w:val="24"/>
          <w:lang w:eastAsia="en-GB"/>
          <w14:ligatures w14:val="standardContextual"/>
        </w:rPr>
        <w:t>Liljedahl</w:t>
      </w:r>
      <w:proofErr w:type="spellEnd"/>
      <w:r w:rsidRPr="00D8283E">
        <w:rPr>
          <w:rFonts w:ascii="Times New Roman" w:eastAsia="Times New Roman" w:hAnsi="Times New Roman" w:cs="Times New Roman"/>
          <w:kern w:val="2"/>
          <w:sz w:val="24"/>
          <w:szCs w:val="24"/>
          <w:lang w:eastAsia="en-GB"/>
          <w14:ligatures w14:val="standardContextual"/>
        </w:rPr>
        <w:t xml:space="preserve"> M. Twelve tips for conducting qualitative research interviews. Medical Teacher [Internet]. 2018 Sep 28;41(9):1002–6. Available from: https://doi.org/10.1080/0142159x.2018.1497149</w:t>
      </w:r>
    </w:p>
    <w:p w14:paraId="36CF5F2C" w14:textId="0B804B77"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 xml:space="preserve">McKim CA. The value of mixed methods research. Journal of Mixed Methods Research [Internet]. 2015 Oct 1;11(2):202–22. Available from: </w:t>
      </w:r>
      <w:hyperlink r:id="rId45"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https://doi.org/10.1177/1558689815607096</w:t>
        </w:r>
      </w:hyperlink>
    </w:p>
    <w:p w14:paraId="3492907F" w14:textId="1835F3AD"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1D624A">
        <w:rPr>
          <w:rFonts w:ascii="Times New Roman" w:eastAsia="Times New Roman" w:hAnsi="Times New Roman" w:cs="Times New Roman"/>
          <w:kern w:val="2"/>
          <w:sz w:val="24"/>
          <w:szCs w:val="24"/>
          <w:lang w:eastAsia="en-CA"/>
          <w14:ligatures w14:val="standardContextual"/>
        </w:rPr>
        <w:t xml:space="preserve">Mental Health Innovation Network, n.d. </w:t>
      </w:r>
      <w:r w:rsidRPr="001D624A">
        <w:rPr>
          <w:rFonts w:ascii="Times New Roman" w:eastAsia="Times New Roman" w:hAnsi="Times New Roman" w:cs="Times New Roman"/>
          <w:i/>
          <w:iCs/>
          <w:kern w:val="2"/>
          <w:sz w:val="24"/>
          <w:szCs w:val="24"/>
          <w:lang w:eastAsia="en-CA"/>
          <w14:ligatures w14:val="standardContextual"/>
        </w:rPr>
        <w:t>Step 2: Build Capacity – General Healthcare</w:t>
      </w:r>
      <w:r w:rsidRPr="001D624A">
        <w:rPr>
          <w:rFonts w:ascii="Times New Roman" w:eastAsia="Times New Roman" w:hAnsi="Times New Roman" w:cs="Times New Roman"/>
          <w:kern w:val="2"/>
          <w:sz w:val="24"/>
          <w:szCs w:val="24"/>
          <w:lang w:eastAsia="en-CA"/>
          <w14:ligatures w14:val="standardContextual"/>
        </w:rPr>
        <w:t>. Available from: https://www.mhinnovation.net/collaborations/mental-health-integration-toolkit/step-2-build-capacity-general-healthc.</w:t>
      </w:r>
    </w:p>
    <w:p w14:paraId="4C82EF47"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color w:val="212121"/>
          <w:kern w:val="2"/>
          <w:sz w:val="24"/>
          <w:szCs w:val="24"/>
          <w:shd w:val="clear" w:color="auto" w:fill="FFFFFF"/>
          <w14:ligatures w14:val="standardContextual"/>
        </w:rPr>
        <w:t>Mercer C. Medical students call for more education on climate change. CMAJ. 2019 Mar 11;191(10</w:t>
      </w:r>
      <w:proofErr w:type="gramStart"/>
      <w:r w:rsidRPr="00D8283E">
        <w:rPr>
          <w:rFonts w:ascii="Times New Roman" w:hAnsi="Times New Roman" w:cs="Times New Roman"/>
          <w:color w:val="212121"/>
          <w:kern w:val="2"/>
          <w:sz w:val="24"/>
          <w:szCs w:val="24"/>
          <w:shd w:val="clear" w:color="auto" w:fill="FFFFFF"/>
          <w14:ligatures w14:val="standardContextual"/>
        </w:rPr>
        <w:t>):E</w:t>
      </w:r>
      <w:proofErr w:type="gramEnd"/>
      <w:r w:rsidRPr="00D8283E">
        <w:rPr>
          <w:rFonts w:ascii="Times New Roman" w:hAnsi="Times New Roman" w:cs="Times New Roman"/>
          <w:color w:val="212121"/>
          <w:kern w:val="2"/>
          <w:sz w:val="24"/>
          <w:szCs w:val="24"/>
          <w:shd w:val="clear" w:color="auto" w:fill="FFFFFF"/>
          <w14:ligatures w14:val="standardContextual"/>
        </w:rPr>
        <w:t xml:space="preserve">291-E292. </w:t>
      </w:r>
      <w:proofErr w:type="spellStart"/>
      <w:r w:rsidRPr="00D8283E">
        <w:rPr>
          <w:rFonts w:ascii="Times New Roman" w:hAnsi="Times New Roman" w:cs="Times New Roman"/>
          <w:color w:val="212121"/>
          <w:kern w:val="2"/>
          <w:sz w:val="24"/>
          <w:szCs w:val="24"/>
          <w:shd w:val="clear" w:color="auto" w:fill="FFFFFF"/>
          <w14:ligatures w14:val="standardContextual"/>
        </w:rPr>
        <w:t>doi</w:t>
      </w:r>
      <w:proofErr w:type="spellEnd"/>
      <w:r w:rsidRPr="00D8283E">
        <w:rPr>
          <w:rFonts w:ascii="Times New Roman" w:hAnsi="Times New Roman" w:cs="Times New Roman"/>
          <w:color w:val="212121"/>
          <w:kern w:val="2"/>
          <w:sz w:val="24"/>
          <w:szCs w:val="24"/>
          <w:shd w:val="clear" w:color="auto" w:fill="FFFFFF"/>
          <w14:ligatures w14:val="standardContextual"/>
        </w:rPr>
        <w:t>: 10.1503/cmaj.109-5717. PMID: 30858188; PMCID:</w:t>
      </w:r>
      <w:r w:rsidRPr="00D8283E">
        <w:rPr>
          <w:rFonts w:ascii="Segoe UI" w:hAnsi="Segoe UI" w:cs="Segoe UI"/>
          <w:color w:val="212121"/>
          <w:kern w:val="2"/>
          <w:sz w:val="24"/>
          <w:szCs w:val="24"/>
          <w:shd w:val="clear" w:color="auto" w:fill="FFFFFF"/>
          <w14:ligatures w14:val="standardContextual"/>
        </w:rPr>
        <w:t xml:space="preserve"> PMC6411469.</w:t>
      </w:r>
      <w:r w:rsidRPr="00D8283E">
        <w:rPr>
          <w:rFonts w:ascii="Times New Roman" w:hAnsi="Times New Roman" w:cs="Times New Roman"/>
          <w:kern w:val="2"/>
          <w:sz w:val="24"/>
          <w:szCs w:val="24"/>
          <w14:ligatures w14:val="standardContextual"/>
        </w:rPr>
        <w:t xml:space="preserve">Miracle M, Weber K, </w:t>
      </w:r>
      <w:proofErr w:type="spellStart"/>
      <w:r w:rsidRPr="00D8283E">
        <w:rPr>
          <w:rFonts w:ascii="Times New Roman" w:hAnsi="Times New Roman" w:cs="Times New Roman"/>
          <w:kern w:val="2"/>
          <w:sz w:val="24"/>
          <w:szCs w:val="24"/>
          <w14:ligatures w14:val="standardContextual"/>
        </w:rPr>
        <w:t>Chekuri</w:t>
      </w:r>
      <w:proofErr w:type="spellEnd"/>
      <w:r w:rsidRPr="00D8283E">
        <w:rPr>
          <w:rFonts w:ascii="Times New Roman" w:hAnsi="Times New Roman" w:cs="Times New Roman"/>
          <w:kern w:val="2"/>
          <w:sz w:val="24"/>
          <w:szCs w:val="24"/>
          <w14:ligatures w14:val="standardContextual"/>
        </w:rPr>
        <w:t xml:space="preserve"> B. 2023. A sustainable small group experience at the Ohio State University College of Medicine. Academic Emergency Medicine. Conference: Society for Academic Emergency Medicine Annual Meeting, SAEM 2023 Austin TX, US. 30 (Supp-</w:t>
      </w:r>
      <w:proofErr w:type="spellStart"/>
      <w:r w:rsidRPr="00D8283E">
        <w:rPr>
          <w:rFonts w:ascii="Times New Roman" w:hAnsi="Times New Roman" w:cs="Times New Roman"/>
          <w:kern w:val="2"/>
          <w:sz w:val="24"/>
          <w:szCs w:val="24"/>
          <w14:ligatures w14:val="standardContextual"/>
        </w:rPr>
        <w:t>lement</w:t>
      </w:r>
      <w:proofErr w:type="spellEnd"/>
      <w:r w:rsidRPr="00D8283E">
        <w:rPr>
          <w:rFonts w:ascii="Times New Roman" w:hAnsi="Times New Roman" w:cs="Times New Roman"/>
          <w:kern w:val="2"/>
          <w:sz w:val="24"/>
          <w:szCs w:val="24"/>
          <w14:ligatures w14:val="standardContextual"/>
        </w:rPr>
        <w:t xml:space="preserve"> 1) (pp 399-400), 2023, Date of publication: May 2023</w:t>
      </w:r>
    </w:p>
    <w:p w14:paraId="56225DE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Mitchell EM, </w:t>
      </w:r>
      <w:proofErr w:type="spellStart"/>
      <w:r w:rsidRPr="00D8283E">
        <w:rPr>
          <w:rFonts w:ascii="Times New Roman" w:eastAsia="Times New Roman" w:hAnsi="Times New Roman" w:cs="Times New Roman"/>
          <w:kern w:val="2"/>
          <w:sz w:val="24"/>
          <w:szCs w:val="24"/>
          <w:lang w:eastAsia="en-CA"/>
          <w14:ligatures w14:val="standardContextual"/>
        </w:rPr>
        <w:t>Ackard</w:t>
      </w:r>
      <w:proofErr w:type="spellEnd"/>
      <w:r w:rsidRPr="00D8283E">
        <w:rPr>
          <w:rFonts w:ascii="Times New Roman" w:eastAsia="Times New Roman" w:hAnsi="Times New Roman" w:cs="Times New Roman"/>
          <w:kern w:val="2"/>
          <w:sz w:val="24"/>
          <w:szCs w:val="24"/>
          <w:lang w:eastAsia="en-CA"/>
          <w14:ligatures w14:val="standardContextual"/>
        </w:rPr>
        <w:t xml:space="preserve"> R, Estrada MDM, Hodgson D, Thompson-</w:t>
      </w:r>
      <w:proofErr w:type="spellStart"/>
      <w:r w:rsidRPr="00D8283E">
        <w:rPr>
          <w:rFonts w:ascii="Times New Roman" w:eastAsia="Times New Roman" w:hAnsi="Times New Roman" w:cs="Times New Roman"/>
          <w:kern w:val="2"/>
          <w:sz w:val="24"/>
          <w:szCs w:val="24"/>
          <w:lang w:eastAsia="en-CA"/>
          <w14:ligatures w14:val="standardContextual"/>
        </w:rPr>
        <w:t>Heisterman</w:t>
      </w:r>
      <w:proofErr w:type="spellEnd"/>
      <w:r w:rsidRPr="00D8283E">
        <w:rPr>
          <w:rFonts w:ascii="Times New Roman" w:eastAsia="Times New Roman" w:hAnsi="Times New Roman" w:cs="Times New Roman"/>
          <w:kern w:val="2"/>
          <w:sz w:val="24"/>
          <w:szCs w:val="24"/>
          <w:lang w:eastAsia="en-CA"/>
          <w14:ligatures w14:val="standardContextual"/>
        </w:rPr>
        <w:t xml:space="preserve"> A, Bonilla ASA, et al. A partnership to develop disaster simulations for nursing students in response to climate change: description of a programme in </w:t>
      </w:r>
      <w:proofErr w:type="spellStart"/>
      <w:r w:rsidRPr="00D8283E">
        <w:rPr>
          <w:rFonts w:ascii="Times New Roman" w:eastAsia="Times New Roman" w:hAnsi="Times New Roman" w:cs="Times New Roman"/>
          <w:kern w:val="2"/>
          <w:sz w:val="24"/>
          <w:szCs w:val="24"/>
          <w:lang w:eastAsia="en-CA"/>
          <w14:ligatures w14:val="standardContextual"/>
        </w:rPr>
        <w:t>Bluefields</w:t>
      </w:r>
      <w:proofErr w:type="spellEnd"/>
      <w:r w:rsidRPr="00D8283E">
        <w:rPr>
          <w:rFonts w:ascii="Times New Roman" w:eastAsia="Times New Roman" w:hAnsi="Times New Roman" w:cs="Times New Roman"/>
          <w:kern w:val="2"/>
          <w:sz w:val="24"/>
          <w:szCs w:val="24"/>
          <w:lang w:eastAsia="en-CA"/>
          <w14:ligatures w14:val="standardContextual"/>
        </w:rPr>
        <w:t>, Nicaragua, and Virginia, USA. The Lancet Global Health [Internet]. 2020 Apr 1;</w:t>
      </w:r>
      <w:proofErr w:type="gramStart"/>
      <w:r w:rsidRPr="00D8283E">
        <w:rPr>
          <w:rFonts w:ascii="Times New Roman" w:eastAsia="Times New Roman" w:hAnsi="Times New Roman" w:cs="Times New Roman"/>
          <w:kern w:val="2"/>
          <w:sz w:val="24"/>
          <w:szCs w:val="24"/>
          <w:lang w:eastAsia="en-CA"/>
          <w14:ligatures w14:val="standardContextual"/>
        </w:rPr>
        <w:t>8:S</w:t>
      </w:r>
      <w:proofErr w:type="gramEnd"/>
      <w:r w:rsidRPr="00D8283E">
        <w:rPr>
          <w:rFonts w:ascii="Times New Roman" w:eastAsia="Times New Roman" w:hAnsi="Times New Roman" w:cs="Times New Roman"/>
          <w:kern w:val="2"/>
          <w:sz w:val="24"/>
          <w:szCs w:val="24"/>
          <w:lang w:eastAsia="en-CA"/>
          <w14:ligatures w14:val="standardContextual"/>
        </w:rPr>
        <w:t>45. Available from: https://doi.org/10.1016/s2214-109x(20)30186-8</w:t>
      </w:r>
    </w:p>
    <w:p w14:paraId="7F78F1A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Mixed methods research [Internet]. Office of Behavioral and Social Sciences Research. Available from: http://obssr.od.nih.gov/mixed_methods_research/</w:t>
      </w:r>
    </w:p>
    <w:p w14:paraId="5DDAACB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Mlambo M, </w:t>
      </w:r>
      <w:proofErr w:type="spellStart"/>
      <w:r w:rsidRPr="00D8283E">
        <w:rPr>
          <w:rFonts w:ascii="Times New Roman" w:eastAsia="Times New Roman" w:hAnsi="Times New Roman" w:cs="Times New Roman"/>
          <w:kern w:val="2"/>
          <w:sz w:val="24"/>
          <w:szCs w:val="24"/>
          <w:lang w:eastAsia="en-CA"/>
          <w14:ligatures w14:val="standardContextual"/>
        </w:rPr>
        <w:t>Silén</w:t>
      </w:r>
      <w:proofErr w:type="spellEnd"/>
      <w:r w:rsidRPr="00D8283E">
        <w:rPr>
          <w:rFonts w:ascii="Times New Roman" w:eastAsia="Times New Roman" w:hAnsi="Times New Roman" w:cs="Times New Roman"/>
          <w:kern w:val="2"/>
          <w:sz w:val="24"/>
          <w:szCs w:val="24"/>
          <w:lang w:eastAsia="en-CA"/>
          <w14:ligatures w14:val="standardContextual"/>
        </w:rPr>
        <w:t xml:space="preserve"> C, McGrath C. Lifelong learning and nurses’ continuing professional development, a </w:t>
      </w:r>
      <w:proofErr w:type="spellStart"/>
      <w:r w:rsidRPr="00D8283E">
        <w:rPr>
          <w:rFonts w:ascii="Times New Roman" w:eastAsia="Times New Roman" w:hAnsi="Times New Roman" w:cs="Times New Roman"/>
          <w:kern w:val="2"/>
          <w:sz w:val="24"/>
          <w:szCs w:val="24"/>
          <w:lang w:eastAsia="en-CA"/>
          <w14:ligatures w14:val="standardContextual"/>
        </w:rPr>
        <w:t>metasynthesis</w:t>
      </w:r>
      <w:proofErr w:type="spellEnd"/>
      <w:r w:rsidRPr="00D8283E">
        <w:rPr>
          <w:rFonts w:ascii="Times New Roman" w:eastAsia="Times New Roman" w:hAnsi="Times New Roman" w:cs="Times New Roman"/>
          <w:kern w:val="2"/>
          <w:sz w:val="24"/>
          <w:szCs w:val="24"/>
          <w:lang w:eastAsia="en-CA"/>
          <w14:ligatures w14:val="standardContextual"/>
        </w:rPr>
        <w:t xml:space="preserve"> of the literature. BMC Nursing [Internet]. 2021 Apr 14;20(1). Available from: https://doi.org/10.1186/s12912-021-00579-2</w:t>
      </w:r>
    </w:p>
    <w:p w14:paraId="2920D2CE" w14:textId="77777777" w:rsidR="00D8283E" w:rsidRPr="00D8283E" w:rsidRDefault="00D8283E" w:rsidP="00D8283E">
      <w:pPr>
        <w:spacing w:line="360" w:lineRule="auto"/>
        <w:ind w:firstLine="720"/>
        <w:rPr>
          <w:rFonts w:ascii="Times New Roman" w:hAnsi="Times New Roman" w:cs="Times New Roman"/>
          <w:kern w:val="2"/>
          <w:sz w:val="24"/>
          <w:szCs w:val="24"/>
          <w:shd w:val="clear" w:color="auto" w:fill="FFFFFF"/>
          <w14:ligatures w14:val="standardContextual"/>
        </w:rPr>
      </w:pPr>
      <w:proofErr w:type="spellStart"/>
      <w:r w:rsidRPr="00D8283E">
        <w:rPr>
          <w:rFonts w:ascii="Times New Roman" w:hAnsi="Times New Roman" w:cs="Times New Roman"/>
          <w:color w:val="222222"/>
          <w:kern w:val="2"/>
          <w:sz w:val="24"/>
          <w:szCs w:val="24"/>
          <w:shd w:val="clear" w:color="auto" w:fill="FFFFFF"/>
          <w14:ligatures w14:val="standardContextual"/>
        </w:rPr>
        <w:t>Modaresi</w:t>
      </w:r>
      <w:proofErr w:type="spellEnd"/>
      <w:r w:rsidRPr="00D8283E">
        <w:rPr>
          <w:rFonts w:ascii="Times New Roman" w:hAnsi="Times New Roman" w:cs="Times New Roman"/>
          <w:color w:val="222222"/>
          <w:kern w:val="2"/>
          <w:sz w:val="24"/>
          <w:szCs w:val="24"/>
          <w:shd w:val="clear" w:color="auto" w:fill="FFFFFF"/>
          <w14:ligatures w14:val="standardContextual"/>
        </w:rPr>
        <w:t xml:space="preserve"> Rad, A., </w:t>
      </w:r>
      <w:proofErr w:type="spellStart"/>
      <w:r w:rsidRPr="00D8283E">
        <w:rPr>
          <w:rFonts w:ascii="Times New Roman" w:hAnsi="Times New Roman" w:cs="Times New Roman"/>
          <w:color w:val="222222"/>
          <w:kern w:val="2"/>
          <w:sz w:val="24"/>
          <w:szCs w:val="24"/>
          <w:shd w:val="clear" w:color="auto" w:fill="FFFFFF"/>
          <w14:ligatures w14:val="standardContextual"/>
        </w:rPr>
        <w:t>Abatzoglou</w:t>
      </w:r>
      <w:proofErr w:type="spellEnd"/>
      <w:r w:rsidRPr="00D8283E">
        <w:rPr>
          <w:rFonts w:ascii="Times New Roman" w:hAnsi="Times New Roman" w:cs="Times New Roman"/>
          <w:color w:val="222222"/>
          <w:kern w:val="2"/>
          <w:sz w:val="24"/>
          <w:szCs w:val="24"/>
          <w:shd w:val="clear" w:color="auto" w:fill="FFFFFF"/>
          <w14:ligatures w14:val="standardContextual"/>
        </w:rPr>
        <w:t xml:space="preserve">, J.T., </w:t>
      </w:r>
      <w:proofErr w:type="spellStart"/>
      <w:r w:rsidRPr="00D8283E">
        <w:rPr>
          <w:rFonts w:ascii="Times New Roman" w:hAnsi="Times New Roman" w:cs="Times New Roman"/>
          <w:color w:val="222222"/>
          <w:kern w:val="2"/>
          <w:sz w:val="24"/>
          <w:szCs w:val="24"/>
          <w:shd w:val="clear" w:color="auto" w:fill="FFFFFF"/>
          <w14:ligatures w14:val="standardContextual"/>
        </w:rPr>
        <w:t>Kreitler</w:t>
      </w:r>
      <w:proofErr w:type="spellEnd"/>
      <w:r w:rsidRPr="00D8283E">
        <w:rPr>
          <w:rFonts w:ascii="Times New Roman" w:hAnsi="Times New Roman" w:cs="Times New Roman"/>
          <w:color w:val="222222"/>
          <w:kern w:val="2"/>
          <w:sz w:val="24"/>
          <w:szCs w:val="24"/>
          <w:shd w:val="clear" w:color="auto" w:fill="FFFFFF"/>
          <w14:ligatures w14:val="standardContextual"/>
        </w:rPr>
        <w:t>, J. </w:t>
      </w:r>
      <w:r w:rsidRPr="00D8283E">
        <w:rPr>
          <w:rFonts w:ascii="Times New Roman" w:hAnsi="Times New Roman" w:cs="Times New Roman"/>
          <w:i/>
          <w:iCs/>
          <w:color w:val="222222"/>
          <w:kern w:val="2"/>
          <w:sz w:val="24"/>
          <w:szCs w:val="24"/>
          <w:shd w:val="clear" w:color="auto" w:fill="FFFFFF"/>
          <w14:ligatures w14:val="standardContextual"/>
        </w:rPr>
        <w:t>et al.</w:t>
      </w:r>
      <w:r w:rsidRPr="00D8283E">
        <w:rPr>
          <w:rFonts w:ascii="Times New Roman" w:hAnsi="Times New Roman" w:cs="Times New Roman"/>
          <w:color w:val="222222"/>
          <w:kern w:val="2"/>
          <w:sz w:val="24"/>
          <w:szCs w:val="24"/>
          <w:shd w:val="clear" w:color="auto" w:fill="FFFFFF"/>
          <w14:ligatures w14:val="standardContextual"/>
        </w:rPr>
        <w:t xml:space="preserve"> Human and infrastructure exposure to large </w:t>
      </w:r>
      <w:r w:rsidRPr="00D8283E">
        <w:rPr>
          <w:rFonts w:ascii="Times New Roman" w:hAnsi="Times New Roman" w:cs="Times New Roman"/>
          <w:kern w:val="2"/>
          <w:sz w:val="24"/>
          <w:szCs w:val="24"/>
          <w:shd w:val="clear" w:color="auto" w:fill="FFFFFF"/>
          <w14:ligatures w14:val="standardContextual"/>
        </w:rPr>
        <w:t>wildfires in the United States. </w:t>
      </w:r>
      <w:r w:rsidRPr="00D8283E">
        <w:rPr>
          <w:rFonts w:ascii="Times New Roman" w:hAnsi="Times New Roman" w:cs="Times New Roman"/>
          <w:i/>
          <w:iCs/>
          <w:kern w:val="2"/>
          <w:sz w:val="24"/>
          <w:szCs w:val="24"/>
          <w:shd w:val="clear" w:color="auto" w:fill="FFFFFF"/>
          <w14:ligatures w14:val="standardContextual"/>
        </w:rPr>
        <w:t>Nat Sustain</w:t>
      </w:r>
      <w:r w:rsidRPr="00D8283E">
        <w:rPr>
          <w:rFonts w:ascii="Times New Roman" w:hAnsi="Times New Roman" w:cs="Times New Roman"/>
          <w:kern w:val="2"/>
          <w:sz w:val="24"/>
          <w:szCs w:val="24"/>
          <w:shd w:val="clear" w:color="auto" w:fill="FFFFFF"/>
          <w14:ligatures w14:val="standardContextual"/>
        </w:rPr>
        <w:t> (2023). https://doi.org/10.1038/s41893-023-01163-z</w:t>
      </w:r>
    </w:p>
    <w:p w14:paraId="6B43F902" w14:textId="35A9EC97"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Monroe, M.C., Plate, R.R., </w:t>
      </w:r>
      <w:proofErr w:type="spellStart"/>
      <w:r w:rsidRPr="00D8283E">
        <w:rPr>
          <w:rFonts w:ascii="Times New Roman" w:eastAsia="Times New Roman" w:hAnsi="Times New Roman" w:cs="Times New Roman"/>
          <w:kern w:val="2"/>
          <w:sz w:val="24"/>
          <w:szCs w:val="24"/>
          <w:lang w:eastAsia="en-CA"/>
          <w14:ligatures w14:val="standardContextual"/>
        </w:rPr>
        <w:t>Oxarart</w:t>
      </w:r>
      <w:proofErr w:type="spellEnd"/>
      <w:r w:rsidRPr="00D8283E">
        <w:rPr>
          <w:rFonts w:ascii="Times New Roman" w:eastAsia="Times New Roman" w:hAnsi="Times New Roman" w:cs="Times New Roman"/>
          <w:kern w:val="2"/>
          <w:sz w:val="24"/>
          <w:szCs w:val="24"/>
          <w:lang w:eastAsia="en-CA"/>
          <w14:ligatures w14:val="standardContextual"/>
        </w:rPr>
        <w:t xml:space="preserve">, A., Bowers, A. and </w:t>
      </w:r>
      <w:proofErr w:type="spellStart"/>
      <w:r w:rsidRPr="00D8283E">
        <w:rPr>
          <w:rFonts w:ascii="Times New Roman" w:eastAsia="Times New Roman" w:hAnsi="Times New Roman" w:cs="Times New Roman"/>
          <w:kern w:val="2"/>
          <w:sz w:val="24"/>
          <w:szCs w:val="24"/>
          <w:lang w:eastAsia="en-CA"/>
          <w14:ligatures w14:val="standardContextual"/>
        </w:rPr>
        <w:t>Chaves</w:t>
      </w:r>
      <w:proofErr w:type="spellEnd"/>
      <w:r w:rsidRPr="00D8283E">
        <w:rPr>
          <w:rFonts w:ascii="Times New Roman" w:eastAsia="Times New Roman" w:hAnsi="Times New Roman" w:cs="Times New Roman"/>
          <w:kern w:val="2"/>
          <w:sz w:val="24"/>
          <w:szCs w:val="24"/>
          <w:lang w:eastAsia="en-CA"/>
          <w14:ligatures w14:val="standardContextual"/>
        </w:rPr>
        <w:t xml:space="preserve">, W.A. (2019) ‘Identifying effective climate change education strategies: a systematic review of the research’, </w:t>
      </w:r>
      <w:r w:rsidRPr="00D8283E">
        <w:rPr>
          <w:rFonts w:ascii="Times New Roman" w:eastAsia="Times New Roman" w:hAnsi="Times New Roman" w:cs="Times New Roman"/>
          <w:i/>
          <w:iCs/>
          <w:kern w:val="2"/>
          <w:sz w:val="24"/>
          <w:szCs w:val="24"/>
          <w:lang w:eastAsia="en-CA"/>
          <w14:ligatures w14:val="standardContextual"/>
        </w:rPr>
        <w:t>Environmental Education Research</w:t>
      </w:r>
      <w:r w:rsidRPr="00D8283E">
        <w:rPr>
          <w:rFonts w:ascii="Times New Roman" w:eastAsia="Times New Roman" w:hAnsi="Times New Roman" w:cs="Times New Roman"/>
          <w:kern w:val="2"/>
          <w:sz w:val="24"/>
          <w:szCs w:val="24"/>
          <w:lang w:eastAsia="en-CA"/>
          <w14:ligatures w14:val="standardContextual"/>
        </w:rPr>
        <w:t xml:space="preserve">, 25(6), pp. 791–812. </w:t>
      </w:r>
      <w:hyperlink r:id="rId46"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https://doi.org/10.1080/13504622.2017.1360842</w:t>
        </w:r>
      </w:hyperlink>
    </w:p>
    <w:p w14:paraId="482F5341" w14:textId="5E6620CE"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1D624A">
        <w:rPr>
          <w:rFonts w:ascii="Times New Roman" w:eastAsia="Times New Roman" w:hAnsi="Times New Roman" w:cs="Times New Roman"/>
          <w:kern w:val="2"/>
          <w:sz w:val="24"/>
          <w:szCs w:val="24"/>
          <w:lang w:eastAsia="en-CA"/>
          <w14:ligatures w14:val="standardContextual"/>
        </w:rPr>
        <w:lastRenderedPageBreak/>
        <w:t>Mosadeghrad</w:t>
      </w:r>
      <w:proofErr w:type="spellEnd"/>
      <w:r w:rsidRPr="001D624A">
        <w:rPr>
          <w:rFonts w:ascii="Times New Roman" w:eastAsia="Times New Roman" w:hAnsi="Times New Roman" w:cs="Times New Roman"/>
          <w:kern w:val="2"/>
          <w:sz w:val="24"/>
          <w:szCs w:val="24"/>
          <w:lang w:eastAsia="en-CA"/>
          <w14:ligatures w14:val="standardContextual"/>
        </w:rPr>
        <w:t xml:space="preserve">, A.M., </w:t>
      </w:r>
      <w:proofErr w:type="spellStart"/>
      <w:r w:rsidRPr="001D624A">
        <w:rPr>
          <w:rFonts w:ascii="Times New Roman" w:eastAsia="Times New Roman" w:hAnsi="Times New Roman" w:cs="Times New Roman"/>
          <w:kern w:val="2"/>
          <w:sz w:val="24"/>
          <w:szCs w:val="24"/>
          <w:lang w:eastAsia="en-CA"/>
          <w14:ligatures w14:val="standardContextual"/>
        </w:rPr>
        <w:t>Afshari</w:t>
      </w:r>
      <w:proofErr w:type="spellEnd"/>
      <w:r w:rsidRPr="001D624A">
        <w:rPr>
          <w:rFonts w:ascii="Times New Roman" w:eastAsia="Times New Roman" w:hAnsi="Times New Roman" w:cs="Times New Roman"/>
          <w:kern w:val="2"/>
          <w:sz w:val="24"/>
          <w:szCs w:val="24"/>
          <w:lang w:eastAsia="en-CA"/>
          <w14:ligatures w14:val="standardContextual"/>
        </w:rPr>
        <w:t xml:space="preserve">, M., </w:t>
      </w:r>
      <w:proofErr w:type="spellStart"/>
      <w:r w:rsidRPr="001D624A">
        <w:rPr>
          <w:rFonts w:ascii="Times New Roman" w:eastAsia="Times New Roman" w:hAnsi="Times New Roman" w:cs="Times New Roman"/>
          <w:kern w:val="2"/>
          <w:sz w:val="24"/>
          <w:szCs w:val="24"/>
          <w:lang w:eastAsia="en-CA"/>
          <w14:ligatures w14:val="standardContextual"/>
        </w:rPr>
        <w:t>Dehnavi</w:t>
      </w:r>
      <w:proofErr w:type="spellEnd"/>
      <w:r w:rsidRPr="001D624A">
        <w:rPr>
          <w:rFonts w:ascii="Times New Roman" w:eastAsia="Times New Roman" w:hAnsi="Times New Roman" w:cs="Times New Roman"/>
          <w:kern w:val="2"/>
          <w:sz w:val="24"/>
          <w:szCs w:val="24"/>
          <w:lang w:eastAsia="en-CA"/>
          <w14:ligatures w14:val="standardContextual"/>
        </w:rPr>
        <w:t>, H. </w:t>
      </w:r>
      <w:r w:rsidRPr="001D624A">
        <w:rPr>
          <w:rFonts w:ascii="Times New Roman" w:eastAsia="Times New Roman" w:hAnsi="Times New Roman" w:cs="Times New Roman"/>
          <w:i/>
          <w:iCs/>
          <w:kern w:val="2"/>
          <w:sz w:val="24"/>
          <w:szCs w:val="24"/>
          <w:lang w:eastAsia="en-CA"/>
          <w14:ligatures w14:val="standardContextual"/>
        </w:rPr>
        <w:t>et al.</w:t>
      </w:r>
      <w:r w:rsidRPr="001D624A">
        <w:rPr>
          <w:rFonts w:ascii="Times New Roman" w:eastAsia="Times New Roman" w:hAnsi="Times New Roman" w:cs="Times New Roman"/>
          <w:kern w:val="2"/>
          <w:sz w:val="24"/>
          <w:szCs w:val="24"/>
          <w:lang w:eastAsia="en-CA"/>
          <w14:ligatures w14:val="standardContextual"/>
        </w:rPr>
        <w:t> Strategic analysis of Iran’s climate resilient health system. </w:t>
      </w:r>
      <w:r w:rsidRPr="001D624A">
        <w:rPr>
          <w:rFonts w:ascii="Times New Roman" w:eastAsia="Times New Roman" w:hAnsi="Times New Roman" w:cs="Times New Roman"/>
          <w:i/>
          <w:iCs/>
          <w:kern w:val="2"/>
          <w:sz w:val="24"/>
          <w:szCs w:val="24"/>
          <w:lang w:eastAsia="en-CA"/>
          <w14:ligatures w14:val="standardContextual"/>
        </w:rPr>
        <w:t>BMC Health Serv Res</w:t>
      </w:r>
      <w:r w:rsidRPr="001D624A">
        <w:rPr>
          <w:rFonts w:ascii="Times New Roman" w:eastAsia="Times New Roman" w:hAnsi="Times New Roman" w:cs="Times New Roman"/>
          <w:kern w:val="2"/>
          <w:sz w:val="24"/>
          <w:szCs w:val="24"/>
          <w:lang w:eastAsia="en-CA"/>
          <w14:ligatures w14:val="standardContextual"/>
        </w:rPr>
        <w:t> </w:t>
      </w:r>
      <w:r w:rsidRPr="001D624A">
        <w:rPr>
          <w:rFonts w:ascii="Times New Roman" w:eastAsia="Times New Roman" w:hAnsi="Times New Roman" w:cs="Times New Roman"/>
          <w:b/>
          <w:bCs/>
          <w:kern w:val="2"/>
          <w:sz w:val="24"/>
          <w:szCs w:val="24"/>
          <w:lang w:eastAsia="en-CA"/>
          <w14:ligatures w14:val="standardContextual"/>
        </w:rPr>
        <w:t>24</w:t>
      </w:r>
      <w:r w:rsidRPr="001D624A">
        <w:rPr>
          <w:rFonts w:ascii="Times New Roman" w:eastAsia="Times New Roman" w:hAnsi="Times New Roman" w:cs="Times New Roman"/>
          <w:kern w:val="2"/>
          <w:sz w:val="24"/>
          <w:szCs w:val="24"/>
          <w:lang w:eastAsia="en-CA"/>
          <w14:ligatures w14:val="standardContextual"/>
        </w:rPr>
        <w:t>, 1149 (2024). https://doi.org/10.1186/s12913-024-11621-9</w:t>
      </w:r>
    </w:p>
    <w:p w14:paraId="29B4A93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Mounier</w:t>
      </w:r>
      <w:proofErr w:type="spellEnd"/>
      <w:r w:rsidRPr="00D8283E">
        <w:rPr>
          <w:rFonts w:ascii="Times New Roman" w:eastAsia="Times New Roman" w:hAnsi="Times New Roman" w:cs="Times New Roman"/>
          <w:kern w:val="2"/>
          <w:sz w:val="24"/>
          <w:szCs w:val="24"/>
          <w:lang w:eastAsia="en-CA"/>
          <w14:ligatures w14:val="standardContextual"/>
        </w:rPr>
        <w:t xml:space="preserve">-Jack, S., Mayhew, S.H. and Mays, N. (2017) ‘Integrated care: learning between high-income, and low- and middle-income country health systems’, </w:t>
      </w:r>
      <w:r w:rsidRPr="00D8283E">
        <w:rPr>
          <w:rFonts w:ascii="Times New Roman" w:eastAsia="Times New Roman" w:hAnsi="Times New Roman" w:cs="Times New Roman"/>
          <w:i/>
          <w:iCs/>
          <w:kern w:val="2"/>
          <w:sz w:val="24"/>
          <w:szCs w:val="24"/>
          <w:lang w:eastAsia="en-CA"/>
          <w14:ligatures w14:val="standardContextual"/>
        </w:rPr>
        <w:t>Health Policy and Planning</w:t>
      </w:r>
      <w:r w:rsidRPr="00D8283E">
        <w:rPr>
          <w:rFonts w:ascii="Times New Roman" w:eastAsia="Times New Roman" w:hAnsi="Times New Roman" w:cs="Times New Roman"/>
          <w:kern w:val="2"/>
          <w:sz w:val="24"/>
          <w:szCs w:val="24"/>
          <w:lang w:eastAsia="en-CA"/>
          <w14:ligatures w14:val="standardContextual"/>
        </w:rPr>
        <w:t>, 32(Suppl. 4), pp. iv6–iv12. https://doi.org/10.1093/heapol/czx039</w:t>
      </w:r>
    </w:p>
    <w:p w14:paraId="12CC03E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Mukhalalati</w:t>
      </w:r>
      <w:proofErr w:type="spellEnd"/>
      <w:r w:rsidRPr="00D8283E">
        <w:rPr>
          <w:rFonts w:ascii="Times New Roman" w:eastAsia="Times New Roman" w:hAnsi="Times New Roman" w:cs="Times New Roman"/>
          <w:kern w:val="2"/>
          <w:sz w:val="24"/>
          <w:szCs w:val="24"/>
          <w:lang w:eastAsia="en-CA"/>
          <w14:ligatures w14:val="standardContextual"/>
        </w:rPr>
        <w:t xml:space="preserve"> BA, Taylor A. Adult Learning Theories in Context: A quick guide for healthcare professional educators. Journal of Medical Education and Curricular Development [Internet]. 2019 Jan </w:t>
      </w:r>
      <w:proofErr w:type="gramStart"/>
      <w:r w:rsidRPr="00D8283E">
        <w:rPr>
          <w:rFonts w:ascii="Times New Roman" w:eastAsia="Times New Roman" w:hAnsi="Times New Roman" w:cs="Times New Roman"/>
          <w:kern w:val="2"/>
          <w:sz w:val="24"/>
          <w:szCs w:val="24"/>
          <w:lang w:eastAsia="en-CA"/>
          <w14:ligatures w14:val="standardContextual"/>
        </w:rPr>
        <w:t>1;6:238212051984033</w:t>
      </w:r>
      <w:proofErr w:type="gramEnd"/>
      <w:r w:rsidRPr="00D8283E">
        <w:rPr>
          <w:rFonts w:ascii="Times New Roman" w:eastAsia="Times New Roman" w:hAnsi="Times New Roman" w:cs="Times New Roman"/>
          <w:kern w:val="2"/>
          <w:sz w:val="24"/>
          <w:szCs w:val="24"/>
          <w:lang w:eastAsia="en-CA"/>
          <w14:ligatures w14:val="standardContextual"/>
        </w:rPr>
        <w:t>. Available from: https://doi.org/10.1177/2382120519840332</w:t>
      </w:r>
    </w:p>
    <w:p w14:paraId="37BDE6B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Müller L, </w:t>
      </w:r>
      <w:proofErr w:type="spellStart"/>
      <w:r w:rsidRPr="00D8283E">
        <w:rPr>
          <w:rFonts w:ascii="Times New Roman" w:eastAsia="Times New Roman" w:hAnsi="Times New Roman" w:cs="Times New Roman"/>
          <w:kern w:val="2"/>
          <w:sz w:val="24"/>
          <w:szCs w:val="24"/>
          <w:lang w:eastAsia="en-CA"/>
          <w14:ligatures w14:val="standardContextual"/>
        </w:rPr>
        <w:t>Kühl</w:t>
      </w:r>
      <w:proofErr w:type="spellEnd"/>
      <w:r w:rsidRPr="00D8283E">
        <w:rPr>
          <w:rFonts w:ascii="Times New Roman" w:eastAsia="Times New Roman" w:hAnsi="Times New Roman" w:cs="Times New Roman"/>
          <w:kern w:val="2"/>
          <w:sz w:val="24"/>
          <w:szCs w:val="24"/>
          <w:lang w:eastAsia="en-CA"/>
          <w14:ligatures w14:val="standardContextual"/>
        </w:rPr>
        <w:t xml:space="preserve"> M, </w:t>
      </w:r>
      <w:proofErr w:type="spellStart"/>
      <w:r w:rsidRPr="00D8283E">
        <w:rPr>
          <w:rFonts w:ascii="Times New Roman" w:eastAsia="Times New Roman" w:hAnsi="Times New Roman" w:cs="Times New Roman"/>
          <w:kern w:val="2"/>
          <w:sz w:val="24"/>
          <w:szCs w:val="24"/>
          <w:lang w:eastAsia="en-CA"/>
          <w14:ligatures w14:val="standardContextual"/>
        </w:rPr>
        <w:t>Kühl</w:t>
      </w:r>
      <w:proofErr w:type="spellEnd"/>
      <w:r w:rsidRPr="00D8283E">
        <w:rPr>
          <w:rFonts w:ascii="Times New Roman" w:eastAsia="Times New Roman" w:hAnsi="Times New Roman" w:cs="Times New Roman"/>
          <w:kern w:val="2"/>
          <w:sz w:val="24"/>
          <w:szCs w:val="24"/>
          <w:lang w:eastAsia="en-CA"/>
          <w14:ligatures w14:val="standardContextual"/>
        </w:rPr>
        <w:t xml:space="preserve"> SJ. Climate change and health: Changes in student environmental knowledge and awareness due to the implementation of a mandatory elective at the Medical Faculty of Ulm? PubMed [Internet]. 2023 Jan 1;40(3</w:t>
      </w:r>
      <w:proofErr w:type="gramStart"/>
      <w:r w:rsidRPr="00D8283E">
        <w:rPr>
          <w:rFonts w:ascii="Times New Roman" w:eastAsia="Times New Roman" w:hAnsi="Times New Roman" w:cs="Times New Roman"/>
          <w:kern w:val="2"/>
          <w:sz w:val="24"/>
          <w:szCs w:val="24"/>
          <w:lang w:eastAsia="en-CA"/>
          <w14:ligatures w14:val="standardContextual"/>
        </w:rPr>
        <w:t>):Doc</w:t>
      </w:r>
      <w:proofErr w:type="gramEnd"/>
      <w:r w:rsidRPr="00D8283E">
        <w:rPr>
          <w:rFonts w:ascii="Times New Roman" w:eastAsia="Times New Roman" w:hAnsi="Times New Roman" w:cs="Times New Roman"/>
          <w:kern w:val="2"/>
          <w:sz w:val="24"/>
          <w:szCs w:val="24"/>
          <w:lang w:eastAsia="en-CA"/>
          <w14:ligatures w14:val="standardContextual"/>
        </w:rPr>
        <w:t>32. Available from: https://pubmed.ncbi.nlm.nih.gov/37377568</w:t>
      </w:r>
    </w:p>
    <w:p w14:paraId="0B47FC3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National Academies Press (US). Biomedical model Definition [Internet]. Biomedical Models and Resources - NCBI Bookshelf. 1998. Available from: https://www.ncbi.nlm.nih.gov/books/NBK230283/</w:t>
      </w:r>
    </w:p>
    <w:p w14:paraId="63A4146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National Academies Press (US). Continuing professional development: Building and sustaining a quality workforce [Internet]. Redesigning Continuing Education in the Health Professions - NCBI Bookshelf. 2010. Available from: https://www.ncbi.nlm.nih.gov/books/NBK219809/</w:t>
      </w:r>
    </w:p>
    <w:p w14:paraId="28B0DE9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National Academies Press (US). Healthcare professionals [Internet]. Leadership Commitments to Improve Value in Healthcare - NCBI Bookshelf. 2009. Available from: https://www.ncbi.nlm.nih.gov/books/NBK52843/</w:t>
      </w:r>
    </w:p>
    <w:p w14:paraId="2457E86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Nguyen E, Aguilar H, </w:t>
      </w:r>
      <w:proofErr w:type="spellStart"/>
      <w:r w:rsidRPr="00D8283E">
        <w:rPr>
          <w:rFonts w:ascii="Times New Roman" w:eastAsia="Times New Roman" w:hAnsi="Times New Roman" w:cs="Times New Roman"/>
          <w:kern w:val="2"/>
          <w:sz w:val="24"/>
          <w:szCs w:val="24"/>
          <w:lang w:eastAsia="en-CA"/>
          <w14:ligatures w14:val="standardContextual"/>
        </w:rPr>
        <w:t>Khoshal</w:t>
      </w:r>
      <w:proofErr w:type="spellEnd"/>
      <w:r w:rsidRPr="00D8283E">
        <w:rPr>
          <w:rFonts w:ascii="Times New Roman" w:eastAsia="Times New Roman" w:hAnsi="Times New Roman" w:cs="Times New Roman"/>
          <w:kern w:val="2"/>
          <w:sz w:val="24"/>
          <w:szCs w:val="24"/>
          <w:lang w:eastAsia="en-CA"/>
          <w14:ligatures w14:val="standardContextual"/>
        </w:rPr>
        <w:t xml:space="preserve"> Y, MacDougall C, Gruenberg K. Characterisation of an elective course on climate change for health professional students. Pharmacy Education [Internet]. 2021 Jul </w:t>
      </w:r>
      <w:proofErr w:type="gramStart"/>
      <w:r w:rsidRPr="00D8283E">
        <w:rPr>
          <w:rFonts w:ascii="Times New Roman" w:eastAsia="Times New Roman" w:hAnsi="Times New Roman" w:cs="Times New Roman"/>
          <w:kern w:val="2"/>
          <w:sz w:val="24"/>
          <w:szCs w:val="24"/>
          <w:lang w:eastAsia="en-CA"/>
          <w14:ligatures w14:val="standardContextual"/>
        </w:rPr>
        <w:t>8;21:216</w:t>
      </w:r>
      <w:proofErr w:type="gramEnd"/>
      <w:r w:rsidRPr="00D8283E">
        <w:rPr>
          <w:rFonts w:ascii="Times New Roman" w:eastAsia="Times New Roman" w:hAnsi="Times New Roman" w:cs="Times New Roman"/>
          <w:kern w:val="2"/>
          <w:sz w:val="24"/>
          <w:szCs w:val="24"/>
          <w:lang w:eastAsia="en-CA"/>
          <w14:ligatures w14:val="standardContextual"/>
        </w:rPr>
        <w:t>–21. Available from: https://doi.org/10.46542/pe.2021.211.216221</w:t>
      </w:r>
    </w:p>
    <w:p w14:paraId="5B7C5F75" w14:textId="77777777" w:rsidR="00D8283E" w:rsidRPr="00D8283E" w:rsidRDefault="00D8283E" w:rsidP="00D8283E">
      <w:pPr>
        <w:keepNext/>
        <w:keepLines/>
        <w:shd w:val="clear" w:color="auto" w:fill="FFFFFF"/>
        <w:spacing w:before="120" w:after="120" w:line="360" w:lineRule="auto"/>
        <w:ind w:firstLine="720"/>
        <w:textAlignment w:val="baseline"/>
        <w:outlineLvl w:val="0"/>
        <w:rPr>
          <w:rFonts w:ascii="Times New Roman" w:eastAsiaTheme="majorEastAsia" w:hAnsi="Times New Roman" w:cs="Times New Roman"/>
          <w:color w:val="202A30"/>
          <w:kern w:val="2"/>
          <w14:ligatures w14:val="standardContextual"/>
        </w:rPr>
      </w:pPr>
      <w:bookmarkStart w:id="114" w:name="_Toc225927769"/>
      <w:bookmarkStart w:id="115" w:name="_Toc225928971"/>
      <w:bookmarkStart w:id="116" w:name="_Toc225937233"/>
      <w:r w:rsidRPr="00D8283E">
        <w:rPr>
          <w:rFonts w:ascii="Times New Roman" w:hAnsi="Times New Roman" w:cs="Times New Roman"/>
        </w:rPr>
        <w:lastRenderedPageBreak/>
        <w:t xml:space="preserve">NHS England (2020). Delivering a ‘Net Zero’ National Health Service. Obtained from </w:t>
      </w:r>
      <w:hyperlink r:id="rId47" w:history="1">
        <w:r w:rsidRPr="00D8283E">
          <w:rPr>
            <w:rFonts w:ascii="Times New Roman" w:hAnsi="Times New Roman" w:cs="Times New Roman"/>
          </w:rPr>
          <w:t>https://www.england.nhs.uk/greenernhs/publication/delivering-a-net-zero-national-health-service/</w:t>
        </w:r>
      </w:hyperlink>
      <w:r w:rsidRPr="00D8283E">
        <w:rPr>
          <w:rFonts w:ascii="Times New Roman" w:hAnsi="Times New Roman" w:cs="Times New Roman"/>
        </w:rPr>
        <w:t xml:space="preserve"> on August 21st, 2023</w:t>
      </w:r>
      <w:r w:rsidRPr="00D8283E">
        <w:rPr>
          <w:rFonts w:ascii="Times New Roman" w:eastAsiaTheme="majorEastAsia" w:hAnsi="Times New Roman" w:cs="Times New Roman"/>
          <w:color w:val="202A30"/>
          <w:kern w:val="2"/>
          <w14:ligatures w14:val="standardContextual"/>
        </w:rPr>
        <w:t>.</w:t>
      </w:r>
      <w:bookmarkEnd w:id="114"/>
      <w:bookmarkEnd w:id="115"/>
      <w:bookmarkEnd w:id="116"/>
      <w:r w:rsidRPr="00D8283E">
        <w:rPr>
          <w:rFonts w:ascii="Times New Roman" w:eastAsiaTheme="majorEastAsia" w:hAnsi="Times New Roman" w:cs="Times New Roman"/>
          <w:color w:val="202A30"/>
          <w:kern w:val="2"/>
          <w14:ligatures w14:val="standardContextual"/>
        </w:rPr>
        <w:t xml:space="preserve"> </w:t>
      </w:r>
    </w:p>
    <w:p w14:paraId="4D66FEBE" w14:textId="03924F4E"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Noar</w:t>
      </w:r>
      <w:proofErr w:type="spellEnd"/>
      <w:r w:rsidRPr="00D8283E">
        <w:rPr>
          <w:rFonts w:ascii="Times New Roman" w:eastAsia="Times New Roman" w:hAnsi="Times New Roman" w:cs="Times New Roman"/>
          <w:kern w:val="2"/>
          <w:sz w:val="24"/>
          <w:szCs w:val="24"/>
          <w:lang w:eastAsia="en-CA"/>
          <w14:ligatures w14:val="standardContextual"/>
        </w:rPr>
        <w:t xml:space="preserve"> AP, Jeffery HE, Ponniah HS, Jaffer U. The aims and effectiveness of communities of practice in healthcare: A systematic review. </w:t>
      </w:r>
      <w:proofErr w:type="spellStart"/>
      <w:r w:rsidRPr="00D8283E">
        <w:rPr>
          <w:rFonts w:ascii="Times New Roman" w:eastAsia="Times New Roman" w:hAnsi="Times New Roman" w:cs="Times New Roman"/>
          <w:kern w:val="2"/>
          <w:sz w:val="24"/>
          <w:szCs w:val="24"/>
          <w:lang w:eastAsia="en-CA"/>
          <w14:ligatures w14:val="standardContextual"/>
        </w:rPr>
        <w:t>PLoS</w:t>
      </w:r>
      <w:proofErr w:type="spellEnd"/>
      <w:r w:rsidRPr="00D8283E">
        <w:rPr>
          <w:rFonts w:ascii="Times New Roman" w:eastAsia="Times New Roman" w:hAnsi="Times New Roman" w:cs="Times New Roman"/>
          <w:kern w:val="2"/>
          <w:sz w:val="24"/>
          <w:szCs w:val="24"/>
          <w:lang w:eastAsia="en-CA"/>
          <w14:ligatures w14:val="standardContextual"/>
        </w:rPr>
        <w:t xml:space="preserve"> ONE [Internet]. 2023 Oct 10;18(10</w:t>
      </w:r>
      <w:proofErr w:type="gramStart"/>
      <w:r w:rsidRPr="00D8283E">
        <w:rPr>
          <w:rFonts w:ascii="Times New Roman" w:eastAsia="Times New Roman" w:hAnsi="Times New Roman" w:cs="Times New Roman"/>
          <w:kern w:val="2"/>
          <w:sz w:val="24"/>
          <w:szCs w:val="24"/>
          <w:lang w:eastAsia="en-CA"/>
          <w14:ligatures w14:val="standardContextual"/>
        </w:rPr>
        <w:t>):e</w:t>
      </w:r>
      <w:proofErr w:type="gramEnd"/>
      <w:r w:rsidRPr="00D8283E">
        <w:rPr>
          <w:rFonts w:ascii="Times New Roman" w:eastAsia="Times New Roman" w:hAnsi="Times New Roman" w:cs="Times New Roman"/>
          <w:kern w:val="2"/>
          <w:sz w:val="24"/>
          <w:szCs w:val="24"/>
          <w:lang w:eastAsia="en-CA"/>
          <w14:ligatures w14:val="standardContextual"/>
        </w:rPr>
        <w:t xml:space="preserve">0292343. Available from: </w:t>
      </w:r>
      <w:hyperlink r:id="rId48"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https://doi.org/10.1371/journal.pone.0292343</w:t>
        </w:r>
      </w:hyperlink>
    </w:p>
    <w:p w14:paraId="1A3FBEC3" w14:textId="5A826B1B"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1D624A">
        <w:rPr>
          <w:rFonts w:ascii="Times New Roman" w:eastAsia="Times New Roman" w:hAnsi="Times New Roman" w:cs="Times New Roman"/>
          <w:kern w:val="2"/>
          <w:sz w:val="24"/>
          <w:szCs w:val="24"/>
          <w:lang w:eastAsia="en-CA"/>
          <w14:ligatures w14:val="standardContextual"/>
        </w:rPr>
        <w:t>Oeberst</w:t>
      </w:r>
      <w:proofErr w:type="spellEnd"/>
      <w:r w:rsidRPr="001D624A">
        <w:rPr>
          <w:rFonts w:ascii="Times New Roman" w:eastAsia="Times New Roman" w:hAnsi="Times New Roman" w:cs="Times New Roman"/>
          <w:kern w:val="2"/>
          <w:sz w:val="24"/>
          <w:szCs w:val="24"/>
          <w:lang w:eastAsia="en-CA"/>
          <w14:ligatures w14:val="standardContextual"/>
        </w:rPr>
        <w:t xml:space="preserve">, A. and Imhoff, R., 2023. Toward parsimony in bias research: A proposed common framework of belief-consistent information processing for a set of biases. </w:t>
      </w:r>
      <w:r w:rsidRPr="001D624A">
        <w:rPr>
          <w:rFonts w:ascii="Times New Roman" w:eastAsia="Times New Roman" w:hAnsi="Times New Roman" w:cs="Times New Roman"/>
          <w:i/>
          <w:iCs/>
          <w:kern w:val="2"/>
          <w:sz w:val="24"/>
          <w:szCs w:val="24"/>
          <w:lang w:eastAsia="en-CA"/>
          <w14:ligatures w14:val="standardContextual"/>
        </w:rPr>
        <w:t>Perspectives on Psychological Science</w:t>
      </w:r>
      <w:r w:rsidRPr="001D624A">
        <w:rPr>
          <w:rFonts w:ascii="Times New Roman" w:eastAsia="Times New Roman" w:hAnsi="Times New Roman" w:cs="Times New Roman"/>
          <w:kern w:val="2"/>
          <w:sz w:val="24"/>
          <w:szCs w:val="24"/>
          <w:lang w:eastAsia="en-CA"/>
          <w14:ligatures w14:val="standardContextual"/>
        </w:rPr>
        <w:t>, 18(6), pp.1464–1487. Available from: https://doi.org/10.1177/17456916221148147</w:t>
      </w:r>
    </w:p>
    <w:p w14:paraId="0347A6C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Oliver K, </w:t>
      </w:r>
      <w:proofErr w:type="spellStart"/>
      <w:r w:rsidRPr="00D8283E">
        <w:rPr>
          <w:rFonts w:ascii="Times New Roman" w:eastAsia="Times New Roman" w:hAnsi="Times New Roman" w:cs="Times New Roman"/>
          <w:kern w:val="2"/>
          <w:sz w:val="24"/>
          <w:szCs w:val="24"/>
          <w:lang w:eastAsia="en-CA"/>
          <w14:ligatures w14:val="standardContextual"/>
        </w:rPr>
        <w:t>Innvar</w:t>
      </w:r>
      <w:proofErr w:type="spellEnd"/>
      <w:r w:rsidRPr="00D8283E">
        <w:rPr>
          <w:rFonts w:ascii="Times New Roman" w:eastAsia="Times New Roman" w:hAnsi="Times New Roman" w:cs="Times New Roman"/>
          <w:kern w:val="2"/>
          <w:sz w:val="24"/>
          <w:szCs w:val="24"/>
          <w:lang w:eastAsia="en-CA"/>
          <w14:ligatures w14:val="standardContextual"/>
        </w:rPr>
        <w:t xml:space="preserve"> S, </w:t>
      </w:r>
      <w:proofErr w:type="spellStart"/>
      <w:r w:rsidRPr="00D8283E">
        <w:rPr>
          <w:rFonts w:ascii="Times New Roman" w:eastAsia="Times New Roman" w:hAnsi="Times New Roman" w:cs="Times New Roman"/>
          <w:kern w:val="2"/>
          <w:sz w:val="24"/>
          <w:szCs w:val="24"/>
          <w:lang w:eastAsia="en-CA"/>
          <w14:ligatures w14:val="standardContextual"/>
        </w:rPr>
        <w:t>Lorenc</w:t>
      </w:r>
      <w:proofErr w:type="spellEnd"/>
      <w:r w:rsidRPr="00D8283E">
        <w:rPr>
          <w:rFonts w:ascii="Times New Roman" w:eastAsia="Times New Roman" w:hAnsi="Times New Roman" w:cs="Times New Roman"/>
          <w:kern w:val="2"/>
          <w:sz w:val="24"/>
          <w:szCs w:val="24"/>
          <w:lang w:eastAsia="en-CA"/>
          <w14:ligatures w14:val="standardContextual"/>
        </w:rPr>
        <w:t xml:space="preserve"> T, Woodman J, Thomas J. A systematic review of barriers to and facilitators of the use of evidence by policymakers. BMC Health Services Research [Internet]. 2014 Jan 3;14(1). Available from: https://doi.org/10.1186/1472-6963-14-2</w:t>
      </w:r>
    </w:p>
    <w:p w14:paraId="6ED6CFE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Olmos-Vega FM, </w:t>
      </w:r>
      <w:proofErr w:type="spellStart"/>
      <w:r w:rsidRPr="00D8283E">
        <w:rPr>
          <w:rFonts w:ascii="Times New Roman" w:eastAsia="Times New Roman" w:hAnsi="Times New Roman" w:cs="Times New Roman"/>
          <w:kern w:val="2"/>
          <w:sz w:val="24"/>
          <w:szCs w:val="24"/>
          <w:lang w:eastAsia="en-GB"/>
          <w14:ligatures w14:val="standardContextual"/>
        </w:rPr>
        <w:t>Stalmeijer</w:t>
      </w:r>
      <w:proofErr w:type="spellEnd"/>
      <w:r w:rsidRPr="00D8283E">
        <w:rPr>
          <w:rFonts w:ascii="Times New Roman" w:eastAsia="Times New Roman" w:hAnsi="Times New Roman" w:cs="Times New Roman"/>
          <w:kern w:val="2"/>
          <w:sz w:val="24"/>
          <w:szCs w:val="24"/>
          <w:lang w:eastAsia="en-GB"/>
          <w14:ligatures w14:val="standardContextual"/>
        </w:rPr>
        <w:t xml:space="preserve"> RE, </w:t>
      </w:r>
      <w:proofErr w:type="spellStart"/>
      <w:r w:rsidRPr="00D8283E">
        <w:rPr>
          <w:rFonts w:ascii="Times New Roman" w:eastAsia="Times New Roman" w:hAnsi="Times New Roman" w:cs="Times New Roman"/>
          <w:kern w:val="2"/>
          <w:sz w:val="24"/>
          <w:szCs w:val="24"/>
          <w:lang w:eastAsia="en-GB"/>
          <w14:ligatures w14:val="standardContextual"/>
        </w:rPr>
        <w:t>Varpio</w:t>
      </w:r>
      <w:proofErr w:type="spellEnd"/>
      <w:r w:rsidRPr="00D8283E">
        <w:rPr>
          <w:rFonts w:ascii="Times New Roman" w:eastAsia="Times New Roman" w:hAnsi="Times New Roman" w:cs="Times New Roman"/>
          <w:kern w:val="2"/>
          <w:sz w:val="24"/>
          <w:szCs w:val="24"/>
          <w:lang w:eastAsia="en-GB"/>
          <w14:ligatures w14:val="standardContextual"/>
        </w:rPr>
        <w:t xml:space="preserve"> L, </w:t>
      </w:r>
      <w:proofErr w:type="spellStart"/>
      <w:r w:rsidRPr="00D8283E">
        <w:rPr>
          <w:rFonts w:ascii="Times New Roman" w:eastAsia="Times New Roman" w:hAnsi="Times New Roman" w:cs="Times New Roman"/>
          <w:kern w:val="2"/>
          <w:sz w:val="24"/>
          <w:szCs w:val="24"/>
          <w:lang w:eastAsia="en-GB"/>
          <w14:ligatures w14:val="standardContextual"/>
        </w:rPr>
        <w:t>Kahlke</w:t>
      </w:r>
      <w:proofErr w:type="spellEnd"/>
      <w:r w:rsidRPr="00D8283E">
        <w:rPr>
          <w:rFonts w:ascii="Times New Roman" w:eastAsia="Times New Roman" w:hAnsi="Times New Roman" w:cs="Times New Roman"/>
          <w:kern w:val="2"/>
          <w:sz w:val="24"/>
          <w:szCs w:val="24"/>
          <w:lang w:eastAsia="en-GB"/>
          <w14:ligatures w14:val="standardContextual"/>
        </w:rPr>
        <w:t xml:space="preserve"> R. A practical guide to reflexivity in qualitative research: AMEE Guide No. 149. Medical Teacher [Internet]. 2022 Apr 7;45(3):241–51. Available from: https://doi.org/10.1080/0142159x.2022.2057287</w:t>
      </w:r>
    </w:p>
    <w:p w14:paraId="41F2AB0F"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Onwuegbuzie A, Leech N. Linking research questions to mixed Methods Data analysis Procedures 1. The Qualitative Report [Internet]. 2015 Jan 16; Available from: https://doi.org/10.46743/2160-3715/2006.1663</w:t>
      </w:r>
    </w:p>
    <w:p w14:paraId="15993CA3"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Ostyx</w:t>
      </w:r>
      <w:proofErr w:type="spellEnd"/>
      <w:r w:rsidRPr="00D8283E">
        <w:rPr>
          <w:rFonts w:ascii="Times New Roman" w:eastAsia="Times New Roman" w:hAnsi="Times New Roman" w:cs="Times New Roman"/>
          <w:kern w:val="2"/>
          <w:sz w:val="24"/>
          <w:szCs w:val="24"/>
          <w:lang w:eastAsia="en-GB"/>
          <w14:ligatures w14:val="standardContextual"/>
        </w:rPr>
        <w:t xml:space="preserve">. Health Community submission to the UNFCCC Global </w:t>
      </w:r>
      <w:proofErr w:type="spellStart"/>
      <w:r w:rsidRPr="00D8283E">
        <w:rPr>
          <w:rFonts w:ascii="Times New Roman" w:eastAsia="Times New Roman" w:hAnsi="Times New Roman" w:cs="Times New Roman"/>
          <w:kern w:val="2"/>
          <w:sz w:val="24"/>
          <w:szCs w:val="24"/>
          <w:lang w:eastAsia="en-GB"/>
          <w14:ligatures w14:val="standardContextual"/>
        </w:rPr>
        <w:t>Stocktake</w:t>
      </w:r>
      <w:proofErr w:type="spellEnd"/>
      <w:r w:rsidRPr="00D8283E">
        <w:rPr>
          <w:rFonts w:ascii="Times New Roman" w:eastAsia="Times New Roman" w:hAnsi="Times New Roman" w:cs="Times New Roman"/>
          <w:kern w:val="2"/>
          <w:sz w:val="24"/>
          <w:szCs w:val="24"/>
          <w:lang w:eastAsia="en-GB"/>
          <w14:ligatures w14:val="standardContextual"/>
        </w:rPr>
        <w:t xml:space="preserve"> - the Global Climate and Health Alliance [Internet]. The Global Climate and Health Alliance. 2023. Available from: https://climateandhealthalliance.org/news/health-community-submission-to-the-unfccc-global-stocktake/</w:t>
      </w:r>
    </w:p>
    <w:p w14:paraId="32B7F90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Otani T. Functions of qualitative research and significance of the interpretivist paradigm in medical and medical education research. DOAJ (DOAJ: Directory of Open Access Journals) [Internet]. 2020 Jan 1;6(4):91–2. Available from: https://doaj.org/article/1ca6f44e8af14b5caabe76b0ddb7bd59</w:t>
      </w:r>
    </w:p>
    <w:p w14:paraId="56DA5EA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Paavola J. Health impacts of climate change and health and social inequalities in the UK. Environmental Health [Internet]. 2017 Nov 1;16(S1). Available from: https://doi.org/10.1186/s12940-017-0328-z</w:t>
      </w:r>
    </w:p>
    <w:p w14:paraId="126D50C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 xml:space="preserve">Page MJ, McKenzie JE, </w:t>
      </w:r>
      <w:proofErr w:type="spellStart"/>
      <w:r w:rsidRPr="00D8283E">
        <w:rPr>
          <w:rFonts w:ascii="Times New Roman" w:eastAsia="Times New Roman" w:hAnsi="Times New Roman" w:cs="Times New Roman"/>
          <w:kern w:val="2"/>
          <w:sz w:val="24"/>
          <w:szCs w:val="24"/>
          <w:lang w:eastAsia="en-CA"/>
          <w14:ligatures w14:val="standardContextual"/>
        </w:rPr>
        <w:t>Bossuyt</w:t>
      </w:r>
      <w:proofErr w:type="spellEnd"/>
      <w:r w:rsidRPr="00D8283E">
        <w:rPr>
          <w:rFonts w:ascii="Times New Roman" w:eastAsia="Times New Roman" w:hAnsi="Times New Roman" w:cs="Times New Roman"/>
          <w:kern w:val="2"/>
          <w:sz w:val="24"/>
          <w:szCs w:val="24"/>
          <w:lang w:eastAsia="en-CA"/>
          <w14:ligatures w14:val="standardContextual"/>
        </w:rPr>
        <w:t xml:space="preserve"> PM, </w:t>
      </w:r>
      <w:proofErr w:type="spellStart"/>
      <w:r w:rsidRPr="00D8283E">
        <w:rPr>
          <w:rFonts w:ascii="Times New Roman" w:eastAsia="Times New Roman" w:hAnsi="Times New Roman" w:cs="Times New Roman"/>
          <w:kern w:val="2"/>
          <w:sz w:val="24"/>
          <w:szCs w:val="24"/>
          <w:lang w:eastAsia="en-CA"/>
          <w14:ligatures w14:val="standardContextual"/>
        </w:rPr>
        <w:t>Boutron</w:t>
      </w:r>
      <w:proofErr w:type="spellEnd"/>
      <w:r w:rsidRPr="00D8283E">
        <w:rPr>
          <w:rFonts w:ascii="Times New Roman" w:eastAsia="Times New Roman" w:hAnsi="Times New Roman" w:cs="Times New Roman"/>
          <w:kern w:val="2"/>
          <w:sz w:val="24"/>
          <w:szCs w:val="24"/>
          <w:lang w:eastAsia="en-CA"/>
          <w14:ligatures w14:val="standardContextual"/>
        </w:rPr>
        <w:t xml:space="preserve"> I, Hoffmann TC, Mulrow CD, et al. The PRISMA 2020 statement: an updated guideline for reporting systematic reviews. BMJ [Internet]. 2021 Mar </w:t>
      </w:r>
      <w:proofErr w:type="gramStart"/>
      <w:r w:rsidRPr="00D8283E">
        <w:rPr>
          <w:rFonts w:ascii="Times New Roman" w:eastAsia="Times New Roman" w:hAnsi="Times New Roman" w:cs="Times New Roman"/>
          <w:kern w:val="2"/>
          <w:sz w:val="24"/>
          <w:szCs w:val="24"/>
          <w:lang w:eastAsia="en-CA"/>
          <w14:ligatures w14:val="standardContextual"/>
        </w:rPr>
        <w:t>29;n</w:t>
      </w:r>
      <w:proofErr w:type="gramEnd"/>
      <w:r w:rsidRPr="00D8283E">
        <w:rPr>
          <w:rFonts w:ascii="Times New Roman" w:eastAsia="Times New Roman" w:hAnsi="Times New Roman" w:cs="Times New Roman"/>
          <w:kern w:val="2"/>
          <w:sz w:val="24"/>
          <w:szCs w:val="24"/>
          <w:lang w:eastAsia="en-CA"/>
          <w14:ligatures w14:val="standardContextual"/>
        </w:rPr>
        <w:t>71. Available from: https://doi.org/10.1136/bmj.n71</w:t>
      </w:r>
    </w:p>
    <w:p w14:paraId="06C1D48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Pagnucci</w:t>
      </w:r>
      <w:proofErr w:type="spellEnd"/>
      <w:r w:rsidRPr="00D8283E">
        <w:rPr>
          <w:rFonts w:ascii="Times New Roman" w:eastAsia="Times New Roman" w:hAnsi="Times New Roman" w:cs="Times New Roman"/>
          <w:kern w:val="2"/>
          <w:sz w:val="24"/>
          <w:szCs w:val="24"/>
          <w:lang w:eastAsia="en-CA"/>
          <w14:ligatures w14:val="standardContextual"/>
        </w:rPr>
        <w:t xml:space="preserve"> N, </w:t>
      </w:r>
      <w:proofErr w:type="spellStart"/>
      <w:r w:rsidRPr="00D8283E">
        <w:rPr>
          <w:rFonts w:ascii="Times New Roman" w:eastAsia="Times New Roman" w:hAnsi="Times New Roman" w:cs="Times New Roman"/>
          <w:kern w:val="2"/>
          <w:sz w:val="24"/>
          <w:szCs w:val="24"/>
          <w:lang w:eastAsia="en-CA"/>
          <w14:ligatures w14:val="standardContextual"/>
        </w:rPr>
        <w:t>Aleo</w:t>
      </w:r>
      <w:proofErr w:type="spellEnd"/>
      <w:r w:rsidRPr="00D8283E">
        <w:rPr>
          <w:rFonts w:ascii="Times New Roman" w:eastAsia="Times New Roman" w:hAnsi="Times New Roman" w:cs="Times New Roman"/>
          <w:kern w:val="2"/>
          <w:sz w:val="24"/>
          <w:szCs w:val="24"/>
          <w:lang w:eastAsia="en-CA"/>
          <w14:ligatures w14:val="standardContextual"/>
        </w:rPr>
        <w:t xml:space="preserve"> G, </w:t>
      </w:r>
      <w:proofErr w:type="spellStart"/>
      <w:r w:rsidRPr="00D8283E">
        <w:rPr>
          <w:rFonts w:ascii="Times New Roman" w:eastAsia="Times New Roman" w:hAnsi="Times New Roman" w:cs="Times New Roman"/>
          <w:kern w:val="2"/>
          <w:sz w:val="24"/>
          <w:szCs w:val="24"/>
          <w:lang w:eastAsia="en-CA"/>
          <w14:ligatures w14:val="standardContextual"/>
        </w:rPr>
        <w:t>Orlik</w:t>
      </w:r>
      <w:proofErr w:type="spellEnd"/>
      <w:r w:rsidRPr="00D8283E">
        <w:rPr>
          <w:rFonts w:ascii="Times New Roman" w:eastAsia="Times New Roman" w:hAnsi="Times New Roman" w:cs="Times New Roman"/>
          <w:kern w:val="2"/>
          <w:sz w:val="24"/>
          <w:szCs w:val="24"/>
          <w:lang w:eastAsia="en-CA"/>
          <w14:ligatures w14:val="standardContextual"/>
        </w:rPr>
        <w:t xml:space="preserve"> W, Mahon P, Kearns T, Kelly C, et al. Teaching and learning modalities for continuing professional development in the long-term care: A rapid synthesis review. Nurse Education in Practice [Internet]. 2023 Apr </w:t>
      </w:r>
      <w:proofErr w:type="gramStart"/>
      <w:r w:rsidRPr="00D8283E">
        <w:rPr>
          <w:rFonts w:ascii="Times New Roman" w:eastAsia="Times New Roman" w:hAnsi="Times New Roman" w:cs="Times New Roman"/>
          <w:kern w:val="2"/>
          <w:sz w:val="24"/>
          <w:szCs w:val="24"/>
          <w:lang w:eastAsia="en-CA"/>
          <w14:ligatures w14:val="standardContextual"/>
        </w:rPr>
        <w:t>11;70:103638</w:t>
      </w:r>
      <w:proofErr w:type="gramEnd"/>
      <w:r w:rsidRPr="00D8283E">
        <w:rPr>
          <w:rFonts w:ascii="Times New Roman" w:eastAsia="Times New Roman" w:hAnsi="Times New Roman" w:cs="Times New Roman"/>
          <w:kern w:val="2"/>
          <w:sz w:val="24"/>
          <w:szCs w:val="24"/>
          <w:lang w:eastAsia="en-CA"/>
          <w14:ligatures w14:val="standardContextual"/>
        </w:rPr>
        <w:t>. Available from: https://doi.org/10.1016/j.nepr.2023.103638</w:t>
      </w:r>
    </w:p>
    <w:p w14:paraId="5502921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Paixão</w:t>
      </w:r>
      <w:proofErr w:type="spellEnd"/>
      <w:r w:rsidRPr="00D8283E">
        <w:rPr>
          <w:rFonts w:ascii="Times New Roman" w:eastAsia="Times New Roman" w:hAnsi="Times New Roman" w:cs="Times New Roman"/>
          <w:kern w:val="2"/>
          <w:sz w:val="24"/>
          <w:szCs w:val="24"/>
          <w:lang w:eastAsia="en-CA"/>
          <w14:ligatures w14:val="standardContextual"/>
        </w:rPr>
        <w:t xml:space="preserve"> G, Mills C, </w:t>
      </w:r>
      <w:proofErr w:type="spellStart"/>
      <w:r w:rsidRPr="00D8283E">
        <w:rPr>
          <w:rFonts w:ascii="Times New Roman" w:eastAsia="Times New Roman" w:hAnsi="Times New Roman" w:cs="Times New Roman"/>
          <w:kern w:val="2"/>
          <w:sz w:val="24"/>
          <w:szCs w:val="24"/>
          <w:lang w:eastAsia="en-CA"/>
          <w14:ligatures w14:val="standardContextual"/>
        </w:rPr>
        <w:t>McKimm</w:t>
      </w:r>
      <w:proofErr w:type="spellEnd"/>
      <w:r w:rsidRPr="00D8283E">
        <w:rPr>
          <w:rFonts w:ascii="Times New Roman" w:eastAsia="Times New Roman" w:hAnsi="Times New Roman" w:cs="Times New Roman"/>
          <w:kern w:val="2"/>
          <w:sz w:val="24"/>
          <w:szCs w:val="24"/>
          <w:lang w:eastAsia="en-CA"/>
          <w14:ligatures w14:val="standardContextual"/>
        </w:rPr>
        <w:t xml:space="preserve"> J, </w:t>
      </w:r>
      <w:proofErr w:type="spellStart"/>
      <w:r w:rsidRPr="00D8283E">
        <w:rPr>
          <w:rFonts w:ascii="Times New Roman" w:eastAsia="Times New Roman" w:hAnsi="Times New Roman" w:cs="Times New Roman"/>
          <w:kern w:val="2"/>
          <w:sz w:val="24"/>
          <w:szCs w:val="24"/>
          <w:lang w:eastAsia="en-CA"/>
          <w14:ligatures w14:val="standardContextual"/>
        </w:rPr>
        <w:t>Hassanien</w:t>
      </w:r>
      <w:proofErr w:type="spellEnd"/>
      <w:r w:rsidRPr="00D8283E">
        <w:rPr>
          <w:rFonts w:ascii="Times New Roman" w:eastAsia="Times New Roman" w:hAnsi="Times New Roman" w:cs="Times New Roman"/>
          <w:kern w:val="2"/>
          <w:sz w:val="24"/>
          <w:szCs w:val="24"/>
          <w:lang w:eastAsia="en-CA"/>
          <w14:ligatures w14:val="standardContextual"/>
        </w:rPr>
        <w:t xml:space="preserve"> MA, Al-</w:t>
      </w:r>
      <w:proofErr w:type="spellStart"/>
      <w:r w:rsidRPr="00D8283E">
        <w:rPr>
          <w:rFonts w:ascii="Times New Roman" w:eastAsia="Times New Roman" w:hAnsi="Times New Roman" w:cs="Times New Roman"/>
          <w:kern w:val="2"/>
          <w:sz w:val="24"/>
          <w:szCs w:val="24"/>
          <w:lang w:eastAsia="en-CA"/>
          <w14:ligatures w14:val="standardContextual"/>
        </w:rPr>
        <w:t>Hayani</w:t>
      </w:r>
      <w:proofErr w:type="spellEnd"/>
      <w:r w:rsidRPr="00D8283E">
        <w:rPr>
          <w:rFonts w:ascii="Times New Roman" w:eastAsia="Times New Roman" w:hAnsi="Times New Roman" w:cs="Times New Roman"/>
          <w:kern w:val="2"/>
          <w:sz w:val="24"/>
          <w:szCs w:val="24"/>
          <w:lang w:eastAsia="en-CA"/>
          <w14:ligatures w14:val="standardContextual"/>
        </w:rPr>
        <w:t xml:space="preserve"> AA. Leadership in a crisis: doing things differently, doing different things. British Journal of Hospital Medicine [Internet]. 2020 Nov 2;81(11):1–9. Available from: https://doi.org/10.12968/hmed.2020.0611</w:t>
      </w:r>
    </w:p>
    <w:p w14:paraId="5EAB306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Palinkas, L.A., Horwitz, S.M., Green, C.A., Wisdom, J.P., Duan, N. and </w:t>
      </w:r>
      <w:proofErr w:type="spellStart"/>
      <w:r w:rsidRPr="00D8283E">
        <w:rPr>
          <w:rFonts w:ascii="Times New Roman" w:eastAsia="Times New Roman" w:hAnsi="Times New Roman" w:cs="Times New Roman"/>
          <w:kern w:val="2"/>
          <w:sz w:val="24"/>
          <w:szCs w:val="24"/>
          <w:lang w:eastAsia="en-CA"/>
          <w14:ligatures w14:val="standardContextual"/>
        </w:rPr>
        <w:t>Hoagwood</w:t>
      </w:r>
      <w:proofErr w:type="spellEnd"/>
      <w:r w:rsidRPr="00D8283E">
        <w:rPr>
          <w:rFonts w:ascii="Times New Roman" w:eastAsia="Times New Roman" w:hAnsi="Times New Roman" w:cs="Times New Roman"/>
          <w:kern w:val="2"/>
          <w:sz w:val="24"/>
          <w:szCs w:val="24"/>
          <w:lang w:eastAsia="en-CA"/>
          <w14:ligatures w14:val="standardContextual"/>
        </w:rPr>
        <w:t xml:space="preserve">, K. (2015) ‘Purposeful sampling for qualitative data collection and analysis in mixed method implementation research’, </w:t>
      </w:r>
      <w:r w:rsidRPr="00D8283E">
        <w:rPr>
          <w:rFonts w:ascii="Times New Roman" w:eastAsia="Times New Roman" w:hAnsi="Times New Roman" w:cs="Times New Roman"/>
          <w:i/>
          <w:iCs/>
          <w:kern w:val="2"/>
          <w:sz w:val="24"/>
          <w:szCs w:val="24"/>
          <w:lang w:eastAsia="en-CA"/>
          <w14:ligatures w14:val="standardContextual"/>
        </w:rPr>
        <w:t>Administration and Policy in Mental Health</w:t>
      </w:r>
      <w:r w:rsidRPr="00D8283E">
        <w:rPr>
          <w:rFonts w:ascii="Times New Roman" w:eastAsia="Times New Roman" w:hAnsi="Times New Roman" w:cs="Times New Roman"/>
          <w:kern w:val="2"/>
          <w:sz w:val="24"/>
          <w:szCs w:val="24"/>
          <w:lang w:eastAsia="en-CA"/>
          <w14:ligatures w14:val="standardContextual"/>
        </w:rPr>
        <w:t>, 42(5), pp. 533–544. https://doi.org/10.1007/s10488-013-0528-y</w:t>
      </w:r>
    </w:p>
    <w:p w14:paraId="686DCF0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Panwar V, Sen S. Economic Impact of Natural Disasters: An Empirical re-examination. Margin the Journal of Applied Economic Research [Internet]. 2018 Dec 6;13(1):109–39. Available from: https://doi.org/10.1177/0973801018800087</w:t>
      </w:r>
    </w:p>
    <w:p w14:paraId="57ABAB3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Parisien</w:t>
      </w:r>
      <w:proofErr w:type="spellEnd"/>
      <w:r w:rsidRPr="00D8283E">
        <w:rPr>
          <w:rFonts w:ascii="Times New Roman" w:eastAsia="Times New Roman" w:hAnsi="Times New Roman" w:cs="Times New Roman"/>
          <w:kern w:val="2"/>
          <w:sz w:val="24"/>
          <w:szCs w:val="24"/>
          <w:lang w:eastAsia="en-CA"/>
          <w14:ligatures w14:val="standardContextual"/>
        </w:rPr>
        <w:t xml:space="preserve"> MA, Barber QE, Bourbonnais ML, Daniels LD, Flannigan MD, Gray RW, et al. Abrupt, climate-induced increase in wildfires in British Columbia since the mid-2000s. Communications Earth &amp; Environment [Internet]. 2023 Sep 5;4(1). Available from: https://doi.org/10.1038/s43247-023-00977-1</w:t>
      </w:r>
    </w:p>
    <w:p w14:paraId="6FD51461" w14:textId="6D21E51D" w:rsid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Parker G, Smith T, Shea C, </w:t>
      </w:r>
      <w:proofErr w:type="spellStart"/>
      <w:r w:rsidRPr="00D8283E">
        <w:rPr>
          <w:rFonts w:ascii="Times New Roman" w:eastAsia="Times New Roman" w:hAnsi="Times New Roman" w:cs="Times New Roman"/>
          <w:kern w:val="2"/>
          <w:sz w:val="24"/>
          <w:szCs w:val="24"/>
          <w:lang w:eastAsia="en-GB"/>
          <w14:ligatures w14:val="standardContextual"/>
        </w:rPr>
        <w:t>Perreira</w:t>
      </w:r>
      <w:proofErr w:type="spellEnd"/>
      <w:r w:rsidRPr="00D8283E">
        <w:rPr>
          <w:rFonts w:ascii="Times New Roman" w:eastAsia="Times New Roman" w:hAnsi="Times New Roman" w:cs="Times New Roman"/>
          <w:kern w:val="2"/>
          <w:sz w:val="24"/>
          <w:szCs w:val="24"/>
          <w:lang w:eastAsia="en-GB"/>
          <w14:ligatures w14:val="standardContextual"/>
        </w:rPr>
        <w:t xml:space="preserve"> T, </w:t>
      </w:r>
      <w:proofErr w:type="spellStart"/>
      <w:r w:rsidRPr="00D8283E">
        <w:rPr>
          <w:rFonts w:ascii="Times New Roman" w:eastAsia="Times New Roman" w:hAnsi="Times New Roman" w:cs="Times New Roman"/>
          <w:kern w:val="2"/>
          <w:sz w:val="24"/>
          <w:szCs w:val="24"/>
          <w:lang w:eastAsia="en-GB"/>
          <w14:ligatures w14:val="standardContextual"/>
        </w:rPr>
        <w:t>Sriharan</w:t>
      </w:r>
      <w:proofErr w:type="spellEnd"/>
      <w:r w:rsidRPr="00D8283E">
        <w:rPr>
          <w:rFonts w:ascii="Times New Roman" w:eastAsia="Times New Roman" w:hAnsi="Times New Roman" w:cs="Times New Roman"/>
          <w:kern w:val="2"/>
          <w:sz w:val="24"/>
          <w:szCs w:val="24"/>
          <w:lang w:eastAsia="en-GB"/>
          <w14:ligatures w14:val="standardContextual"/>
        </w:rPr>
        <w:t xml:space="preserve"> A. Key Healthcare Leadership Competencies: Perspectives from Current Healthcare Leaders. Healthcare Quarterly [Internet]. 2022 Apr 27;25(1):49–56. Available from: </w:t>
      </w:r>
      <w:hyperlink r:id="rId49" w:history="1">
        <w:r w:rsidR="001D624A" w:rsidRPr="001E0C8C">
          <w:rPr>
            <w:rStyle w:val="Hyperlink"/>
            <w:rFonts w:ascii="Times New Roman" w:eastAsia="Times New Roman" w:hAnsi="Times New Roman" w:cs="Times New Roman"/>
            <w:kern w:val="2"/>
            <w:sz w:val="24"/>
            <w:szCs w:val="24"/>
            <w:lang w:eastAsia="en-GB"/>
            <w14:ligatures w14:val="standardContextual"/>
          </w:rPr>
          <w:t>https://doi.org/10.12927/hcq.2022.26806</w:t>
        </w:r>
      </w:hyperlink>
    </w:p>
    <w:p w14:paraId="28EBCA49" w14:textId="150089BC" w:rsidR="001D624A" w:rsidRPr="00D8283E" w:rsidRDefault="001D624A" w:rsidP="001D624A">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1D624A">
        <w:rPr>
          <w:rFonts w:ascii="Times New Roman" w:eastAsia="Times New Roman" w:hAnsi="Times New Roman" w:cs="Times New Roman"/>
          <w:kern w:val="2"/>
          <w:sz w:val="24"/>
          <w:szCs w:val="24"/>
          <w:lang w:eastAsia="en-GB"/>
          <w14:ligatures w14:val="standardContextual"/>
        </w:rPr>
        <w:t>Parums</w:t>
      </w:r>
      <w:proofErr w:type="spellEnd"/>
      <w:r w:rsidRPr="001D624A">
        <w:rPr>
          <w:rFonts w:ascii="Times New Roman" w:eastAsia="Times New Roman" w:hAnsi="Times New Roman" w:cs="Times New Roman"/>
          <w:kern w:val="2"/>
          <w:sz w:val="24"/>
          <w:szCs w:val="24"/>
          <w:lang w:eastAsia="en-GB"/>
          <w14:ligatures w14:val="standardContextual"/>
        </w:rPr>
        <w:t xml:space="preserve"> DV. A Review of the Increasing Global Impact of Climate Change on Human Health and Approaches to Medical Preparedness. Med Sci </w:t>
      </w:r>
      <w:proofErr w:type="spellStart"/>
      <w:r w:rsidRPr="001D624A">
        <w:rPr>
          <w:rFonts w:ascii="Times New Roman" w:eastAsia="Times New Roman" w:hAnsi="Times New Roman" w:cs="Times New Roman"/>
          <w:kern w:val="2"/>
          <w:sz w:val="24"/>
          <w:szCs w:val="24"/>
          <w:lang w:eastAsia="en-GB"/>
          <w14:ligatures w14:val="standardContextual"/>
        </w:rPr>
        <w:t>Monit</w:t>
      </w:r>
      <w:proofErr w:type="spellEnd"/>
      <w:r w:rsidRPr="001D624A">
        <w:rPr>
          <w:rFonts w:ascii="Times New Roman" w:eastAsia="Times New Roman" w:hAnsi="Times New Roman" w:cs="Times New Roman"/>
          <w:kern w:val="2"/>
          <w:sz w:val="24"/>
          <w:szCs w:val="24"/>
          <w:lang w:eastAsia="en-GB"/>
          <w14:ligatures w14:val="standardContextual"/>
        </w:rPr>
        <w:t>. 2024 Jul 11;</w:t>
      </w:r>
      <w:proofErr w:type="gramStart"/>
      <w:r w:rsidRPr="001D624A">
        <w:rPr>
          <w:rFonts w:ascii="Times New Roman" w:eastAsia="Times New Roman" w:hAnsi="Times New Roman" w:cs="Times New Roman"/>
          <w:kern w:val="2"/>
          <w:sz w:val="24"/>
          <w:szCs w:val="24"/>
          <w:lang w:eastAsia="en-GB"/>
          <w14:ligatures w14:val="standardContextual"/>
        </w:rPr>
        <w:t>30:e</w:t>
      </w:r>
      <w:proofErr w:type="gramEnd"/>
      <w:r w:rsidRPr="001D624A">
        <w:rPr>
          <w:rFonts w:ascii="Times New Roman" w:eastAsia="Times New Roman" w:hAnsi="Times New Roman" w:cs="Times New Roman"/>
          <w:kern w:val="2"/>
          <w:sz w:val="24"/>
          <w:szCs w:val="24"/>
          <w:lang w:eastAsia="en-GB"/>
          <w14:ligatures w14:val="standardContextual"/>
        </w:rPr>
        <w:t xml:space="preserve">945763. </w:t>
      </w:r>
      <w:proofErr w:type="spellStart"/>
      <w:r w:rsidRPr="001D624A">
        <w:rPr>
          <w:rFonts w:ascii="Times New Roman" w:eastAsia="Times New Roman" w:hAnsi="Times New Roman" w:cs="Times New Roman"/>
          <w:kern w:val="2"/>
          <w:sz w:val="24"/>
          <w:szCs w:val="24"/>
          <w:lang w:eastAsia="en-GB"/>
          <w14:ligatures w14:val="standardContextual"/>
        </w:rPr>
        <w:t>doi</w:t>
      </w:r>
      <w:proofErr w:type="spellEnd"/>
      <w:r w:rsidRPr="001D624A">
        <w:rPr>
          <w:rFonts w:ascii="Times New Roman" w:eastAsia="Times New Roman" w:hAnsi="Times New Roman" w:cs="Times New Roman"/>
          <w:kern w:val="2"/>
          <w:sz w:val="24"/>
          <w:szCs w:val="24"/>
          <w:lang w:eastAsia="en-GB"/>
          <w14:ligatures w14:val="standardContextual"/>
        </w:rPr>
        <w:t>: 10.12659/MSM.945763. PMID: 38988000; PMCID: PMC11302257.</w:t>
      </w:r>
    </w:p>
    <w:p w14:paraId="5C7BC98B" w14:textId="15916BD3"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Paterson J, Berry P, </w:t>
      </w:r>
      <w:proofErr w:type="spellStart"/>
      <w:r w:rsidRPr="00D8283E">
        <w:rPr>
          <w:rFonts w:ascii="Times New Roman" w:eastAsia="Times New Roman" w:hAnsi="Times New Roman" w:cs="Times New Roman"/>
          <w:kern w:val="2"/>
          <w:sz w:val="24"/>
          <w:szCs w:val="24"/>
          <w:lang w:eastAsia="en-CA"/>
          <w14:ligatures w14:val="standardContextual"/>
        </w:rPr>
        <w:t>Ebi</w:t>
      </w:r>
      <w:proofErr w:type="spellEnd"/>
      <w:r w:rsidRPr="00D8283E">
        <w:rPr>
          <w:rFonts w:ascii="Times New Roman" w:eastAsia="Times New Roman" w:hAnsi="Times New Roman" w:cs="Times New Roman"/>
          <w:kern w:val="2"/>
          <w:sz w:val="24"/>
          <w:szCs w:val="24"/>
          <w:lang w:eastAsia="en-CA"/>
          <w14:ligatures w14:val="standardContextual"/>
        </w:rPr>
        <w:t xml:space="preserve"> K, </w:t>
      </w:r>
      <w:proofErr w:type="spellStart"/>
      <w:r w:rsidRPr="00D8283E">
        <w:rPr>
          <w:rFonts w:ascii="Times New Roman" w:eastAsia="Times New Roman" w:hAnsi="Times New Roman" w:cs="Times New Roman"/>
          <w:kern w:val="2"/>
          <w:sz w:val="24"/>
          <w:szCs w:val="24"/>
          <w:lang w:eastAsia="en-CA"/>
          <w14:ligatures w14:val="standardContextual"/>
        </w:rPr>
        <w:t>Varangu</w:t>
      </w:r>
      <w:proofErr w:type="spellEnd"/>
      <w:r w:rsidRPr="00D8283E">
        <w:rPr>
          <w:rFonts w:ascii="Times New Roman" w:eastAsia="Times New Roman" w:hAnsi="Times New Roman" w:cs="Times New Roman"/>
          <w:kern w:val="2"/>
          <w:sz w:val="24"/>
          <w:szCs w:val="24"/>
          <w:lang w:eastAsia="en-CA"/>
          <w14:ligatures w14:val="standardContextual"/>
        </w:rPr>
        <w:t xml:space="preserve"> L. Health care facilities resilient to climate change impacts. International Journal of Environmental Research and Public Health [Internet]. 2014 Dec 16;11(12):13097–116. Available from: </w:t>
      </w:r>
      <w:hyperlink r:id="rId50" w:history="1">
        <w:r w:rsidR="001D624A" w:rsidRPr="001E0C8C">
          <w:rPr>
            <w:rStyle w:val="Hyperlink"/>
            <w:rFonts w:ascii="Times New Roman" w:eastAsia="Times New Roman" w:hAnsi="Times New Roman" w:cs="Times New Roman"/>
            <w:kern w:val="2"/>
            <w:sz w:val="24"/>
            <w:szCs w:val="24"/>
            <w:lang w:eastAsia="en-CA"/>
            <w14:ligatures w14:val="standardContextual"/>
          </w:rPr>
          <w:t>https://doi.org/10.3390/ijerph111213097</w:t>
        </w:r>
      </w:hyperlink>
    </w:p>
    <w:p w14:paraId="78AF14E4" w14:textId="0C4E79BA" w:rsidR="001D624A" w:rsidRPr="00D8283E" w:rsidRDefault="001D624A" w:rsidP="001D624A">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1D624A">
        <w:rPr>
          <w:rFonts w:ascii="Times New Roman" w:eastAsia="Times New Roman" w:hAnsi="Times New Roman" w:cs="Times New Roman"/>
          <w:kern w:val="2"/>
          <w:sz w:val="24"/>
          <w:szCs w:val="24"/>
          <w:lang w:eastAsia="en-CA"/>
          <w14:ligatures w14:val="standardContextual"/>
        </w:rPr>
        <w:lastRenderedPageBreak/>
        <w:t xml:space="preserve">Perini, S., 2023. The importance of healthcare education: Building a stronger healthcare system. </w:t>
      </w:r>
      <w:r w:rsidRPr="001D624A">
        <w:rPr>
          <w:rFonts w:ascii="Times New Roman" w:eastAsia="Times New Roman" w:hAnsi="Times New Roman" w:cs="Times New Roman"/>
          <w:i/>
          <w:iCs/>
          <w:kern w:val="2"/>
          <w:sz w:val="24"/>
          <w:szCs w:val="24"/>
          <w:lang w:eastAsia="en-CA"/>
          <w14:ligatures w14:val="standardContextual"/>
        </w:rPr>
        <w:t>Educational Research</w:t>
      </w:r>
      <w:r w:rsidRPr="001D624A">
        <w:rPr>
          <w:rFonts w:ascii="Times New Roman" w:eastAsia="Times New Roman" w:hAnsi="Times New Roman" w:cs="Times New Roman"/>
          <w:kern w:val="2"/>
          <w:sz w:val="24"/>
          <w:szCs w:val="24"/>
          <w:lang w:eastAsia="en-CA"/>
          <w14:ligatures w14:val="standardContextual"/>
        </w:rPr>
        <w:t>, 14(3). Available from: https://doi.org/10.14303/2141-5161.2023.260</w:t>
      </w:r>
    </w:p>
    <w:p w14:paraId="13EFC08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Perreault-Carranza, T., Ni, V., </w:t>
      </w:r>
      <w:proofErr w:type="spellStart"/>
      <w:r w:rsidRPr="00D8283E">
        <w:rPr>
          <w:rFonts w:ascii="Times New Roman" w:eastAsia="Times New Roman" w:hAnsi="Times New Roman" w:cs="Times New Roman"/>
          <w:kern w:val="2"/>
          <w:sz w:val="24"/>
          <w:szCs w:val="24"/>
          <w:lang w:eastAsia="en-CA"/>
          <w14:ligatures w14:val="standardContextual"/>
        </w:rPr>
        <w:t>Savoie</w:t>
      </w:r>
      <w:proofErr w:type="spellEnd"/>
      <w:r w:rsidRPr="00D8283E">
        <w:rPr>
          <w:rFonts w:ascii="Times New Roman" w:eastAsia="Times New Roman" w:hAnsi="Times New Roman" w:cs="Times New Roman"/>
          <w:kern w:val="2"/>
          <w:sz w:val="24"/>
          <w:szCs w:val="24"/>
          <w:lang w:eastAsia="en-CA"/>
          <w14:ligatures w14:val="standardContextual"/>
        </w:rPr>
        <w:t xml:space="preserve">, J., Saucier, J., </w:t>
      </w:r>
      <w:proofErr w:type="spellStart"/>
      <w:r w:rsidRPr="00D8283E">
        <w:rPr>
          <w:rFonts w:ascii="Times New Roman" w:eastAsia="Times New Roman" w:hAnsi="Times New Roman" w:cs="Times New Roman"/>
          <w:kern w:val="2"/>
          <w:sz w:val="24"/>
          <w:szCs w:val="24"/>
          <w:lang w:eastAsia="en-CA"/>
          <w14:ligatures w14:val="standardContextual"/>
        </w:rPr>
        <w:t>Frenette</w:t>
      </w:r>
      <w:proofErr w:type="spellEnd"/>
      <w:r w:rsidRPr="00D8283E">
        <w:rPr>
          <w:rFonts w:ascii="Times New Roman" w:eastAsia="Times New Roman" w:hAnsi="Times New Roman" w:cs="Times New Roman"/>
          <w:kern w:val="2"/>
          <w:sz w:val="24"/>
          <w:szCs w:val="24"/>
          <w:lang w:eastAsia="en-CA"/>
          <w14:ligatures w14:val="standardContextual"/>
        </w:rPr>
        <w:t xml:space="preserve">, J. and </w:t>
      </w:r>
      <w:proofErr w:type="spellStart"/>
      <w:r w:rsidRPr="00D8283E">
        <w:rPr>
          <w:rFonts w:ascii="Times New Roman" w:eastAsia="Times New Roman" w:hAnsi="Times New Roman" w:cs="Times New Roman"/>
          <w:kern w:val="2"/>
          <w:sz w:val="24"/>
          <w:szCs w:val="24"/>
          <w:lang w:eastAsia="en-CA"/>
          <w14:ligatures w14:val="standardContextual"/>
        </w:rPr>
        <w:t>Jbilou</w:t>
      </w:r>
      <w:proofErr w:type="spellEnd"/>
      <w:r w:rsidRPr="00D8283E">
        <w:rPr>
          <w:rFonts w:ascii="Times New Roman" w:eastAsia="Times New Roman" w:hAnsi="Times New Roman" w:cs="Times New Roman"/>
          <w:kern w:val="2"/>
          <w:sz w:val="24"/>
          <w:szCs w:val="24"/>
          <w:lang w:eastAsia="en-CA"/>
          <w14:ligatures w14:val="standardContextual"/>
        </w:rPr>
        <w:t xml:space="preserve">, J. (2024) ‘Core competencies of the public health workforce in climate change and extreme weather events preparedness, response, and recovery: a scoping review’, </w:t>
      </w:r>
      <w:r w:rsidRPr="00D8283E">
        <w:rPr>
          <w:rFonts w:ascii="Times New Roman" w:eastAsia="Times New Roman" w:hAnsi="Times New Roman" w:cs="Times New Roman"/>
          <w:i/>
          <w:iCs/>
          <w:kern w:val="2"/>
          <w:sz w:val="24"/>
          <w:szCs w:val="24"/>
          <w:lang w:eastAsia="en-CA"/>
          <w14:ligatures w14:val="standardContextual"/>
        </w:rPr>
        <w:t>International Journal of Environmental Research and Public Health</w:t>
      </w:r>
      <w:r w:rsidRPr="00D8283E">
        <w:rPr>
          <w:rFonts w:ascii="Times New Roman" w:eastAsia="Times New Roman" w:hAnsi="Times New Roman" w:cs="Times New Roman"/>
          <w:kern w:val="2"/>
          <w:sz w:val="24"/>
          <w:szCs w:val="24"/>
          <w:lang w:eastAsia="en-CA"/>
          <w14:ligatures w14:val="standardContextual"/>
        </w:rPr>
        <w:t>, 21(9), 1233. https://doi.org/10.3390/ijerph21091233</w:t>
      </w:r>
    </w:p>
    <w:p w14:paraId="6FB9A52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Peters MDJ, Marnie C, Colquhoun H, </w:t>
      </w:r>
      <w:proofErr w:type="spellStart"/>
      <w:r w:rsidRPr="00D8283E">
        <w:rPr>
          <w:rFonts w:ascii="Times New Roman" w:eastAsia="Times New Roman" w:hAnsi="Times New Roman" w:cs="Times New Roman"/>
          <w:kern w:val="2"/>
          <w:sz w:val="24"/>
          <w:szCs w:val="24"/>
          <w:lang w:eastAsia="en-GB"/>
          <w14:ligatures w14:val="standardContextual"/>
        </w:rPr>
        <w:t>Garritty</w:t>
      </w:r>
      <w:proofErr w:type="spellEnd"/>
      <w:r w:rsidRPr="00D8283E">
        <w:rPr>
          <w:rFonts w:ascii="Times New Roman" w:eastAsia="Times New Roman" w:hAnsi="Times New Roman" w:cs="Times New Roman"/>
          <w:kern w:val="2"/>
          <w:sz w:val="24"/>
          <w:szCs w:val="24"/>
          <w:lang w:eastAsia="en-GB"/>
          <w14:ligatures w14:val="standardContextual"/>
        </w:rPr>
        <w:t xml:space="preserve"> CM, Hempel S, Horsley T, et al. Scoping reviews: reinforcing and advancing the methodology and application. Systematic Reviews [Internet]. 2021 Oct 8;10(1). Available from: https://doi.org/10.1186/s13643-021-01821-3</w:t>
      </w:r>
    </w:p>
    <w:p w14:paraId="4001A62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Peters MDJ, Marnie C, </w:t>
      </w:r>
      <w:proofErr w:type="spellStart"/>
      <w:r w:rsidRPr="00D8283E">
        <w:rPr>
          <w:rFonts w:ascii="Times New Roman" w:eastAsia="Times New Roman" w:hAnsi="Times New Roman" w:cs="Times New Roman"/>
          <w:kern w:val="2"/>
          <w:sz w:val="24"/>
          <w:szCs w:val="24"/>
          <w:lang w:eastAsia="en-CA"/>
          <w14:ligatures w14:val="standardContextual"/>
        </w:rPr>
        <w:t>Tricco</w:t>
      </w:r>
      <w:proofErr w:type="spellEnd"/>
      <w:r w:rsidRPr="00D8283E">
        <w:rPr>
          <w:rFonts w:ascii="Times New Roman" w:eastAsia="Times New Roman" w:hAnsi="Times New Roman" w:cs="Times New Roman"/>
          <w:kern w:val="2"/>
          <w:sz w:val="24"/>
          <w:szCs w:val="24"/>
          <w:lang w:eastAsia="en-CA"/>
          <w14:ligatures w14:val="standardContextual"/>
        </w:rPr>
        <w:t xml:space="preserve"> AC, Pollock D, Munn Z, Alexander L, et al. Updated methodological guidance for the conduct of scoping reviews. JBI Evidence Synthesis [Internet]. 2020 Sep 22;18(10):2119–26. Available from: https://doi.org/10.11124/jbies-20-00167</w:t>
      </w:r>
    </w:p>
    <w:p w14:paraId="1A50100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Pickering JD, </w:t>
      </w:r>
      <w:proofErr w:type="spellStart"/>
      <w:r w:rsidRPr="00D8283E">
        <w:rPr>
          <w:rFonts w:ascii="Times New Roman" w:eastAsia="Times New Roman" w:hAnsi="Times New Roman" w:cs="Times New Roman"/>
          <w:kern w:val="2"/>
          <w:sz w:val="24"/>
          <w:szCs w:val="24"/>
          <w:lang w:eastAsia="en-CA"/>
          <w14:ligatures w14:val="standardContextual"/>
        </w:rPr>
        <w:t>Henningsohn</w:t>
      </w:r>
      <w:proofErr w:type="spellEnd"/>
      <w:r w:rsidRPr="00D8283E">
        <w:rPr>
          <w:rFonts w:ascii="Times New Roman" w:eastAsia="Times New Roman" w:hAnsi="Times New Roman" w:cs="Times New Roman"/>
          <w:kern w:val="2"/>
          <w:sz w:val="24"/>
          <w:szCs w:val="24"/>
          <w:lang w:eastAsia="en-CA"/>
          <w14:ligatures w14:val="standardContextual"/>
        </w:rPr>
        <w:t xml:space="preserve"> L, </w:t>
      </w:r>
      <w:proofErr w:type="spellStart"/>
      <w:r w:rsidRPr="00D8283E">
        <w:rPr>
          <w:rFonts w:ascii="Times New Roman" w:eastAsia="Times New Roman" w:hAnsi="Times New Roman" w:cs="Times New Roman"/>
          <w:kern w:val="2"/>
          <w:sz w:val="24"/>
          <w:szCs w:val="24"/>
          <w:lang w:eastAsia="en-CA"/>
          <w14:ligatures w14:val="standardContextual"/>
        </w:rPr>
        <w:t>DeRuiter</w:t>
      </w:r>
      <w:proofErr w:type="spellEnd"/>
      <w:r w:rsidRPr="00D8283E">
        <w:rPr>
          <w:rFonts w:ascii="Times New Roman" w:eastAsia="Times New Roman" w:hAnsi="Times New Roman" w:cs="Times New Roman"/>
          <w:kern w:val="2"/>
          <w:sz w:val="24"/>
          <w:szCs w:val="24"/>
          <w:lang w:eastAsia="en-CA"/>
          <w14:ligatures w14:val="standardContextual"/>
        </w:rPr>
        <w:t xml:space="preserve"> MC, De Jong PGM, Reinders MEJ. Twelve tips for developing and delivering a massive open online course in medical education. Medical Teacher [Internet]. 2017 May 9;39(7):691–6. Available from: https://doi.org/10.1080/0142159x.2017.1322189</w:t>
      </w:r>
    </w:p>
    <w:p w14:paraId="0C8442B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Pocock, S.J. (2006) ‘The simplest statistical test: how to check for a difference between treatments’, </w:t>
      </w:r>
      <w:r w:rsidRPr="00D8283E">
        <w:rPr>
          <w:rFonts w:ascii="Times New Roman" w:eastAsia="Times New Roman" w:hAnsi="Times New Roman" w:cs="Times New Roman"/>
          <w:i/>
          <w:iCs/>
          <w:kern w:val="2"/>
          <w:sz w:val="24"/>
          <w:szCs w:val="24"/>
          <w:lang w:eastAsia="en-CA"/>
          <w14:ligatures w14:val="standardContextual"/>
        </w:rPr>
        <w:t>BMJ</w:t>
      </w:r>
      <w:r w:rsidRPr="00D8283E">
        <w:rPr>
          <w:rFonts w:ascii="Times New Roman" w:eastAsia="Times New Roman" w:hAnsi="Times New Roman" w:cs="Times New Roman"/>
          <w:kern w:val="2"/>
          <w:sz w:val="24"/>
          <w:szCs w:val="24"/>
          <w:lang w:eastAsia="en-CA"/>
          <w14:ligatures w14:val="standardContextual"/>
        </w:rPr>
        <w:t>, 332(7552), pp. 1256–1258. https://doi.org/10.1136/bmj.332.7552.1256</w:t>
      </w:r>
    </w:p>
    <w:p w14:paraId="49008D0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Polivka</w:t>
      </w:r>
      <w:proofErr w:type="spellEnd"/>
      <w:r w:rsidRPr="00D8283E">
        <w:rPr>
          <w:rFonts w:ascii="Times New Roman" w:eastAsia="Times New Roman" w:hAnsi="Times New Roman" w:cs="Times New Roman"/>
          <w:kern w:val="2"/>
          <w:sz w:val="24"/>
          <w:szCs w:val="24"/>
          <w:lang w:eastAsia="en-CA"/>
          <w14:ligatures w14:val="standardContextual"/>
        </w:rPr>
        <w:t xml:space="preserve"> BJ, Chaudry RV, Mac Crawford J. Public health nurses’ knowledge and attitudes regarding climate change. Environmental Health Perspectives [Internet]. 2011 Nov 30;120(3):321–5. Available from: https://doi.org/10.1289/ehp.1104025</w:t>
      </w:r>
    </w:p>
    <w:p w14:paraId="352FD70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Pollock D, Peters MDJ, Khalil H, </w:t>
      </w:r>
      <w:proofErr w:type="spellStart"/>
      <w:r w:rsidRPr="00D8283E">
        <w:rPr>
          <w:rFonts w:ascii="Times New Roman" w:eastAsia="Times New Roman" w:hAnsi="Times New Roman" w:cs="Times New Roman"/>
          <w:kern w:val="2"/>
          <w:sz w:val="24"/>
          <w:szCs w:val="24"/>
          <w:lang w:eastAsia="en-CA"/>
          <w14:ligatures w14:val="standardContextual"/>
        </w:rPr>
        <w:t>McInerney</w:t>
      </w:r>
      <w:proofErr w:type="spellEnd"/>
      <w:r w:rsidRPr="00D8283E">
        <w:rPr>
          <w:rFonts w:ascii="Times New Roman" w:eastAsia="Times New Roman" w:hAnsi="Times New Roman" w:cs="Times New Roman"/>
          <w:kern w:val="2"/>
          <w:sz w:val="24"/>
          <w:szCs w:val="24"/>
          <w:lang w:eastAsia="en-CA"/>
          <w14:ligatures w14:val="standardContextual"/>
        </w:rPr>
        <w:t xml:space="preserve"> P, Alexander L, </w:t>
      </w:r>
      <w:proofErr w:type="spellStart"/>
      <w:r w:rsidRPr="00D8283E">
        <w:rPr>
          <w:rFonts w:ascii="Times New Roman" w:eastAsia="Times New Roman" w:hAnsi="Times New Roman" w:cs="Times New Roman"/>
          <w:kern w:val="2"/>
          <w:sz w:val="24"/>
          <w:szCs w:val="24"/>
          <w:lang w:eastAsia="en-CA"/>
          <w14:ligatures w14:val="standardContextual"/>
        </w:rPr>
        <w:t>Tricco</w:t>
      </w:r>
      <w:proofErr w:type="spellEnd"/>
      <w:r w:rsidRPr="00D8283E">
        <w:rPr>
          <w:rFonts w:ascii="Times New Roman" w:eastAsia="Times New Roman" w:hAnsi="Times New Roman" w:cs="Times New Roman"/>
          <w:kern w:val="2"/>
          <w:sz w:val="24"/>
          <w:szCs w:val="24"/>
          <w:lang w:eastAsia="en-CA"/>
          <w14:ligatures w14:val="standardContextual"/>
        </w:rPr>
        <w:t xml:space="preserve"> AC, et al. Recommendations for the extraction, analysis, and presentation of results in scoping reviews. JBI Evidence Synthesis [Internet]. 2022 Sep 9;21(3):520–32. Available from: https://doi.org/10.11124/jbies-22-00123</w:t>
      </w:r>
    </w:p>
    <w:p w14:paraId="0759274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Pratt MG. From the editors: for the lack of a boilerplate: tips on writing up (and reviewing) qualitative research. Academy of Management Journal [Internet]. 2009 Oct 1;52(5):856–62. Available from: https://doi.org/10.5465/amj.2009.44632557</w:t>
      </w:r>
    </w:p>
    <w:p w14:paraId="02455CD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Quick KS, Feldman MS. Boundaries as junctures: Collaborative boundary work for building efficient resilience. Journal of Public Administration Research and Theory [Internet]. 2014 Jan 28;24(3):673–95. Available from: https://doi.org/10.1093/jopart/mut085</w:t>
      </w:r>
    </w:p>
    <w:p w14:paraId="3A07497F"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heme="minorEastAsia" w:hAnsi="Times New Roman" w:cs="Times New Roman"/>
          <w:color w:val="000000" w:themeColor="text1"/>
          <w:kern w:val="24"/>
          <w:sz w:val="24"/>
          <w:szCs w:val="24"/>
          <w:lang w:eastAsia="en-CA"/>
          <w14:ligatures w14:val="standardContextual"/>
        </w:rPr>
        <w:t xml:space="preserve">Quinlan, D. Health care and climate change: An opportunity for transformative leadership. Health Care Without Harm. 2014. Obtained from </w:t>
      </w:r>
      <w:hyperlink r:id="rId51" w:history="1">
        <w:r w:rsidRPr="00D8283E">
          <w:rPr>
            <w:rFonts w:ascii="Times New Roman" w:eastAsiaTheme="minorEastAsia" w:hAnsi="Times New Roman" w:cs="Times New Roman"/>
            <w:color w:val="467886" w:themeColor="hyperlink"/>
            <w:kern w:val="24"/>
            <w:sz w:val="24"/>
            <w:szCs w:val="24"/>
            <w:u w:val="single"/>
            <w:lang w:eastAsia="en-CA"/>
            <w14:ligatures w14:val="standardContextual"/>
          </w:rPr>
          <w:t>https://noharmuscanada.org/sites/default/files/documentsfiles/2704/Health%20Care%20Climate%20Change%20-%20Opportunity%20Transformative%20Leadership_0.pdf</w:t>
        </w:r>
      </w:hyperlink>
      <w:r w:rsidRPr="00D8283E">
        <w:rPr>
          <w:rFonts w:ascii="Times New Roman" w:eastAsiaTheme="minorEastAsia" w:hAnsi="Times New Roman" w:cs="Times New Roman"/>
          <w:color w:val="000000" w:themeColor="text1"/>
          <w:kern w:val="24"/>
          <w:sz w:val="24"/>
          <w:szCs w:val="24"/>
          <w:lang w:eastAsia="en-CA"/>
          <w14:ligatures w14:val="standardContextual"/>
        </w:rPr>
        <w:t xml:space="preserve"> 1.1.2024</w:t>
      </w:r>
    </w:p>
    <w:p w14:paraId="449B591E"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Rad AM, </w:t>
      </w:r>
      <w:proofErr w:type="spellStart"/>
      <w:r w:rsidRPr="00D8283E">
        <w:rPr>
          <w:rFonts w:ascii="Times New Roman" w:eastAsia="Times New Roman" w:hAnsi="Times New Roman" w:cs="Times New Roman"/>
          <w:kern w:val="2"/>
          <w:sz w:val="24"/>
          <w:szCs w:val="24"/>
          <w:lang w:eastAsia="en-CA"/>
          <w14:ligatures w14:val="standardContextual"/>
        </w:rPr>
        <w:t>Abatzoglou</w:t>
      </w:r>
      <w:proofErr w:type="spellEnd"/>
      <w:r w:rsidRPr="00D8283E">
        <w:rPr>
          <w:rFonts w:ascii="Times New Roman" w:eastAsia="Times New Roman" w:hAnsi="Times New Roman" w:cs="Times New Roman"/>
          <w:kern w:val="2"/>
          <w:sz w:val="24"/>
          <w:szCs w:val="24"/>
          <w:lang w:eastAsia="en-CA"/>
          <w14:ligatures w14:val="standardContextual"/>
        </w:rPr>
        <w:t xml:space="preserve"> JT, </w:t>
      </w:r>
      <w:proofErr w:type="spellStart"/>
      <w:r w:rsidRPr="00D8283E">
        <w:rPr>
          <w:rFonts w:ascii="Times New Roman" w:eastAsia="Times New Roman" w:hAnsi="Times New Roman" w:cs="Times New Roman"/>
          <w:kern w:val="2"/>
          <w:sz w:val="24"/>
          <w:szCs w:val="24"/>
          <w:lang w:eastAsia="en-CA"/>
          <w14:ligatures w14:val="standardContextual"/>
        </w:rPr>
        <w:t>Kreitler</w:t>
      </w:r>
      <w:proofErr w:type="spellEnd"/>
      <w:r w:rsidRPr="00D8283E">
        <w:rPr>
          <w:rFonts w:ascii="Times New Roman" w:eastAsia="Times New Roman" w:hAnsi="Times New Roman" w:cs="Times New Roman"/>
          <w:kern w:val="2"/>
          <w:sz w:val="24"/>
          <w:szCs w:val="24"/>
          <w:lang w:eastAsia="en-CA"/>
          <w14:ligatures w14:val="standardContextual"/>
        </w:rPr>
        <w:t xml:space="preserve"> J, Alizadeh MR, </w:t>
      </w:r>
      <w:proofErr w:type="spellStart"/>
      <w:r w:rsidRPr="00D8283E">
        <w:rPr>
          <w:rFonts w:ascii="Times New Roman" w:eastAsia="Times New Roman" w:hAnsi="Times New Roman" w:cs="Times New Roman"/>
          <w:kern w:val="2"/>
          <w:sz w:val="24"/>
          <w:szCs w:val="24"/>
          <w:lang w:eastAsia="en-CA"/>
          <w14:ligatures w14:val="standardContextual"/>
        </w:rPr>
        <w:t>AghaKouchak</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Hudyma</w:t>
      </w:r>
      <w:proofErr w:type="spellEnd"/>
      <w:r w:rsidRPr="00D8283E">
        <w:rPr>
          <w:rFonts w:ascii="Times New Roman" w:eastAsia="Times New Roman" w:hAnsi="Times New Roman" w:cs="Times New Roman"/>
          <w:kern w:val="2"/>
          <w:sz w:val="24"/>
          <w:szCs w:val="24"/>
          <w:lang w:eastAsia="en-CA"/>
          <w14:ligatures w14:val="standardContextual"/>
        </w:rPr>
        <w:t xml:space="preserve"> N, et al. Human and infrastructure exposure to large wildfires in the United States. Nature Sustainability [Internet]. 2023 Jul 3;6(11):1343–51. Available from: https://doi.org/10.1038/s41893-023-01163-z</w:t>
      </w:r>
    </w:p>
    <w:p w14:paraId="77F4EBA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Rafei</w:t>
      </w:r>
      <w:proofErr w:type="spellEnd"/>
      <w:r w:rsidRPr="00D8283E">
        <w:rPr>
          <w:rFonts w:ascii="Times New Roman" w:eastAsia="Times New Roman" w:hAnsi="Times New Roman" w:cs="Times New Roman"/>
          <w:kern w:val="2"/>
          <w:sz w:val="24"/>
          <w:szCs w:val="24"/>
          <w:lang w:eastAsia="en-CA"/>
          <w14:ligatures w14:val="standardContextual"/>
        </w:rPr>
        <w:t xml:space="preserve"> U. Changing Global Scenario and Public Health for the next Millennium: Keynote address. World Health &amp; Population [Internet]. 2013 Jan 1;3(1). Available from: </w:t>
      </w:r>
      <w:proofErr w:type="gramStart"/>
      <w:r w:rsidRPr="00D8283E">
        <w:rPr>
          <w:rFonts w:ascii="Times New Roman" w:eastAsia="Times New Roman" w:hAnsi="Times New Roman" w:cs="Times New Roman"/>
          <w:kern w:val="2"/>
          <w:sz w:val="24"/>
          <w:szCs w:val="24"/>
          <w:lang w:eastAsia="en-CA"/>
          <w14:ligatures w14:val="standardContextual"/>
        </w:rPr>
        <w:t>https://doi.org/10.12927/whp..</w:t>
      </w:r>
      <w:proofErr w:type="gramEnd"/>
      <w:r w:rsidRPr="00D8283E">
        <w:rPr>
          <w:rFonts w:ascii="Times New Roman" w:eastAsia="Times New Roman" w:hAnsi="Times New Roman" w:cs="Times New Roman"/>
          <w:kern w:val="2"/>
          <w:sz w:val="24"/>
          <w:szCs w:val="24"/>
          <w:lang w:eastAsia="en-CA"/>
          <w14:ligatures w14:val="standardContextual"/>
        </w:rPr>
        <w:t>17521</w:t>
      </w:r>
    </w:p>
    <w:p w14:paraId="0A029569" w14:textId="00E97BDF"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Rafi A, Anwar MI, Younas A, Manzoor S. Paradigm shift in medical education due to the COVID-19 pandemic: guidelines for developing a blended learning curriculum in medical education. F1000Research [Internet]. 2022 Oct </w:t>
      </w:r>
      <w:proofErr w:type="gramStart"/>
      <w:r w:rsidRPr="00D8283E">
        <w:rPr>
          <w:rFonts w:ascii="Times New Roman" w:eastAsia="Times New Roman" w:hAnsi="Times New Roman" w:cs="Times New Roman"/>
          <w:kern w:val="2"/>
          <w:sz w:val="24"/>
          <w:szCs w:val="24"/>
          <w:lang w:eastAsia="en-CA"/>
          <w14:ligatures w14:val="standardContextual"/>
        </w:rPr>
        <w:t>7;11:37</w:t>
      </w:r>
      <w:proofErr w:type="gramEnd"/>
      <w:r w:rsidRPr="00D8283E">
        <w:rPr>
          <w:rFonts w:ascii="Times New Roman" w:eastAsia="Times New Roman" w:hAnsi="Times New Roman" w:cs="Times New Roman"/>
          <w:kern w:val="2"/>
          <w:sz w:val="24"/>
          <w:szCs w:val="24"/>
          <w:lang w:eastAsia="en-CA"/>
          <w14:ligatures w14:val="standardContextual"/>
        </w:rPr>
        <w:t xml:space="preserve">. Available from: </w:t>
      </w:r>
      <w:hyperlink r:id="rId52" w:history="1">
        <w:r w:rsidR="00286825" w:rsidRPr="001E0C8C">
          <w:rPr>
            <w:rStyle w:val="Hyperlink"/>
            <w:rFonts w:ascii="Times New Roman" w:eastAsia="Times New Roman" w:hAnsi="Times New Roman" w:cs="Times New Roman"/>
            <w:kern w:val="2"/>
            <w:sz w:val="24"/>
            <w:szCs w:val="24"/>
            <w:lang w:eastAsia="en-CA"/>
            <w14:ligatures w14:val="standardContextual"/>
          </w:rPr>
          <w:t>https://doi.org/10.12688/f1000research.74779.2</w:t>
        </w:r>
      </w:hyperlink>
    </w:p>
    <w:p w14:paraId="7FB515F7" w14:textId="77A8B787" w:rsidR="00286825" w:rsidRPr="00D8283E" w:rsidRDefault="00286825" w:rsidP="00286825">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286825">
        <w:rPr>
          <w:rFonts w:ascii="Times New Roman" w:eastAsia="Times New Roman" w:hAnsi="Times New Roman" w:cs="Times New Roman"/>
          <w:kern w:val="2"/>
          <w:sz w:val="24"/>
          <w:szCs w:val="24"/>
          <w:lang w:eastAsia="en-CA"/>
          <w14:ligatures w14:val="standardContextual"/>
        </w:rPr>
        <w:t>Ramanadhan</w:t>
      </w:r>
      <w:proofErr w:type="spellEnd"/>
      <w:r w:rsidRPr="00286825">
        <w:rPr>
          <w:rFonts w:ascii="Times New Roman" w:eastAsia="Times New Roman" w:hAnsi="Times New Roman" w:cs="Times New Roman"/>
          <w:kern w:val="2"/>
          <w:sz w:val="24"/>
          <w:szCs w:val="24"/>
          <w:lang w:eastAsia="en-CA"/>
          <w14:ligatures w14:val="standardContextual"/>
        </w:rPr>
        <w:t xml:space="preserve">, S., </w:t>
      </w:r>
      <w:proofErr w:type="spellStart"/>
      <w:r w:rsidRPr="00286825">
        <w:rPr>
          <w:rFonts w:ascii="Times New Roman" w:eastAsia="Times New Roman" w:hAnsi="Times New Roman" w:cs="Times New Roman"/>
          <w:kern w:val="2"/>
          <w:sz w:val="24"/>
          <w:szCs w:val="24"/>
          <w:lang w:eastAsia="en-CA"/>
          <w14:ligatures w14:val="standardContextual"/>
        </w:rPr>
        <w:t>Revette</w:t>
      </w:r>
      <w:proofErr w:type="spellEnd"/>
      <w:r w:rsidRPr="00286825">
        <w:rPr>
          <w:rFonts w:ascii="Times New Roman" w:eastAsia="Times New Roman" w:hAnsi="Times New Roman" w:cs="Times New Roman"/>
          <w:kern w:val="2"/>
          <w:sz w:val="24"/>
          <w:szCs w:val="24"/>
          <w:lang w:eastAsia="en-CA"/>
          <w14:ligatures w14:val="standardContextual"/>
        </w:rPr>
        <w:t xml:space="preserve">, A.C., Lee, R.M. and Aveling, E.L., 2021. Pragmatic approaches to analyzing qualitative data for implementation science: An introduction. </w:t>
      </w:r>
      <w:r w:rsidRPr="00286825">
        <w:rPr>
          <w:rFonts w:ascii="Times New Roman" w:eastAsia="Times New Roman" w:hAnsi="Times New Roman" w:cs="Times New Roman"/>
          <w:i/>
          <w:iCs/>
          <w:kern w:val="2"/>
          <w:sz w:val="24"/>
          <w:szCs w:val="24"/>
          <w:lang w:eastAsia="en-CA"/>
          <w14:ligatures w14:val="standardContextual"/>
        </w:rPr>
        <w:t>Implementation Science Communications</w:t>
      </w:r>
      <w:r w:rsidRPr="00286825">
        <w:rPr>
          <w:rFonts w:ascii="Times New Roman" w:eastAsia="Times New Roman" w:hAnsi="Times New Roman" w:cs="Times New Roman"/>
          <w:kern w:val="2"/>
          <w:sz w:val="24"/>
          <w:szCs w:val="24"/>
          <w:lang w:eastAsia="en-CA"/>
          <w14:ligatures w14:val="standardContextual"/>
        </w:rPr>
        <w:t>, 2(1), p.70. Available from: https://doi.org/10.1186/s43058-021-00174-1</w:t>
      </w:r>
    </w:p>
    <w:p w14:paraId="202A81F0"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Rees CE, Crampton PES, </w:t>
      </w:r>
      <w:proofErr w:type="spellStart"/>
      <w:r w:rsidRPr="00D8283E">
        <w:rPr>
          <w:rFonts w:ascii="Times New Roman" w:eastAsia="Times New Roman" w:hAnsi="Times New Roman" w:cs="Times New Roman"/>
          <w:kern w:val="2"/>
          <w:sz w:val="24"/>
          <w:szCs w:val="24"/>
          <w:lang w:eastAsia="en-GB"/>
          <w14:ligatures w14:val="standardContextual"/>
        </w:rPr>
        <w:t>Monrouxe</w:t>
      </w:r>
      <w:proofErr w:type="spellEnd"/>
      <w:r w:rsidRPr="00D8283E">
        <w:rPr>
          <w:rFonts w:ascii="Times New Roman" w:eastAsia="Times New Roman" w:hAnsi="Times New Roman" w:cs="Times New Roman"/>
          <w:kern w:val="2"/>
          <w:sz w:val="24"/>
          <w:szCs w:val="24"/>
          <w:lang w:eastAsia="en-GB"/>
          <w14:ligatures w14:val="standardContextual"/>
        </w:rPr>
        <w:t xml:space="preserve"> LV. Re-visioning academic medicine through a constructionist lens. Academic Medicine [Internet]. 2019 Dec 6;95(6):846–50. Available from: https://doi.org/10.1097/acm.0000000000003109</w:t>
      </w:r>
    </w:p>
    <w:p w14:paraId="19C78EC9"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Riazi</w:t>
      </w:r>
      <w:proofErr w:type="spellEnd"/>
      <w:r w:rsidRPr="00D8283E">
        <w:rPr>
          <w:rFonts w:ascii="Times New Roman" w:eastAsia="Times New Roman" w:hAnsi="Times New Roman" w:cs="Times New Roman"/>
          <w:kern w:val="2"/>
          <w:sz w:val="24"/>
          <w:szCs w:val="24"/>
          <w:lang w:eastAsia="en-GB"/>
          <w14:ligatures w14:val="standardContextual"/>
        </w:rPr>
        <w:t xml:space="preserve"> AM, </w:t>
      </w:r>
      <w:proofErr w:type="spellStart"/>
      <w:r w:rsidRPr="00D8283E">
        <w:rPr>
          <w:rFonts w:ascii="Times New Roman" w:eastAsia="Times New Roman" w:hAnsi="Times New Roman" w:cs="Times New Roman"/>
          <w:kern w:val="2"/>
          <w:sz w:val="24"/>
          <w:szCs w:val="24"/>
          <w:lang w:eastAsia="en-GB"/>
          <w14:ligatures w14:val="standardContextual"/>
        </w:rPr>
        <w:t>Candlin</w:t>
      </w:r>
      <w:proofErr w:type="spellEnd"/>
      <w:r w:rsidRPr="00D8283E">
        <w:rPr>
          <w:rFonts w:ascii="Times New Roman" w:eastAsia="Times New Roman" w:hAnsi="Times New Roman" w:cs="Times New Roman"/>
          <w:kern w:val="2"/>
          <w:sz w:val="24"/>
          <w:szCs w:val="24"/>
          <w:lang w:eastAsia="en-GB"/>
          <w14:ligatures w14:val="standardContextual"/>
        </w:rPr>
        <w:t xml:space="preserve"> CN. Mixed-methods research in language teaching and learning: Opportunities, issues and challenges. Language Teaching [Internet]. 2014 Feb 27;47(2):135–73. Available from: https://doi.org/10.1017/s0261444813000505</w:t>
      </w:r>
    </w:p>
    <w:p w14:paraId="17BD6A2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Richardson J, Grose J, Bradbury M, Kelsey J. Developing awareness of sustainability in nursing and midwifery using a scenario-based approach: Evidence from a pre and post </w:t>
      </w:r>
      <w:r w:rsidRPr="00D8283E">
        <w:rPr>
          <w:rFonts w:ascii="Times New Roman" w:eastAsia="Times New Roman" w:hAnsi="Times New Roman" w:cs="Times New Roman"/>
          <w:kern w:val="2"/>
          <w:sz w:val="24"/>
          <w:szCs w:val="24"/>
          <w:lang w:eastAsia="en-CA"/>
          <w14:ligatures w14:val="standardContextual"/>
        </w:rPr>
        <w:lastRenderedPageBreak/>
        <w:t xml:space="preserve">educational intervention study. Nurse Education Today [Internet]. 2017 Apr </w:t>
      </w:r>
      <w:proofErr w:type="gramStart"/>
      <w:r w:rsidRPr="00D8283E">
        <w:rPr>
          <w:rFonts w:ascii="Times New Roman" w:eastAsia="Times New Roman" w:hAnsi="Times New Roman" w:cs="Times New Roman"/>
          <w:kern w:val="2"/>
          <w:sz w:val="24"/>
          <w:szCs w:val="24"/>
          <w:lang w:eastAsia="en-CA"/>
          <w14:ligatures w14:val="standardContextual"/>
        </w:rPr>
        <w:t>29;54:51</w:t>
      </w:r>
      <w:proofErr w:type="gramEnd"/>
      <w:r w:rsidRPr="00D8283E">
        <w:rPr>
          <w:rFonts w:ascii="Times New Roman" w:eastAsia="Times New Roman" w:hAnsi="Times New Roman" w:cs="Times New Roman"/>
          <w:kern w:val="2"/>
          <w:sz w:val="24"/>
          <w:szCs w:val="24"/>
          <w:lang w:eastAsia="en-CA"/>
          <w14:ligatures w14:val="standardContextual"/>
        </w:rPr>
        <w:t>–5. Available from: https://doi.org/10.1016/j.nedt.2017.04.022</w:t>
      </w:r>
    </w:p>
    <w:p w14:paraId="589DDEF6"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Richmond JG, Hill R. Rethinking local resilience for extreme heat events. Public Health [Internet]. 2023 Apr </w:t>
      </w:r>
      <w:proofErr w:type="gramStart"/>
      <w:r w:rsidRPr="00D8283E">
        <w:rPr>
          <w:rFonts w:ascii="Times New Roman" w:eastAsia="Times New Roman" w:hAnsi="Times New Roman" w:cs="Times New Roman"/>
          <w:kern w:val="2"/>
          <w:sz w:val="24"/>
          <w:szCs w:val="24"/>
          <w:lang w:eastAsia="en-GB"/>
          <w14:ligatures w14:val="standardContextual"/>
        </w:rPr>
        <w:t>8;218:146</w:t>
      </w:r>
      <w:proofErr w:type="gramEnd"/>
      <w:r w:rsidRPr="00D8283E">
        <w:rPr>
          <w:rFonts w:ascii="Times New Roman" w:eastAsia="Times New Roman" w:hAnsi="Times New Roman" w:cs="Times New Roman"/>
          <w:kern w:val="2"/>
          <w:sz w:val="24"/>
          <w:szCs w:val="24"/>
          <w:lang w:eastAsia="en-GB"/>
          <w14:ligatures w14:val="standardContextual"/>
        </w:rPr>
        <w:t>–8. Available from: https://doi.org/10.1016/j.puhe.2023.03.005</w:t>
      </w:r>
    </w:p>
    <w:p w14:paraId="3B7F752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Richmond JG, </w:t>
      </w:r>
      <w:proofErr w:type="spellStart"/>
      <w:r w:rsidRPr="00D8283E">
        <w:rPr>
          <w:rFonts w:ascii="Times New Roman" w:eastAsia="Times New Roman" w:hAnsi="Times New Roman" w:cs="Times New Roman"/>
          <w:kern w:val="2"/>
          <w:sz w:val="24"/>
          <w:szCs w:val="24"/>
          <w:lang w:eastAsia="en-CA"/>
          <w14:ligatures w14:val="standardContextual"/>
        </w:rPr>
        <w:t>Tochkin</w:t>
      </w:r>
      <w:proofErr w:type="spellEnd"/>
      <w:r w:rsidRPr="00D8283E">
        <w:rPr>
          <w:rFonts w:ascii="Times New Roman" w:eastAsia="Times New Roman" w:hAnsi="Times New Roman" w:cs="Times New Roman"/>
          <w:kern w:val="2"/>
          <w:sz w:val="24"/>
          <w:szCs w:val="24"/>
          <w:lang w:eastAsia="en-CA"/>
          <w14:ligatures w14:val="standardContextual"/>
        </w:rPr>
        <w:t xml:space="preserve"> J, </w:t>
      </w:r>
      <w:proofErr w:type="spellStart"/>
      <w:r w:rsidRPr="00D8283E">
        <w:rPr>
          <w:rFonts w:ascii="Times New Roman" w:eastAsia="Times New Roman" w:hAnsi="Times New Roman" w:cs="Times New Roman"/>
          <w:kern w:val="2"/>
          <w:sz w:val="24"/>
          <w:szCs w:val="24"/>
          <w:lang w:eastAsia="en-CA"/>
          <w14:ligatures w14:val="standardContextual"/>
        </w:rPr>
        <w:t>Hertelendy</w:t>
      </w:r>
      <w:proofErr w:type="spellEnd"/>
      <w:r w:rsidRPr="00D8283E">
        <w:rPr>
          <w:rFonts w:ascii="Times New Roman" w:eastAsia="Times New Roman" w:hAnsi="Times New Roman" w:cs="Times New Roman"/>
          <w:kern w:val="2"/>
          <w:sz w:val="24"/>
          <w:szCs w:val="24"/>
          <w:lang w:eastAsia="en-CA"/>
          <w14:ligatures w14:val="standardContextual"/>
        </w:rPr>
        <w:t xml:space="preserve"> AJ. Canadian health emergency management professionals’ perspectives on the prevalence and effectiveness of disaster preparedness activities in response to COVID-19. International Journal of Disaster Risk Reduction [Internet]. 2021 May </w:t>
      </w:r>
      <w:proofErr w:type="gramStart"/>
      <w:r w:rsidRPr="00D8283E">
        <w:rPr>
          <w:rFonts w:ascii="Times New Roman" w:eastAsia="Times New Roman" w:hAnsi="Times New Roman" w:cs="Times New Roman"/>
          <w:kern w:val="2"/>
          <w:sz w:val="24"/>
          <w:szCs w:val="24"/>
          <w:lang w:eastAsia="en-CA"/>
          <w14:ligatures w14:val="standardContextual"/>
        </w:rPr>
        <w:t>12;60:102325</w:t>
      </w:r>
      <w:proofErr w:type="gramEnd"/>
      <w:r w:rsidRPr="00D8283E">
        <w:rPr>
          <w:rFonts w:ascii="Times New Roman" w:eastAsia="Times New Roman" w:hAnsi="Times New Roman" w:cs="Times New Roman"/>
          <w:kern w:val="2"/>
          <w:sz w:val="24"/>
          <w:szCs w:val="24"/>
          <w:lang w:eastAsia="en-CA"/>
          <w14:ligatures w14:val="standardContextual"/>
        </w:rPr>
        <w:t>. Available from: https://doi.org/10.1016/j.ijdrr.2021.102325</w:t>
      </w:r>
    </w:p>
    <w:p w14:paraId="23BF628B"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Rizmie</w:t>
      </w:r>
      <w:proofErr w:type="spellEnd"/>
      <w:r w:rsidRPr="00D8283E">
        <w:rPr>
          <w:rFonts w:ascii="Times New Roman" w:eastAsia="Times New Roman" w:hAnsi="Times New Roman" w:cs="Times New Roman"/>
          <w:kern w:val="2"/>
          <w:sz w:val="24"/>
          <w:szCs w:val="24"/>
          <w:lang w:eastAsia="en-GB"/>
          <w14:ligatures w14:val="standardContextual"/>
        </w:rPr>
        <w:t xml:space="preserve"> D, De Preux L, </w:t>
      </w:r>
      <w:proofErr w:type="spellStart"/>
      <w:r w:rsidRPr="00D8283E">
        <w:rPr>
          <w:rFonts w:ascii="Times New Roman" w:eastAsia="Times New Roman" w:hAnsi="Times New Roman" w:cs="Times New Roman"/>
          <w:kern w:val="2"/>
          <w:sz w:val="24"/>
          <w:szCs w:val="24"/>
          <w:lang w:eastAsia="en-GB"/>
          <w14:ligatures w14:val="standardContextual"/>
        </w:rPr>
        <w:t>Miraldo</w:t>
      </w:r>
      <w:proofErr w:type="spellEnd"/>
      <w:r w:rsidRPr="00D8283E">
        <w:rPr>
          <w:rFonts w:ascii="Times New Roman" w:eastAsia="Times New Roman" w:hAnsi="Times New Roman" w:cs="Times New Roman"/>
          <w:kern w:val="2"/>
          <w:sz w:val="24"/>
          <w:szCs w:val="24"/>
          <w:lang w:eastAsia="en-GB"/>
          <w14:ligatures w14:val="standardContextual"/>
        </w:rPr>
        <w:t xml:space="preserve"> M, </w:t>
      </w:r>
      <w:proofErr w:type="spellStart"/>
      <w:r w:rsidRPr="00D8283E">
        <w:rPr>
          <w:rFonts w:ascii="Times New Roman" w:eastAsia="Times New Roman" w:hAnsi="Times New Roman" w:cs="Times New Roman"/>
          <w:kern w:val="2"/>
          <w:sz w:val="24"/>
          <w:szCs w:val="24"/>
          <w:lang w:eastAsia="en-GB"/>
          <w14:ligatures w14:val="standardContextual"/>
        </w:rPr>
        <w:t>Atun</w:t>
      </w:r>
      <w:proofErr w:type="spellEnd"/>
      <w:r w:rsidRPr="00D8283E">
        <w:rPr>
          <w:rFonts w:ascii="Times New Roman" w:eastAsia="Times New Roman" w:hAnsi="Times New Roman" w:cs="Times New Roman"/>
          <w:kern w:val="2"/>
          <w:sz w:val="24"/>
          <w:szCs w:val="24"/>
          <w:lang w:eastAsia="en-GB"/>
          <w14:ligatures w14:val="standardContextual"/>
        </w:rPr>
        <w:t xml:space="preserve"> R. Impact of extreme temperatures on emergency hospital admissions by age and socio-economic deprivation in England. Social Science &amp; Medicine [Internet]. 2022 Jul </w:t>
      </w:r>
      <w:proofErr w:type="gramStart"/>
      <w:r w:rsidRPr="00D8283E">
        <w:rPr>
          <w:rFonts w:ascii="Times New Roman" w:eastAsia="Times New Roman" w:hAnsi="Times New Roman" w:cs="Times New Roman"/>
          <w:kern w:val="2"/>
          <w:sz w:val="24"/>
          <w:szCs w:val="24"/>
          <w:lang w:eastAsia="en-GB"/>
          <w14:ligatures w14:val="standardContextual"/>
        </w:rPr>
        <w:t>11;308:115193</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https://doi.org/10.1016/j.socscimed.2022.115193</w:t>
      </w:r>
    </w:p>
    <w:p w14:paraId="00343981" w14:textId="550B9109"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Rocca E, Anjum RL. Complexity, reductionism and the biomedical model. In: Springer eBooks [Internet]. 2020. p. 75–94. Available from: </w:t>
      </w:r>
      <w:hyperlink r:id="rId53" w:history="1">
        <w:r w:rsidR="00286825" w:rsidRPr="001E0C8C">
          <w:rPr>
            <w:rStyle w:val="Hyperlink"/>
            <w:rFonts w:ascii="Times New Roman" w:eastAsia="Times New Roman" w:hAnsi="Times New Roman" w:cs="Times New Roman"/>
            <w:kern w:val="2"/>
            <w:sz w:val="24"/>
            <w:szCs w:val="24"/>
            <w:lang w:eastAsia="en-CA"/>
            <w14:ligatures w14:val="standardContextual"/>
          </w:rPr>
          <w:t>https://doi.org/10.1007/978-3-030-41239-5_5</w:t>
        </w:r>
      </w:hyperlink>
    </w:p>
    <w:p w14:paraId="0112340D" w14:textId="57B38C93" w:rsidR="00286825" w:rsidRPr="00D8283E" w:rsidRDefault="00286825" w:rsidP="00286825">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286825">
        <w:rPr>
          <w:rFonts w:ascii="Times New Roman" w:eastAsia="Times New Roman" w:hAnsi="Times New Roman" w:cs="Times New Roman"/>
          <w:kern w:val="2"/>
          <w:sz w:val="24"/>
          <w:szCs w:val="24"/>
          <w:lang w:eastAsia="en-CA"/>
          <w14:ligatures w14:val="standardContextual"/>
        </w:rPr>
        <w:t xml:space="preserve">Rouse, D.N., 2011. Employing Kirkpatrick's evaluation framework to determine the effectiveness of health information management courses and programs. </w:t>
      </w:r>
      <w:r w:rsidRPr="00286825">
        <w:rPr>
          <w:rFonts w:ascii="Times New Roman" w:eastAsia="Times New Roman" w:hAnsi="Times New Roman" w:cs="Times New Roman"/>
          <w:i/>
          <w:iCs/>
          <w:kern w:val="2"/>
          <w:sz w:val="24"/>
          <w:szCs w:val="24"/>
          <w:lang w:eastAsia="en-CA"/>
          <w14:ligatures w14:val="standardContextual"/>
        </w:rPr>
        <w:t>Perspectives in Health Information Management</w:t>
      </w:r>
      <w:r w:rsidRPr="00286825">
        <w:rPr>
          <w:rFonts w:ascii="Times New Roman" w:eastAsia="Times New Roman" w:hAnsi="Times New Roman" w:cs="Times New Roman"/>
          <w:kern w:val="2"/>
          <w:sz w:val="24"/>
          <w:szCs w:val="24"/>
          <w:lang w:eastAsia="en-CA"/>
          <w14:ligatures w14:val="standardContextual"/>
        </w:rPr>
        <w:t>, 8(Spring), p.1c.</w:t>
      </w:r>
    </w:p>
    <w:p w14:paraId="6E8EB685"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color w:val="333333"/>
          <w:kern w:val="2"/>
          <w:sz w:val="24"/>
          <w:szCs w:val="24"/>
          <w:shd w:val="clear" w:color="auto" w:fill="FFFFFF"/>
          <w14:ligatures w14:val="standardContextual"/>
        </w:rPr>
        <w:t>Royal College of Physicians of Canada. 2009a. Directions for residency education, 2009: A final report of the core competency project. Ottawa: The Royal College of Physicians of Canada. Available at: </w:t>
      </w:r>
      <w:hyperlink r:id="rId54" w:tgtFrame="_blank" w:history="1">
        <w:r w:rsidRPr="00D8283E">
          <w:rPr>
            <w:rFonts w:ascii="Times New Roman" w:hAnsi="Times New Roman" w:cs="Times New Roman"/>
            <w:color w:val="10147E"/>
            <w:kern w:val="2"/>
            <w:sz w:val="24"/>
            <w:szCs w:val="24"/>
            <w:u w:val="single"/>
            <w:shd w:val="clear" w:color="auto" w:fill="FFFFFF"/>
            <w14:ligatures w14:val="standardContextual"/>
          </w:rPr>
          <w:t>http://royalcollege.ca</w:t>
        </w:r>
      </w:hyperlink>
    </w:p>
    <w:p w14:paraId="73FCF00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Rudolph L, </w:t>
      </w:r>
      <w:proofErr w:type="spellStart"/>
      <w:r w:rsidRPr="00D8283E">
        <w:rPr>
          <w:rFonts w:ascii="Times New Roman" w:eastAsia="Times New Roman" w:hAnsi="Times New Roman" w:cs="Times New Roman"/>
          <w:kern w:val="2"/>
          <w:sz w:val="24"/>
          <w:szCs w:val="24"/>
          <w:lang w:eastAsia="en-CA"/>
          <w14:ligatures w14:val="standardContextual"/>
        </w:rPr>
        <w:t>Maizlish</w:t>
      </w:r>
      <w:proofErr w:type="spellEnd"/>
      <w:r w:rsidRPr="00D8283E">
        <w:rPr>
          <w:rFonts w:ascii="Times New Roman" w:eastAsia="Times New Roman" w:hAnsi="Times New Roman" w:cs="Times New Roman"/>
          <w:kern w:val="2"/>
          <w:sz w:val="24"/>
          <w:szCs w:val="24"/>
          <w:lang w:eastAsia="en-CA"/>
          <w14:ligatures w14:val="standardContextual"/>
        </w:rPr>
        <w:t xml:space="preserve"> N, North S, </w:t>
      </w:r>
      <w:proofErr w:type="spellStart"/>
      <w:r w:rsidRPr="00D8283E">
        <w:rPr>
          <w:rFonts w:ascii="Times New Roman" w:eastAsia="Times New Roman" w:hAnsi="Times New Roman" w:cs="Times New Roman"/>
          <w:kern w:val="2"/>
          <w:sz w:val="24"/>
          <w:szCs w:val="24"/>
          <w:lang w:eastAsia="en-CA"/>
          <w14:ligatures w14:val="standardContextual"/>
        </w:rPr>
        <w:t>Dervin</w:t>
      </w:r>
      <w:proofErr w:type="spellEnd"/>
      <w:r w:rsidRPr="00D8283E">
        <w:rPr>
          <w:rFonts w:ascii="Times New Roman" w:eastAsia="Times New Roman" w:hAnsi="Times New Roman" w:cs="Times New Roman"/>
          <w:kern w:val="2"/>
          <w:sz w:val="24"/>
          <w:szCs w:val="24"/>
          <w:lang w:eastAsia="en-CA"/>
          <w14:ligatures w14:val="standardContextual"/>
        </w:rPr>
        <w:t xml:space="preserve"> K. A Public Health Learning Collaborative on Climate Change for urban health Departments, 2016-2018. Public Health Reports [Internet]. 2020 Feb 4;135(2):189–201. Available from: https://doi.org/10.1177/0033354920902468</w:t>
      </w:r>
    </w:p>
    <w:p w14:paraId="4991DB98" w14:textId="77777777" w:rsidR="00D8283E" w:rsidRPr="00D8283E" w:rsidRDefault="00D8283E" w:rsidP="00D8283E">
      <w:pPr>
        <w:shd w:val="clear" w:color="auto" w:fill="FFFFFF"/>
        <w:spacing w:after="0" w:line="360" w:lineRule="auto"/>
        <w:ind w:firstLine="720"/>
        <w:rPr>
          <w:rFonts w:ascii="Times New Roman" w:hAnsi="Times New Roman" w:cs="Times New Roman"/>
          <w:color w:val="333333"/>
          <w:kern w:val="2"/>
          <w:sz w:val="24"/>
          <w:szCs w:val="24"/>
          <w:shd w:val="clear" w:color="auto" w:fill="FFFFFF"/>
          <w14:ligatures w14:val="standardContextual"/>
        </w:rPr>
      </w:pPr>
      <w:r w:rsidRPr="00D8283E">
        <w:rPr>
          <w:rFonts w:ascii="Times New Roman" w:hAnsi="Times New Roman" w:cs="Times New Roman"/>
          <w:kern w:val="2"/>
          <w:sz w:val="24"/>
          <w:szCs w:val="24"/>
          <w14:ligatures w14:val="standardContextual"/>
        </w:rPr>
        <w:t xml:space="preserve">Sammons, P. &amp; Davis, S. (2017) Mixed Methods Approaches and their Application in Educational Research Chapter 23 in Dominic Wyse, Neil Selwyn, Emma smith and Larry E. Suter (2017) The BERA/Sage Handbook of Educational Research Volume 1 London: Sage); accessed from </w:t>
      </w:r>
      <w:hyperlink r:id="rId55" w:history="1">
        <w:r w:rsidRPr="00D8283E">
          <w:rPr>
            <w:rFonts w:ascii="Times New Roman" w:hAnsi="Times New Roman" w:cs="Times New Roman"/>
            <w:color w:val="467886" w:themeColor="hyperlink"/>
            <w:kern w:val="2"/>
            <w:sz w:val="24"/>
            <w:szCs w:val="24"/>
            <w:u w:val="single"/>
            <w14:ligatures w14:val="standardContextual"/>
          </w:rPr>
          <w:t>https://ora.ox.ac.uk/objects/uuid:911edb21-8f0a-455c-93cb-f35da23b8fc8/files/mcd61ad8c79d78299e41400a9f73ada08</w:t>
        </w:r>
      </w:hyperlink>
      <w:r w:rsidRPr="00D8283E">
        <w:rPr>
          <w:rFonts w:ascii="Times New Roman" w:hAnsi="Times New Roman" w:cs="Times New Roman"/>
          <w:kern w:val="2"/>
          <w:sz w:val="24"/>
          <w:szCs w:val="24"/>
          <w14:ligatures w14:val="standardContextual"/>
        </w:rPr>
        <w:t xml:space="preserve"> on August 7th, 2024.</w:t>
      </w:r>
    </w:p>
    <w:p w14:paraId="7BA22AF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Samuel A, Cervero RM, </w:t>
      </w:r>
      <w:proofErr w:type="spellStart"/>
      <w:r w:rsidRPr="00D8283E">
        <w:rPr>
          <w:rFonts w:ascii="Times New Roman" w:eastAsia="Times New Roman" w:hAnsi="Times New Roman" w:cs="Times New Roman"/>
          <w:kern w:val="2"/>
          <w:sz w:val="24"/>
          <w:szCs w:val="24"/>
          <w:lang w:eastAsia="en-CA"/>
          <w14:ligatures w14:val="standardContextual"/>
        </w:rPr>
        <w:t>Durning</w:t>
      </w:r>
      <w:proofErr w:type="spellEnd"/>
      <w:r w:rsidRPr="00D8283E">
        <w:rPr>
          <w:rFonts w:ascii="Times New Roman" w:eastAsia="Times New Roman" w:hAnsi="Times New Roman" w:cs="Times New Roman"/>
          <w:kern w:val="2"/>
          <w:sz w:val="24"/>
          <w:szCs w:val="24"/>
          <w:lang w:eastAsia="en-CA"/>
          <w14:ligatures w14:val="standardContextual"/>
        </w:rPr>
        <w:t xml:space="preserve"> SJ, Maggio LA. Effect of continuing professional development on health professionals’ performance and patient outcomes: A scoping review of </w:t>
      </w:r>
      <w:r w:rsidRPr="00D8283E">
        <w:rPr>
          <w:rFonts w:ascii="Times New Roman" w:eastAsia="Times New Roman" w:hAnsi="Times New Roman" w:cs="Times New Roman"/>
          <w:kern w:val="2"/>
          <w:sz w:val="24"/>
          <w:szCs w:val="24"/>
          <w:lang w:eastAsia="en-CA"/>
          <w14:ligatures w14:val="standardContextual"/>
        </w:rPr>
        <w:lastRenderedPageBreak/>
        <w:t>knowledge syntheses. Academic Medicine [Internet]. 2020 Dec 18;96(6):913–23. Available from: https://doi.org/10.1097/acm.0000000000003899</w:t>
      </w:r>
    </w:p>
    <w:p w14:paraId="175709E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Sarkar, A., Appelbaum, N.P., </w:t>
      </w:r>
      <w:proofErr w:type="spellStart"/>
      <w:r w:rsidRPr="00D8283E">
        <w:rPr>
          <w:rFonts w:ascii="Times New Roman" w:eastAsia="Times New Roman" w:hAnsi="Times New Roman" w:cs="Times New Roman"/>
          <w:kern w:val="2"/>
          <w:sz w:val="24"/>
          <w:szCs w:val="24"/>
          <w:lang w:eastAsia="en-CA"/>
          <w14:ligatures w14:val="standardContextual"/>
        </w:rPr>
        <w:t>Asaithambi</w:t>
      </w:r>
      <w:proofErr w:type="spellEnd"/>
      <w:r w:rsidRPr="00D8283E">
        <w:rPr>
          <w:rFonts w:ascii="Times New Roman" w:eastAsia="Times New Roman" w:hAnsi="Times New Roman" w:cs="Times New Roman"/>
          <w:kern w:val="2"/>
          <w:sz w:val="24"/>
          <w:szCs w:val="24"/>
          <w:lang w:eastAsia="en-CA"/>
          <w14:ligatures w14:val="standardContextual"/>
        </w:rPr>
        <w:t xml:space="preserve">, R., Tran, C., Lin, D., Aggarwal, A. and Nguyen, S. (2023) ‘Climate change as a social determinant of health: an interactive case-based learning activity’, </w:t>
      </w:r>
      <w:proofErr w:type="spellStart"/>
      <w:r w:rsidRPr="00D8283E">
        <w:rPr>
          <w:rFonts w:ascii="Times New Roman" w:eastAsia="Times New Roman" w:hAnsi="Times New Roman" w:cs="Times New Roman"/>
          <w:i/>
          <w:iCs/>
          <w:kern w:val="2"/>
          <w:sz w:val="24"/>
          <w:szCs w:val="24"/>
          <w:lang w:eastAsia="en-CA"/>
          <w14:ligatures w14:val="standardContextual"/>
        </w:rPr>
        <w:t>MedEdPORTAL</w:t>
      </w:r>
      <w:proofErr w:type="spellEnd"/>
      <w:r w:rsidRPr="00D8283E">
        <w:rPr>
          <w:rFonts w:ascii="Times New Roman" w:eastAsia="Times New Roman" w:hAnsi="Times New Roman" w:cs="Times New Roman"/>
          <w:kern w:val="2"/>
          <w:sz w:val="24"/>
          <w:szCs w:val="24"/>
          <w:lang w:eastAsia="en-CA"/>
          <w14:ligatures w14:val="standardContextual"/>
        </w:rPr>
        <w:t>, 19, 11332. https://doi.org/10.15766/mep_2374-8265.11332</w:t>
      </w:r>
    </w:p>
    <w:p w14:paraId="01243B3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Sauer LM, McCarthy ML, </w:t>
      </w:r>
      <w:proofErr w:type="spellStart"/>
      <w:r w:rsidRPr="00D8283E">
        <w:rPr>
          <w:rFonts w:ascii="Times New Roman" w:eastAsia="Times New Roman" w:hAnsi="Times New Roman" w:cs="Times New Roman"/>
          <w:kern w:val="2"/>
          <w:sz w:val="24"/>
          <w:szCs w:val="24"/>
          <w:lang w:eastAsia="en-CA"/>
          <w14:ligatures w14:val="standardContextual"/>
        </w:rPr>
        <w:t>Knebel</w:t>
      </w:r>
      <w:proofErr w:type="spellEnd"/>
      <w:r w:rsidRPr="00D8283E">
        <w:rPr>
          <w:rFonts w:ascii="Times New Roman" w:eastAsia="Times New Roman" w:hAnsi="Times New Roman" w:cs="Times New Roman"/>
          <w:kern w:val="2"/>
          <w:sz w:val="24"/>
          <w:szCs w:val="24"/>
          <w:lang w:eastAsia="en-CA"/>
          <w14:ligatures w14:val="standardContextual"/>
        </w:rPr>
        <w:t xml:space="preserve"> A, Brewster P. Major influences on hospital emergency management and disaster preparedness. Disaster Medicine and Public Health Preparedness [Internet]. 2009 Jun 1;3(S1</w:t>
      </w:r>
      <w:proofErr w:type="gramStart"/>
      <w:r w:rsidRPr="00D8283E">
        <w:rPr>
          <w:rFonts w:ascii="Times New Roman" w:eastAsia="Times New Roman" w:hAnsi="Times New Roman" w:cs="Times New Roman"/>
          <w:kern w:val="2"/>
          <w:sz w:val="24"/>
          <w:szCs w:val="24"/>
          <w:lang w:eastAsia="en-CA"/>
          <w14:ligatures w14:val="standardContextual"/>
        </w:rPr>
        <w:t>):S</w:t>
      </w:r>
      <w:proofErr w:type="gramEnd"/>
      <w:r w:rsidRPr="00D8283E">
        <w:rPr>
          <w:rFonts w:ascii="Times New Roman" w:eastAsia="Times New Roman" w:hAnsi="Times New Roman" w:cs="Times New Roman"/>
          <w:kern w:val="2"/>
          <w:sz w:val="24"/>
          <w:szCs w:val="24"/>
          <w:lang w:eastAsia="en-CA"/>
          <w14:ligatures w14:val="standardContextual"/>
        </w:rPr>
        <w:t>68–73. Available from: https://doi.org/10.1097/dmp.0b013e31819ef060</w:t>
      </w:r>
    </w:p>
    <w:p w14:paraId="660155D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Schnitter</w:t>
      </w:r>
      <w:proofErr w:type="spellEnd"/>
      <w:r w:rsidRPr="00D8283E">
        <w:rPr>
          <w:rFonts w:ascii="Times New Roman" w:eastAsia="Times New Roman" w:hAnsi="Times New Roman" w:cs="Times New Roman"/>
          <w:kern w:val="2"/>
          <w:sz w:val="24"/>
          <w:szCs w:val="24"/>
          <w:lang w:eastAsia="en-CA"/>
          <w14:ligatures w14:val="standardContextual"/>
        </w:rPr>
        <w:t xml:space="preserve"> R, Berry P. The Climate Change, Food Security and Human Health Nexus in Canada: A framework to protect Population health. International Journal of Environmental Research and Public Health [Internet]. 2019 Jul 16;16(14):2531. Available from: https://doi.org/10.3390/ijerph16142531</w:t>
      </w:r>
    </w:p>
    <w:p w14:paraId="5C4732A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Schober, P., Boer, C. and </w:t>
      </w:r>
      <w:proofErr w:type="spellStart"/>
      <w:r w:rsidRPr="00D8283E">
        <w:rPr>
          <w:rFonts w:ascii="Times New Roman" w:eastAsia="Times New Roman" w:hAnsi="Times New Roman" w:cs="Times New Roman"/>
          <w:kern w:val="2"/>
          <w:sz w:val="24"/>
          <w:szCs w:val="24"/>
          <w:lang w:eastAsia="en-CA"/>
          <w14:ligatures w14:val="standardContextual"/>
        </w:rPr>
        <w:t>Schwarte</w:t>
      </w:r>
      <w:proofErr w:type="spellEnd"/>
      <w:r w:rsidRPr="00D8283E">
        <w:rPr>
          <w:rFonts w:ascii="Times New Roman" w:eastAsia="Times New Roman" w:hAnsi="Times New Roman" w:cs="Times New Roman"/>
          <w:kern w:val="2"/>
          <w:sz w:val="24"/>
          <w:szCs w:val="24"/>
          <w:lang w:eastAsia="en-CA"/>
          <w14:ligatures w14:val="standardContextual"/>
        </w:rPr>
        <w:t xml:space="preserve">, L.A. (2018) ‘Correlation coefficients: appropriate use and interpretation’, </w:t>
      </w:r>
      <w:r w:rsidRPr="00D8283E">
        <w:rPr>
          <w:rFonts w:ascii="Times New Roman" w:eastAsia="Times New Roman" w:hAnsi="Times New Roman" w:cs="Times New Roman"/>
          <w:i/>
          <w:iCs/>
          <w:kern w:val="2"/>
          <w:sz w:val="24"/>
          <w:szCs w:val="24"/>
          <w:lang w:eastAsia="en-CA"/>
          <w14:ligatures w14:val="standardContextual"/>
        </w:rPr>
        <w:t>Anesthesia &amp; Analgesia</w:t>
      </w:r>
      <w:r w:rsidRPr="00D8283E">
        <w:rPr>
          <w:rFonts w:ascii="Times New Roman" w:eastAsia="Times New Roman" w:hAnsi="Times New Roman" w:cs="Times New Roman"/>
          <w:kern w:val="2"/>
          <w:sz w:val="24"/>
          <w:szCs w:val="24"/>
          <w:lang w:eastAsia="en-CA"/>
          <w14:ligatures w14:val="standardContextual"/>
        </w:rPr>
        <w:t>, 126(5), pp. 1763–1768. https://doi.org/10.1213/ANE.0000000000002864</w:t>
      </w:r>
    </w:p>
    <w:p w14:paraId="326E5D20"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Schwerdtle</w:t>
      </w:r>
      <w:proofErr w:type="spellEnd"/>
      <w:r w:rsidRPr="00D8283E">
        <w:rPr>
          <w:rFonts w:ascii="Times New Roman" w:eastAsia="Times New Roman" w:hAnsi="Times New Roman" w:cs="Times New Roman"/>
          <w:kern w:val="2"/>
          <w:sz w:val="24"/>
          <w:szCs w:val="24"/>
          <w:lang w:eastAsia="en-CA"/>
          <w14:ligatures w14:val="standardContextual"/>
        </w:rPr>
        <w:t xml:space="preserve"> PN, Maxwell J, Horton G, </w:t>
      </w:r>
      <w:proofErr w:type="spellStart"/>
      <w:r w:rsidRPr="00D8283E">
        <w:rPr>
          <w:rFonts w:ascii="Times New Roman" w:eastAsia="Times New Roman" w:hAnsi="Times New Roman" w:cs="Times New Roman"/>
          <w:kern w:val="2"/>
          <w:sz w:val="24"/>
          <w:szCs w:val="24"/>
          <w:lang w:eastAsia="en-CA"/>
          <w14:ligatures w14:val="standardContextual"/>
        </w:rPr>
        <w:t>Bonnamy</w:t>
      </w:r>
      <w:proofErr w:type="spellEnd"/>
      <w:r w:rsidRPr="00D8283E">
        <w:rPr>
          <w:rFonts w:ascii="Times New Roman" w:eastAsia="Times New Roman" w:hAnsi="Times New Roman" w:cs="Times New Roman"/>
          <w:kern w:val="2"/>
          <w:sz w:val="24"/>
          <w:szCs w:val="24"/>
          <w:lang w:eastAsia="en-CA"/>
          <w14:ligatures w14:val="standardContextual"/>
        </w:rPr>
        <w:t xml:space="preserve"> J. ‘12 tips for teaching environmental sustainability to health professionals.’ Medical Teacher [Internet]. 2019 Jan 24;42(2):150–5. Available from: https://doi.org/10.1080/0142159x.2018.1551994</w:t>
      </w:r>
    </w:p>
    <w:p w14:paraId="4EF75A28"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Schwerdtle</w:t>
      </w:r>
      <w:proofErr w:type="spellEnd"/>
      <w:r w:rsidRPr="00D8283E">
        <w:rPr>
          <w:rFonts w:ascii="Times New Roman" w:eastAsia="Times New Roman" w:hAnsi="Times New Roman" w:cs="Times New Roman"/>
          <w:kern w:val="2"/>
          <w:sz w:val="24"/>
          <w:szCs w:val="24"/>
          <w:lang w:eastAsia="en-GB"/>
          <w14:ligatures w14:val="standardContextual"/>
        </w:rPr>
        <w:t xml:space="preserve"> PN, Maxwell J, Horton G, </w:t>
      </w:r>
      <w:proofErr w:type="spellStart"/>
      <w:r w:rsidRPr="00D8283E">
        <w:rPr>
          <w:rFonts w:ascii="Times New Roman" w:eastAsia="Times New Roman" w:hAnsi="Times New Roman" w:cs="Times New Roman"/>
          <w:kern w:val="2"/>
          <w:sz w:val="24"/>
          <w:szCs w:val="24"/>
          <w:lang w:eastAsia="en-GB"/>
          <w14:ligatures w14:val="standardContextual"/>
        </w:rPr>
        <w:t>Bonnamy</w:t>
      </w:r>
      <w:proofErr w:type="spellEnd"/>
      <w:r w:rsidRPr="00D8283E">
        <w:rPr>
          <w:rFonts w:ascii="Times New Roman" w:eastAsia="Times New Roman" w:hAnsi="Times New Roman" w:cs="Times New Roman"/>
          <w:kern w:val="2"/>
          <w:sz w:val="24"/>
          <w:szCs w:val="24"/>
          <w:lang w:eastAsia="en-GB"/>
          <w14:ligatures w14:val="standardContextual"/>
        </w:rPr>
        <w:t xml:space="preserve"> J. ‘12 tips for teaching environmental sustainability to health professionals.’ Medical Teacher [Internet]. 2019 Jan 24;42(2):150–5. Available from: https://doi.org/10.1080/0142159x.2018.1551994</w:t>
      </w:r>
    </w:p>
    <w:p w14:paraId="024A9FF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Setoguchi S, </w:t>
      </w:r>
      <w:proofErr w:type="spellStart"/>
      <w:r w:rsidRPr="00D8283E">
        <w:rPr>
          <w:rFonts w:ascii="Times New Roman" w:eastAsia="Times New Roman" w:hAnsi="Times New Roman" w:cs="Times New Roman"/>
          <w:kern w:val="2"/>
          <w:sz w:val="24"/>
          <w:szCs w:val="24"/>
          <w:lang w:eastAsia="en-CA"/>
          <w14:ligatures w14:val="standardContextual"/>
        </w:rPr>
        <w:t>Leddin</w:t>
      </w:r>
      <w:proofErr w:type="spellEnd"/>
      <w:r w:rsidRPr="00D8283E">
        <w:rPr>
          <w:rFonts w:ascii="Times New Roman" w:eastAsia="Times New Roman" w:hAnsi="Times New Roman" w:cs="Times New Roman"/>
          <w:kern w:val="2"/>
          <w:sz w:val="24"/>
          <w:szCs w:val="24"/>
          <w:lang w:eastAsia="en-CA"/>
          <w14:ligatures w14:val="standardContextual"/>
        </w:rPr>
        <w:t xml:space="preserve"> D, Metz G, </w:t>
      </w:r>
      <w:proofErr w:type="spellStart"/>
      <w:r w:rsidRPr="00D8283E">
        <w:rPr>
          <w:rFonts w:ascii="Times New Roman" w:eastAsia="Times New Roman" w:hAnsi="Times New Roman" w:cs="Times New Roman"/>
          <w:kern w:val="2"/>
          <w:sz w:val="24"/>
          <w:szCs w:val="24"/>
          <w:lang w:eastAsia="en-CA"/>
          <w14:ligatures w14:val="standardContextual"/>
        </w:rPr>
        <w:t>Omary</w:t>
      </w:r>
      <w:proofErr w:type="spellEnd"/>
      <w:r w:rsidRPr="00D8283E">
        <w:rPr>
          <w:rFonts w:ascii="Times New Roman" w:eastAsia="Times New Roman" w:hAnsi="Times New Roman" w:cs="Times New Roman"/>
          <w:kern w:val="2"/>
          <w:sz w:val="24"/>
          <w:szCs w:val="24"/>
          <w:lang w:eastAsia="en-CA"/>
          <w14:ligatures w14:val="standardContextual"/>
        </w:rPr>
        <w:t xml:space="preserve"> MB. Climate Change, Health, and Health care Systems: A Global perspective. Gastroenterology [Internet]. 2022 Mar 2;162(6):1549–55. Available from: https://doi.org/10.1053/j.gastro.2022.02.037</w:t>
      </w:r>
    </w:p>
    <w:p w14:paraId="03E70AF1"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Shaman J, Knowlton K. The need for climate and health education. American Journal of Public Health [Internet]. 2017 Oct 26;108(S2</w:t>
      </w:r>
      <w:proofErr w:type="gramStart"/>
      <w:r w:rsidRPr="00D8283E">
        <w:rPr>
          <w:rFonts w:ascii="Times New Roman" w:eastAsia="Times New Roman" w:hAnsi="Times New Roman" w:cs="Times New Roman"/>
          <w:kern w:val="2"/>
          <w:sz w:val="24"/>
          <w:szCs w:val="24"/>
          <w:lang w:eastAsia="en-GB"/>
          <w14:ligatures w14:val="standardContextual"/>
        </w:rPr>
        <w:t>):S</w:t>
      </w:r>
      <w:proofErr w:type="gramEnd"/>
      <w:r w:rsidRPr="00D8283E">
        <w:rPr>
          <w:rFonts w:ascii="Times New Roman" w:eastAsia="Times New Roman" w:hAnsi="Times New Roman" w:cs="Times New Roman"/>
          <w:kern w:val="2"/>
          <w:sz w:val="24"/>
          <w:szCs w:val="24"/>
          <w:lang w:eastAsia="en-GB"/>
          <w14:ligatures w14:val="standardContextual"/>
        </w:rPr>
        <w:t>66–7. Available from: https://doi.org/10.2105/ajph.2017.304045</w:t>
      </w:r>
    </w:p>
    <w:p w14:paraId="519B74F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Shan Y. Philosophical foundations of mixed methods research. Philosophy Compass [Internet]. 2021 Dec 16;17(1). Available from: https://doi.org/10.1111/phc3.12804</w:t>
      </w:r>
    </w:p>
    <w:p w14:paraId="53E378D8"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lastRenderedPageBreak/>
        <w:t>Shea B, Knowlton K, Shaman J. Assessment of Climate-Health Curricula at International Health Professions Schools. JAMA Network Open [Internet]. 2020 May 28;3(5</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206609. Available from: https://doi.org/10.1001/jamanetworkopen.2020.6609</w:t>
      </w:r>
    </w:p>
    <w:p w14:paraId="589FE5D0"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Shorten A, Smith J. Mixed methods research: expanding the evidence base. Evidence-Based Nursing [Internet]. 2017 Jun 14;20(3):74–5. Available from: https://doi.org/10.1136/eb-2017-102699</w:t>
      </w:r>
    </w:p>
    <w:p w14:paraId="0940334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Sijm-Eeken</w:t>
      </w:r>
      <w:proofErr w:type="spellEnd"/>
      <w:r w:rsidRPr="00D8283E">
        <w:rPr>
          <w:rFonts w:ascii="Times New Roman" w:eastAsia="Times New Roman" w:hAnsi="Times New Roman" w:cs="Times New Roman"/>
          <w:kern w:val="2"/>
          <w:sz w:val="24"/>
          <w:szCs w:val="24"/>
          <w:lang w:eastAsia="en-CA"/>
          <w14:ligatures w14:val="standardContextual"/>
        </w:rPr>
        <w:t xml:space="preserve"> M, Jaspers M, </w:t>
      </w:r>
      <w:proofErr w:type="spellStart"/>
      <w:r w:rsidRPr="00D8283E">
        <w:rPr>
          <w:rFonts w:ascii="Times New Roman" w:eastAsia="Times New Roman" w:hAnsi="Times New Roman" w:cs="Times New Roman"/>
          <w:kern w:val="2"/>
          <w:sz w:val="24"/>
          <w:szCs w:val="24"/>
          <w:lang w:eastAsia="en-CA"/>
          <w14:ligatures w14:val="standardContextual"/>
        </w:rPr>
        <w:t>Peute</w:t>
      </w:r>
      <w:proofErr w:type="spellEnd"/>
      <w:r w:rsidRPr="00D8283E">
        <w:rPr>
          <w:rFonts w:ascii="Times New Roman" w:eastAsia="Times New Roman" w:hAnsi="Times New Roman" w:cs="Times New Roman"/>
          <w:kern w:val="2"/>
          <w:sz w:val="24"/>
          <w:szCs w:val="24"/>
          <w:lang w:eastAsia="en-CA"/>
          <w14:ligatures w14:val="standardContextual"/>
        </w:rPr>
        <w:t xml:space="preserve"> L. Training healthcare professionals to mitigate the climate challenge – Development of a lean six sigma E-Learning. Studies in Health Technology and Informatics [Internet]. 2023 Jun 29; Available from: https://doi.org/10.3233/shti230434</w:t>
      </w:r>
    </w:p>
    <w:p w14:paraId="7EFB248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Silverman GS. Systematic lack of educational preparation in addressing climate change as a major public health challenge. American Journal of Public Health [Internet]. 2019 Jan 16;109(2):242–3. Available from: https://doi.org/10.2105/ajph.2018.304818</w:t>
      </w:r>
    </w:p>
    <w:p w14:paraId="03B4EF57"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Simmonds K, </w:t>
      </w:r>
      <w:proofErr w:type="spellStart"/>
      <w:r w:rsidRPr="00D8283E">
        <w:rPr>
          <w:rFonts w:ascii="Times New Roman" w:eastAsia="Times New Roman" w:hAnsi="Times New Roman" w:cs="Times New Roman"/>
          <w:kern w:val="2"/>
          <w:sz w:val="24"/>
          <w:szCs w:val="24"/>
          <w:lang w:eastAsia="en-CA"/>
          <w14:ligatures w14:val="standardContextual"/>
        </w:rPr>
        <w:t>Breakey</w:t>
      </w:r>
      <w:proofErr w:type="spellEnd"/>
      <w:r w:rsidRPr="00D8283E">
        <w:rPr>
          <w:rFonts w:ascii="Times New Roman" w:eastAsia="Times New Roman" w:hAnsi="Times New Roman" w:cs="Times New Roman"/>
          <w:kern w:val="2"/>
          <w:sz w:val="24"/>
          <w:szCs w:val="24"/>
          <w:lang w:eastAsia="en-CA"/>
          <w14:ligatures w14:val="standardContextual"/>
        </w:rPr>
        <w:t xml:space="preserve"> S, Nicholas PK. Educating nurse practitioners about climate change, health, and climate justice. The Journal for Nurse Practitioners [Internet]. 2021 Nov 1;18(4):429–33. Available from: https://doi.org/10.1016/j.nurpra.2021.10.006</w:t>
      </w:r>
    </w:p>
    <w:p w14:paraId="4F4E9B2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Singhal, A. (2017) ‘Case-based learning in microbiology: observations from a North West Indian medical college’, </w:t>
      </w:r>
      <w:r w:rsidRPr="00D8283E">
        <w:rPr>
          <w:rFonts w:ascii="Times New Roman" w:eastAsia="Times New Roman" w:hAnsi="Times New Roman" w:cs="Times New Roman"/>
          <w:i/>
          <w:iCs/>
          <w:kern w:val="2"/>
          <w:sz w:val="24"/>
          <w:szCs w:val="24"/>
          <w:lang w:eastAsia="en-CA"/>
          <w14:ligatures w14:val="standardContextual"/>
        </w:rPr>
        <w:t>International Journal of Applied and Basic Medical Research</w:t>
      </w:r>
      <w:r w:rsidRPr="00D8283E">
        <w:rPr>
          <w:rFonts w:ascii="Times New Roman" w:eastAsia="Times New Roman" w:hAnsi="Times New Roman" w:cs="Times New Roman"/>
          <w:kern w:val="2"/>
          <w:sz w:val="24"/>
          <w:szCs w:val="24"/>
          <w:lang w:eastAsia="en-CA"/>
          <w14:ligatures w14:val="standardContextual"/>
        </w:rPr>
        <w:t>, 7(Suppl. 1), pp. S47–S51. https://doi.org/10.4103/ijabmr.IJABMR_146_17</w:t>
      </w:r>
    </w:p>
    <w:p w14:paraId="15A3B42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Slavin</w:t>
      </w:r>
      <w:proofErr w:type="spellEnd"/>
      <w:r w:rsidRPr="00D8283E">
        <w:rPr>
          <w:rFonts w:ascii="Times New Roman" w:eastAsia="Times New Roman" w:hAnsi="Times New Roman" w:cs="Times New Roman"/>
          <w:kern w:val="2"/>
          <w:sz w:val="24"/>
          <w:szCs w:val="24"/>
          <w:lang w:eastAsia="en-CA"/>
          <w14:ligatures w14:val="standardContextual"/>
        </w:rPr>
        <w:t xml:space="preserve"> S, </w:t>
      </w:r>
      <w:proofErr w:type="spellStart"/>
      <w:r w:rsidRPr="00D8283E">
        <w:rPr>
          <w:rFonts w:ascii="Times New Roman" w:eastAsia="Times New Roman" w:hAnsi="Times New Roman" w:cs="Times New Roman"/>
          <w:kern w:val="2"/>
          <w:sz w:val="24"/>
          <w:szCs w:val="24"/>
          <w:lang w:eastAsia="en-CA"/>
          <w14:ligatures w14:val="standardContextual"/>
        </w:rPr>
        <w:t>D’Eon</w:t>
      </w:r>
      <w:proofErr w:type="spellEnd"/>
      <w:r w:rsidRPr="00D8283E">
        <w:rPr>
          <w:rFonts w:ascii="Times New Roman" w:eastAsia="Times New Roman" w:hAnsi="Times New Roman" w:cs="Times New Roman"/>
          <w:kern w:val="2"/>
          <w:sz w:val="24"/>
          <w:szCs w:val="24"/>
          <w:lang w:eastAsia="en-CA"/>
          <w14:ligatures w14:val="standardContextual"/>
        </w:rPr>
        <w:t xml:space="preserve"> MF. Overcrowded curriculum is an impediment to change (Part A). Canadian Medical Education Journal [Internet]. 2021 Sep 15;12(4):1–6. Available from: https://doi.org/10.36834/cmej.73532</w:t>
      </w:r>
    </w:p>
    <w:p w14:paraId="4443662E" w14:textId="77777777" w:rsidR="00D8283E" w:rsidRPr="00D8283E" w:rsidRDefault="00D8283E" w:rsidP="00D8283E">
      <w:pPr>
        <w:spacing w:after="0" w:line="360" w:lineRule="auto"/>
        <w:ind w:firstLine="720"/>
        <w:rPr>
          <w:rFonts w:ascii="Times New Roman" w:hAnsi="Times New Roman" w:cs="Times New Roman"/>
          <w:color w:val="212121"/>
          <w:kern w:val="2"/>
          <w:sz w:val="24"/>
          <w:szCs w:val="24"/>
          <w:shd w:val="clear" w:color="auto" w:fill="FFFFFF"/>
          <w14:ligatures w14:val="standardContextual"/>
        </w:rPr>
      </w:pPr>
      <w:r w:rsidRPr="00D8283E">
        <w:rPr>
          <w:rFonts w:ascii="Times New Roman" w:hAnsi="Times New Roman" w:cs="Times New Roman"/>
          <w:color w:val="212121"/>
          <w:kern w:val="2"/>
          <w:sz w:val="24"/>
          <w:szCs w:val="24"/>
          <w:shd w:val="clear" w:color="auto" w:fill="FFFFFF"/>
          <w14:ligatures w14:val="standardContextual"/>
        </w:rPr>
        <w:t xml:space="preserve">Smith GS, Anjum E, Francis C, </w:t>
      </w:r>
      <w:proofErr w:type="spellStart"/>
      <w:r w:rsidRPr="00D8283E">
        <w:rPr>
          <w:rFonts w:ascii="Times New Roman" w:hAnsi="Times New Roman" w:cs="Times New Roman"/>
          <w:color w:val="212121"/>
          <w:kern w:val="2"/>
          <w:sz w:val="24"/>
          <w:szCs w:val="24"/>
          <w:shd w:val="clear" w:color="auto" w:fill="FFFFFF"/>
          <w14:ligatures w14:val="standardContextual"/>
        </w:rPr>
        <w:t>Deanes</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L, </w:t>
      </w:r>
      <w:proofErr w:type="spellStart"/>
      <w:r w:rsidRPr="00D8283E">
        <w:rPr>
          <w:rFonts w:ascii="Times New Roman" w:hAnsi="Times New Roman" w:cs="Times New Roman"/>
          <w:color w:val="212121"/>
          <w:kern w:val="2"/>
          <w:sz w:val="24"/>
          <w:szCs w:val="24"/>
          <w:shd w:val="clear" w:color="auto" w:fill="FFFFFF"/>
          <w14:ligatures w14:val="standardContextual"/>
        </w:rPr>
        <w:t>Acey</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C. Climate Change, Environmental Disasters, and Health Inequities: The Underlying Role of Structural Inequalities. </w:t>
      </w:r>
      <w:proofErr w:type="spellStart"/>
      <w:r w:rsidRPr="00D8283E">
        <w:rPr>
          <w:rFonts w:ascii="Times New Roman" w:hAnsi="Times New Roman" w:cs="Times New Roman"/>
          <w:color w:val="212121"/>
          <w:kern w:val="2"/>
          <w:sz w:val="24"/>
          <w:szCs w:val="24"/>
          <w:shd w:val="clear" w:color="auto" w:fill="FFFFFF"/>
          <w14:ligatures w14:val="standardContextual"/>
        </w:rPr>
        <w:t>Curr</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Environ Health Rep. 2022 Mar;9(1):80-89. </w:t>
      </w:r>
      <w:proofErr w:type="spellStart"/>
      <w:r w:rsidRPr="00D8283E">
        <w:rPr>
          <w:rFonts w:ascii="Times New Roman" w:hAnsi="Times New Roman" w:cs="Times New Roman"/>
          <w:color w:val="212121"/>
          <w:kern w:val="2"/>
          <w:sz w:val="24"/>
          <w:szCs w:val="24"/>
          <w:shd w:val="clear" w:color="auto" w:fill="FFFFFF"/>
          <w14:ligatures w14:val="standardContextual"/>
        </w:rPr>
        <w:t>doi</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10.1007/s40572-022-00336-w. </w:t>
      </w:r>
      <w:proofErr w:type="spellStart"/>
      <w:r w:rsidRPr="00D8283E">
        <w:rPr>
          <w:rFonts w:ascii="Times New Roman" w:hAnsi="Times New Roman" w:cs="Times New Roman"/>
          <w:color w:val="212121"/>
          <w:kern w:val="2"/>
          <w:sz w:val="24"/>
          <w:szCs w:val="24"/>
          <w:shd w:val="clear" w:color="auto" w:fill="FFFFFF"/>
          <w14:ligatures w14:val="standardContextual"/>
        </w:rPr>
        <w:t>Epub</w:t>
      </w:r>
      <w:proofErr w:type="spellEnd"/>
      <w:r w:rsidRPr="00D8283E">
        <w:rPr>
          <w:rFonts w:ascii="Times New Roman" w:hAnsi="Times New Roman" w:cs="Times New Roman"/>
          <w:color w:val="212121"/>
          <w:kern w:val="2"/>
          <w:sz w:val="24"/>
          <w:szCs w:val="24"/>
          <w:shd w:val="clear" w:color="auto" w:fill="FFFFFF"/>
          <w14:ligatures w14:val="standardContextual"/>
        </w:rPr>
        <w:t xml:space="preserve"> 2022 Mar 26. PMID: 35338470.</w:t>
      </w:r>
    </w:p>
    <w:p w14:paraId="68B3D204"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Smith MCH, </w:t>
      </w:r>
      <w:proofErr w:type="spellStart"/>
      <w:r w:rsidRPr="00D8283E">
        <w:rPr>
          <w:rFonts w:ascii="Times New Roman" w:eastAsia="Times New Roman" w:hAnsi="Times New Roman" w:cs="Times New Roman"/>
          <w:kern w:val="2"/>
          <w:sz w:val="24"/>
          <w:szCs w:val="24"/>
          <w:lang w:eastAsia="en-GB"/>
          <w14:ligatures w14:val="standardContextual"/>
        </w:rPr>
        <w:t>Babchuk</w:t>
      </w:r>
      <w:proofErr w:type="spellEnd"/>
      <w:r w:rsidRPr="00D8283E">
        <w:rPr>
          <w:rFonts w:ascii="Times New Roman" w:eastAsia="Times New Roman" w:hAnsi="Times New Roman" w:cs="Times New Roman"/>
          <w:kern w:val="2"/>
          <w:sz w:val="24"/>
          <w:szCs w:val="24"/>
          <w:lang w:eastAsia="en-GB"/>
          <w14:ligatures w14:val="standardContextual"/>
        </w:rPr>
        <w:t xml:space="preserve"> WA, Stevens J, Garrett AL, Wang SC, </w:t>
      </w:r>
      <w:proofErr w:type="spellStart"/>
      <w:r w:rsidRPr="00D8283E">
        <w:rPr>
          <w:rFonts w:ascii="Times New Roman" w:eastAsia="Times New Roman" w:hAnsi="Times New Roman" w:cs="Times New Roman"/>
          <w:kern w:val="2"/>
          <w:sz w:val="24"/>
          <w:szCs w:val="24"/>
          <w:lang w:eastAsia="en-GB"/>
          <w14:ligatures w14:val="standardContextual"/>
        </w:rPr>
        <w:t>Guetterman</w:t>
      </w:r>
      <w:proofErr w:type="spellEnd"/>
      <w:r w:rsidRPr="00D8283E">
        <w:rPr>
          <w:rFonts w:ascii="Times New Roman" w:eastAsia="Times New Roman" w:hAnsi="Times New Roman" w:cs="Times New Roman"/>
          <w:kern w:val="2"/>
          <w:sz w:val="24"/>
          <w:szCs w:val="24"/>
          <w:lang w:eastAsia="en-GB"/>
          <w14:ligatures w14:val="standardContextual"/>
        </w:rPr>
        <w:t xml:space="preserve"> TC. Modeling the use of Mixed Methods–Grounded Theory: Developing scales for a new measurement model. Journal of Mixed Methods Research [Internet]. 2019 Sep 13;14(2):184–206. Available from: https://doi.org/10.1177/1558689819872599</w:t>
      </w:r>
    </w:p>
    <w:p w14:paraId="558CE57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lastRenderedPageBreak/>
        <w:t>Sonnino</w:t>
      </w:r>
      <w:proofErr w:type="spellEnd"/>
      <w:r w:rsidRPr="00D8283E">
        <w:rPr>
          <w:rFonts w:ascii="Times New Roman" w:eastAsia="Times New Roman" w:hAnsi="Times New Roman" w:cs="Times New Roman"/>
          <w:kern w:val="2"/>
          <w:sz w:val="24"/>
          <w:szCs w:val="24"/>
          <w:lang w:eastAsia="en-CA"/>
          <w14:ligatures w14:val="standardContextual"/>
        </w:rPr>
        <w:t xml:space="preserve"> R. Health care leadership development and training: progress and pitfalls. Journal of Healthcare Leadership [Internet]. 2016 Feb 1;19. Available from: https://doi.org/10.2147/jhl.s68068</w:t>
      </w:r>
    </w:p>
    <w:p w14:paraId="194B729A" w14:textId="77777777" w:rsidR="00D8283E" w:rsidRDefault="00D8283E" w:rsidP="00D8283E">
      <w:pPr>
        <w:shd w:val="clear" w:color="auto" w:fill="FFFFFF"/>
        <w:spacing w:after="0" w:line="360" w:lineRule="auto"/>
        <w:ind w:firstLine="720"/>
        <w:rPr>
          <w:rFonts w:ascii="Times New Roman" w:hAnsi="Times New Roman" w:cs="Times New Roman"/>
          <w:color w:val="303030"/>
          <w:kern w:val="2"/>
          <w:sz w:val="24"/>
          <w:szCs w:val="24"/>
          <w:shd w:val="clear" w:color="auto" w:fill="FFFFFF"/>
          <w14:ligatures w14:val="standardContextual"/>
        </w:rPr>
      </w:pPr>
      <w:r w:rsidRPr="00D8283E">
        <w:rPr>
          <w:rFonts w:ascii="Times New Roman" w:hAnsi="Times New Roman" w:cs="Times New Roman"/>
          <w:color w:val="202020"/>
          <w:kern w:val="2"/>
          <w:sz w:val="24"/>
          <w:szCs w:val="24"/>
          <w:shd w:val="clear" w:color="auto" w:fill="FFFFFF"/>
          <w14:ligatures w14:val="standardContextual"/>
        </w:rPr>
        <w:t xml:space="preserve">Sorensen C., Campbell H., </w:t>
      </w:r>
      <w:proofErr w:type="spellStart"/>
      <w:r w:rsidRPr="00D8283E">
        <w:rPr>
          <w:rFonts w:ascii="Times New Roman" w:hAnsi="Times New Roman" w:cs="Times New Roman"/>
          <w:color w:val="202020"/>
          <w:kern w:val="2"/>
          <w:sz w:val="24"/>
          <w:szCs w:val="24"/>
          <w:shd w:val="clear" w:color="auto" w:fill="FFFFFF"/>
          <w14:ligatures w14:val="standardContextual"/>
        </w:rPr>
        <w:t>Depoux</w:t>
      </w:r>
      <w:proofErr w:type="spellEnd"/>
      <w:r w:rsidRPr="00D8283E">
        <w:rPr>
          <w:rFonts w:ascii="Times New Roman" w:hAnsi="Times New Roman" w:cs="Times New Roman"/>
          <w:color w:val="202020"/>
          <w:kern w:val="2"/>
          <w:sz w:val="24"/>
          <w:szCs w:val="24"/>
          <w:shd w:val="clear" w:color="auto" w:fill="FFFFFF"/>
          <w14:ligatures w14:val="standardContextual"/>
        </w:rPr>
        <w:t xml:space="preserve"> A., Finkel M., </w:t>
      </w:r>
      <w:proofErr w:type="spellStart"/>
      <w:r w:rsidRPr="00D8283E">
        <w:rPr>
          <w:rFonts w:ascii="Times New Roman" w:hAnsi="Times New Roman" w:cs="Times New Roman"/>
          <w:color w:val="202020"/>
          <w:kern w:val="2"/>
          <w:sz w:val="24"/>
          <w:szCs w:val="24"/>
          <w:shd w:val="clear" w:color="auto" w:fill="FFFFFF"/>
          <w14:ligatures w14:val="standardContextual"/>
        </w:rPr>
        <w:t>Gilden</w:t>
      </w:r>
      <w:proofErr w:type="spellEnd"/>
      <w:r w:rsidRPr="00D8283E">
        <w:rPr>
          <w:rFonts w:ascii="Times New Roman" w:hAnsi="Times New Roman" w:cs="Times New Roman"/>
          <w:color w:val="202020"/>
          <w:kern w:val="2"/>
          <w:sz w:val="24"/>
          <w:szCs w:val="24"/>
          <w:shd w:val="clear" w:color="auto" w:fill="FFFFFF"/>
          <w14:ligatures w14:val="standardContextual"/>
        </w:rPr>
        <w:t xml:space="preserve"> R., Hadley K., et al. Climate &amp; health </w:t>
      </w:r>
      <w:proofErr w:type="spellStart"/>
      <w:r w:rsidRPr="00D8283E">
        <w:rPr>
          <w:rFonts w:ascii="Times New Roman" w:hAnsi="Times New Roman" w:cs="Times New Roman"/>
          <w:color w:val="202020"/>
          <w:kern w:val="2"/>
          <w:sz w:val="24"/>
          <w:szCs w:val="24"/>
          <w:shd w:val="clear" w:color="auto" w:fill="FFFFFF"/>
          <w14:ligatures w14:val="standardContextual"/>
        </w:rPr>
        <w:t>core</w:t>
      </w:r>
      <w:proofErr w:type="spellEnd"/>
      <w:r w:rsidRPr="00D8283E">
        <w:rPr>
          <w:rFonts w:ascii="Times New Roman" w:hAnsi="Times New Roman" w:cs="Times New Roman"/>
          <w:color w:val="202020"/>
          <w:kern w:val="2"/>
          <w:sz w:val="24"/>
          <w:szCs w:val="24"/>
          <w:shd w:val="clear" w:color="auto" w:fill="FFFFFF"/>
          <w14:ligatures w14:val="standardContextual"/>
        </w:rPr>
        <w:t xml:space="preserve"> concepts for health professionals [Internet]. Columbia Mailman School of Public Health; 2023 [cited 2024 Aug 25) Available from: </w:t>
      </w:r>
      <w:hyperlink r:id="rId56" w:history="1">
        <w:r w:rsidRPr="00D8283E">
          <w:rPr>
            <w:rFonts w:ascii="Times New Roman" w:hAnsi="Times New Roman" w:cs="Times New Roman"/>
            <w:color w:val="04B64B"/>
            <w:kern w:val="2"/>
            <w:sz w:val="24"/>
            <w:szCs w:val="24"/>
            <w:u w:val="single"/>
            <w:shd w:val="clear" w:color="auto" w:fill="FFFFFF"/>
            <w14:ligatures w14:val="standardContextual"/>
          </w:rPr>
          <w:t>https://www.publichealth.columbia.edu/file/11492/download?token=bBURLrFC</w:t>
        </w:r>
      </w:hyperlink>
      <w:r w:rsidRPr="00D8283E">
        <w:rPr>
          <w:rFonts w:ascii="Times New Roman" w:hAnsi="Times New Roman" w:cs="Times New Roman"/>
          <w:color w:val="202020"/>
          <w:kern w:val="2"/>
          <w:sz w:val="24"/>
          <w:szCs w:val="24"/>
          <w:shd w:val="clear" w:color="auto" w:fill="FFFFFF"/>
          <w14:ligatures w14:val="standardContextual"/>
        </w:rPr>
        <w:t>.</w:t>
      </w:r>
      <w:r w:rsidRPr="00D8283E">
        <w:rPr>
          <w:rFonts w:ascii="Times New Roman" w:hAnsi="Times New Roman" w:cs="Times New Roman"/>
          <w:color w:val="303030"/>
          <w:kern w:val="2"/>
          <w:sz w:val="24"/>
          <w:szCs w:val="24"/>
          <w:shd w:val="clear" w:color="auto" w:fill="FFFFFF"/>
          <w14:ligatures w14:val="standardContextual"/>
        </w:rPr>
        <w:t xml:space="preserve"> </w:t>
      </w:r>
    </w:p>
    <w:p w14:paraId="4389B472" w14:textId="7D65B009" w:rsidR="00286825" w:rsidRPr="00D8283E" w:rsidRDefault="00286825" w:rsidP="00286825">
      <w:pPr>
        <w:shd w:val="clear" w:color="auto" w:fill="FFFFFF"/>
        <w:spacing w:after="0" w:line="360" w:lineRule="auto"/>
        <w:ind w:firstLine="720"/>
        <w:rPr>
          <w:rFonts w:ascii="Times New Roman" w:hAnsi="Times New Roman" w:cs="Times New Roman"/>
          <w:color w:val="303030"/>
          <w:kern w:val="2"/>
          <w:sz w:val="24"/>
          <w:szCs w:val="24"/>
          <w:shd w:val="clear" w:color="auto" w:fill="FFFFFF"/>
          <w14:ligatures w14:val="standardContextual"/>
        </w:rPr>
      </w:pPr>
      <w:r w:rsidRPr="00286825">
        <w:rPr>
          <w:rFonts w:ascii="Times New Roman" w:hAnsi="Times New Roman" w:cs="Times New Roman"/>
          <w:color w:val="303030"/>
          <w:kern w:val="2"/>
          <w:sz w:val="24"/>
          <w:szCs w:val="24"/>
          <w:shd w:val="clear" w:color="auto" w:fill="FFFFFF"/>
          <w14:ligatures w14:val="standardContextual"/>
        </w:rPr>
        <w:t xml:space="preserve">Sorensen C, </w:t>
      </w:r>
      <w:proofErr w:type="spellStart"/>
      <w:r w:rsidRPr="00286825">
        <w:rPr>
          <w:rFonts w:ascii="Times New Roman" w:hAnsi="Times New Roman" w:cs="Times New Roman"/>
          <w:color w:val="303030"/>
          <w:kern w:val="2"/>
          <w:sz w:val="24"/>
          <w:szCs w:val="24"/>
          <w:shd w:val="clear" w:color="auto" w:fill="FFFFFF"/>
          <w14:ligatures w14:val="standardContextual"/>
        </w:rPr>
        <w:t>Hospedales</w:t>
      </w:r>
      <w:proofErr w:type="spellEnd"/>
      <w:r w:rsidRPr="00286825">
        <w:rPr>
          <w:rFonts w:ascii="Times New Roman" w:hAnsi="Times New Roman" w:cs="Times New Roman"/>
          <w:color w:val="303030"/>
          <w:kern w:val="2"/>
          <w:sz w:val="24"/>
          <w:szCs w:val="24"/>
          <w:shd w:val="clear" w:color="auto" w:fill="FFFFFF"/>
          <w14:ligatures w14:val="standardContextual"/>
        </w:rPr>
        <w:t xml:space="preserve"> J. Training health leaders to strengthen our response to the climate crisis. BMJ. 2024 Oct 8;</w:t>
      </w:r>
      <w:proofErr w:type="gramStart"/>
      <w:r w:rsidRPr="00286825">
        <w:rPr>
          <w:rFonts w:ascii="Times New Roman" w:hAnsi="Times New Roman" w:cs="Times New Roman"/>
          <w:color w:val="303030"/>
          <w:kern w:val="2"/>
          <w:sz w:val="24"/>
          <w:szCs w:val="24"/>
          <w:shd w:val="clear" w:color="auto" w:fill="FFFFFF"/>
          <w14:ligatures w14:val="standardContextual"/>
        </w:rPr>
        <w:t>387:q</w:t>
      </w:r>
      <w:proofErr w:type="gramEnd"/>
      <w:r w:rsidRPr="00286825">
        <w:rPr>
          <w:rFonts w:ascii="Times New Roman" w:hAnsi="Times New Roman" w:cs="Times New Roman"/>
          <w:color w:val="303030"/>
          <w:kern w:val="2"/>
          <w:sz w:val="24"/>
          <w:szCs w:val="24"/>
          <w:shd w:val="clear" w:color="auto" w:fill="FFFFFF"/>
          <w14:ligatures w14:val="standardContextual"/>
        </w:rPr>
        <w:t xml:space="preserve">2086. </w:t>
      </w:r>
      <w:proofErr w:type="spellStart"/>
      <w:r w:rsidRPr="00286825">
        <w:rPr>
          <w:rFonts w:ascii="Times New Roman" w:hAnsi="Times New Roman" w:cs="Times New Roman"/>
          <w:color w:val="303030"/>
          <w:kern w:val="2"/>
          <w:sz w:val="24"/>
          <w:szCs w:val="24"/>
          <w:shd w:val="clear" w:color="auto" w:fill="FFFFFF"/>
          <w14:ligatures w14:val="standardContextual"/>
        </w:rPr>
        <w:t>doi</w:t>
      </w:r>
      <w:proofErr w:type="spellEnd"/>
      <w:r w:rsidRPr="00286825">
        <w:rPr>
          <w:rFonts w:ascii="Times New Roman" w:hAnsi="Times New Roman" w:cs="Times New Roman"/>
          <w:color w:val="303030"/>
          <w:kern w:val="2"/>
          <w:sz w:val="24"/>
          <w:szCs w:val="24"/>
          <w:shd w:val="clear" w:color="auto" w:fill="FFFFFF"/>
          <w14:ligatures w14:val="standardContextual"/>
        </w:rPr>
        <w:t>: 10.1136/</w:t>
      </w:r>
      <w:proofErr w:type="gramStart"/>
      <w:r w:rsidRPr="00286825">
        <w:rPr>
          <w:rFonts w:ascii="Times New Roman" w:hAnsi="Times New Roman" w:cs="Times New Roman"/>
          <w:color w:val="303030"/>
          <w:kern w:val="2"/>
          <w:sz w:val="24"/>
          <w:szCs w:val="24"/>
          <w:shd w:val="clear" w:color="auto" w:fill="FFFFFF"/>
          <w14:ligatures w14:val="standardContextual"/>
        </w:rPr>
        <w:t>bmj.q</w:t>
      </w:r>
      <w:proofErr w:type="gramEnd"/>
      <w:r w:rsidRPr="00286825">
        <w:rPr>
          <w:rFonts w:ascii="Times New Roman" w:hAnsi="Times New Roman" w:cs="Times New Roman"/>
          <w:color w:val="303030"/>
          <w:kern w:val="2"/>
          <w:sz w:val="24"/>
          <w:szCs w:val="24"/>
          <w:shd w:val="clear" w:color="auto" w:fill="FFFFFF"/>
          <w14:ligatures w14:val="standardContextual"/>
        </w:rPr>
        <w:t>2086. PMID: 39379129.</w:t>
      </w:r>
    </w:p>
    <w:p w14:paraId="7E784127"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Spanos S, Leask E, Patel R, </w:t>
      </w:r>
      <w:proofErr w:type="spellStart"/>
      <w:r w:rsidRPr="00D8283E">
        <w:rPr>
          <w:rFonts w:ascii="Times New Roman" w:eastAsia="Times New Roman" w:hAnsi="Times New Roman" w:cs="Times New Roman"/>
          <w:kern w:val="2"/>
          <w:sz w:val="24"/>
          <w:szCs w:val="24"/>
          <w:lang w:eastAsia="en-GB"/>
          <w14:ligatures w14:val="standardContextual"/>
        </w:rPr>
        <w:t>Datyner</w:t>
      </w:r>
      <w:proofErr w:type="spellEnd"/>
      <w:r w:rsidRPr="00D8283E">
        <w:rPr>
          <w:rFonts w:ascii="Times New Roman" w:eastAsia="Times New Roman" w:hAnsi="Times New Roman" w:cs="Times New Roman"/>
          <w:kern w:val="2"/>
          <w:sz w:val="24"/>
          <w:szCs w:val="24"/>
          <w:lang w:eastAsia="en-GB"/>
          <w14:ligatures w14:val="standardContextual"/>
        </w:rPr>
        <w:t xml:space="preserve"> M, </w:t>
      </w:r>
      <w:proofErr w:type="spellStart"/>
      <w:r w:rsidRPr="00D8283E">
        <w:rPr>
          <w:rFonts w:ascii="Times New Roman" w:eastAsia="Times New Roman" w:hAnsi="Times New Roman" w:cs="Times New Roman"/>
          <w:kern w:val="2"/>
          <w:sz w:val="24"/>
          <w:szCs w:val="24"/>
          <w:lang w:eastAsia="en-GB"/>
          <w14:ligatures w14:val="standardContextual"/>
        </w:rPr>
        <w:t>Loh</w:t>
      </w:r>
      <w:proofErr w:type="spellEnd"/>
      <w:r w:rsidRPr="00D8283E">
        <w:rPr>
          <w:rFonts w:ascii="Times New Roman" w:eastAsia="Times New Roman" w:hAnsi="Times New Roman" w:cs="Times New Roman"/>
          <w:kern w:val="2"/>
          <w:sz w:val="24"/>
          <w:szCs w:val="24"/>
          <w:lang w:eastAsia="en-GB"/>
          <w14:ligatures w14:val="standardContextual"/>
        </w:rPr>
        <w:t xml:space="preserve"> E, Braithwaite J. Healthcare leaders navigating complexity: a scoping review of key trends in future roles and competencies. BMC Medical Education [Internet]. 2024 Jul 3;24(1). Available from: https://doi.org/10.1186/s12909-024-05689-4</w:t>
      </w:r>
    </w:p>
    <w:p w14:paraId="666872B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Sriharan</w:t>
      </w:r>
      <w:proofErr w:type="spellEnd"/>
      <w:r w:rsidRPr="00D8283E">
        <w:rPr>
          <w:rFonts w:ascii="Times New Roman" w:eastAsia="Times New Roman" w:hAnsi="Times New Roman" w:cs="Times New Roman"/>
          <w:kern w:val="2"/>
          <w:sz w:val="24"/>
          <w:szCs w:val="24"/>
          <w:lang w:eastAsia="en-CA"/>
          <w14:ligatures w14:val="standardContextual"/>
        </w:rPr>
        <w:t xml:space="preserve"> A, </w:t>
      </w:r>
      <w:proofErr w:type="spellStart"/>
      <w:r w:rsidRPr="00D8283E">
        <w:rPr>
          <w:rFonts w:ascii="Times New Roman" w:eastAsia="Times New Roman" w:hAnsi="Times New Roman" w:cs="Times New Roman"/>
          <w:kern w:val="2"/>
          <w:sz w:val="24"/>
          <w:szCs w:val="24"/>
          <w:lang w:eastAsia="en-CA"/>
          <w14:ligatures w14:val="standardContextual"/>
        </w:rPr>
        <w:t>Hertelendy</w:t>
      </w:r>
      <w:proofErr w:type="spellEnd"/>
      <w:r w:rsidRPr="00D8283E">
        <w:rPr>
          <w:rFonts w:ascii="Times New Roman" w:eastAsia="Times New Roman" w:hAnsi="Times New Roman" w:cs="Times New Roman"/>
          <w:kern w:val="2"/>
          <w:sz w:val="24"/>
          <w:szCs w:val="24"/>
          <w:lang w:eastAsia="en-CA"/>
          <w14:ligatures w14:val="standardContextual"/>
        </w:rPr>
        <w:t xml:space="preserve"> AJ, Banaszak-Holl J, </w:t>
      </w:r>
      <w:proofErr w:type="spellStart"/>
      <w:r w:rsidRPr="00D8283E">
        <w:rPr>
          <w:rFonts w:ascii="Times New Roman" w:eastAsia="Times New Roman" w:hAnsi="Times New Roman" w:cs="Times New Roman"/>
          <w:kern w:val="2"/>
          <w:sz w:val="24"/>
          <w:szCs w:val="24"/>
          <w:lang w:eastAsia="en-CA"/>
          <w14:ligatures w14:val="standardContextual"/>
        </w:rPr>
        <w:t>Fleig</w:t>
      </w:r>
      <w:proofErr w:type="spellEnd"/>
      <w:r w:rsidRPr="00D8283E">
        <w:rPr>
          <w:rFonts w:ascii="Times New Roman" w:eastAsia="Times New Roman" w:hAnsi="Times New Roman" w:cs="Times New Roman"/>
          <w:kern w:val="2"/>
          <w:sz w:val="24"/>
          <w:szCs w:val="24"/>
          <w:lang w:eastAsia="en-CA"/>
          <w14:ligatures w14:val="standardContextual"/>
        </w:rPr>
        <w:t>-Palmer MM, Mitchell C, Nigam A, et al. Public Health and Health Sector Crisis Leadership During Pandemics: A Review of the medical and Business literature. Medical Care Research and Review [Internet]. 2021 Sep 2;79(4):475–86. Available from: https://doi.org/10.1177/10775587211039201</w:t>
      </w:r>
    </w:p>
    <w:p w14:paraId="5006F3B6"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Stewart DW, Shamdasani PN. Focus groups: Theory and practice [Internet]. 1990. Available from: http://ci.nii.ac.jp/ncid/BB15681864</w:t>
      </w:r>
    </w:p>
    <w:p w14:paraId="35C05D4B"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Sullivan JK, Lowe KE, Gordon IO, Colbert CY, Salas RN, Bernstein A, et al. Climate change and medical education: an integrative model. Academic Medicine [Internet]. 2021 Aug 24;97(2):188–92. Available from: https://doi.org/10.1097/acm.0000000000004376</w:t>
      </w:r>
    </w:p>
    <w:p w14:paraId="2FC7C75C"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Syed S, Syed S, Bhardwaj K. The role of the bio-psychosocial model in public health [Internet]. Vol. 6, The Journal of Medical Research. 2020 p. 252–4. Available from: https://www.medicinearticle.com/JMR_20205_17.pdf</w:t>
      </w:r>
    </w:p>
    <w:p w14:paraId="1E37E85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Tanner CA. Competency-Based Education: the new panacea? Journal of Nursing Education [Internet]. 2001 Dec 1;40(9):387–8. Available from: https://doi.org/10.3928/0148-4834-20011201-03</w:t>
      </w:r>
    </w:p>
    <w:p w14:paraId="61D93C3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Tashakkori</w:t>
      </w:r>
      <w:proofErr w:type="spellEnd"/>
      <w:r w:rsidRPr="00D8283E">
        <w:rPr>
          <w:rFonts w:ascii="Times New Roman" w:eastAsia="Times New Roman" w:hAnsi="Times New Roman" w:cs="Times New Roman"/>
          <w:kern w:val="2"/>
          <w:sz w:val="24"/>
          <w:szCs w:val="24"/>
          <w:lang w:eastAsia="en-CA"/>
          <w14:ligatures w14:val="standardContextual"/>
        </w:rPr>
        <w:t xml:space="preserve"> A, Teddlie C. SAGE Handbook of Mixed Methods in Social &amp; Behavioral Research [Internet]. SAGE Publications, Inc. eBooks. 2010. Available from: https://doi.org/10.4135/9781506335193</w:t>
      </w:r>
    </w:p>
    <w:p w14:paraId="65E8691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 xml:space="preserve">Tawfik DS, Scheid A, Profit J, </w:t>
      </w:r>
      <w:proofErr w:type="spellStart"/>
      <w:r w:rsidRPr="00D8283E">
        <w:rPr>
          <w:rFonts w:ascii="Times New Roman" w:eastAsia="Times New Roman" w:hAnsi="Times New Roman" w:cs="Times New Roman"/>
          <w:kern w:val="2"/>
          <w:sz w:val="24"/>
          <w:szCs w:val="24"/>
          <w:lang w:eastAsia="en-CA"/>
          <w14:ligatures w14:val="standardContextual"/>
        </w:rPr>
        <w:t>Shanafelt</w:t>
      </w:r>
      <w:proofErr w:type="spellEnd"/>
      <w:r w:rsidRPr="00D8283E">
        <w:rPr>
          <w:rFonts w:ascii="Times New Roman" w:eastAsia="Times New Roman" w:hAnsi="Times New Roman" w:cs="Times New Roman"/>
          <w:kern w:val="2"/>
          <w:sz w:val="24"/>
          <w:szCs w:val="24"/>
          <w:lang w:eastAsia="en-CA"/>
          <w14:ligatures w14:val="standardContextual"/>
        </w:rPr>
        <w:t xml:space="preserve"> T, </w:t>
      </w:r>
      <w:proofErr w:type="spellStart"/>
      <w:r w:rsidRPr="00D8283E">
        <w:rPr>
          <w:rFonts w:ascii="Times New Roman" w:eastAsia="Times New Roman" w:hAnsi="Times New Roman" w:cs="Times New Roman"/>
          <w:kern w:val="2"/>
          <w:sz w:val="24"/>
          <w:szCs w:val="24"/>
          <w:lang w:eastAsia="en-CA"/>
          <w14:ligatures w14:val="standardContextual"/>
        </w:rPr>
        <w:t>Trockel</w:t>
      </w:r>
      <w:proofErr w:type="spellEnd"/>
      <w:r w:rsidRPr="00D8283E">
        <w:rPr>
          <w:rFonts w:ascii="Times New Roman" w:eastAsia="Times New Roman" w:hAnsi="Times New Roman" w:cs="Times New Roman"/>
          <w:kern w:val="2"/>
          <w:sz w:val="24"/>
          <w:szCs w:val="24"/>
          <w:lang w:eastAsia="en-CA"/>
          <w14:ligatures w14:val="standardContextual"/>
        </w:rPr>
        <w:t xml:space="preserve"> M, Adair KC, et al. Evidence relating health care provider burnout and quality of care. Annals of Internal Medicine [Internet]. 2019 Oct 7;171(8):555. Available from: https://doi.org/10.7326/m19-1152</w:t>
      </w:r>
    </w:p>
    <w:p w14:paraId="20157AE4"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Tennison I, </w:t>
      </w:r>
      <w:proofErr w:type="spellStart"/>
      <w:r w:rsidRPr="00D8283E">
        <w:rPr>
          <w:rFonts w:ascii="Times New Roman" w:eastAsia="Times New Roman" w:hAnsi="Times New Roman" w:cs="Times New Roman"/>
          <w:kern w:val="2"/>
          <w:sz w:val="24"/>
          <w:szCs w:val="24"/>
          <w:lang w:eastAsia="en-GB"/>
          <w14:ligatures w14:val="standardContextual"/>
        </w:rPr>
        <w:t>Roschnik</w:t>
      </w:r>
      <w:proofErr w:type="spellEnd"/>
      <w:r w:rsidRPr="00D8283E">
        <w:rPr>
          <w:rFonts w:ascii="Times New Roman" w:eastAsia="Times New Roman" w:hAnsi="Times New Roman" w:cs="Times New Roman"/>
          <w:kern w:val="2"/>
          <w:sz w:val="24"/>
          <w:szCs w:val="24"/>
          <w:lang w:eastAsia="en-GB"/>
          <w14:ligatures w14:val="standardContextual"/>
        </w:rPr>
        <w:t xml:space="preserve"> S, Ashby B, Boyd R, Hamilton I, </w:t>
      </w:r>
      <w:proofErr w:type="spellStart"/>
      <w:r w:rsidRPr="00D8283E">
        <w:rPr>
          <w:rFonts w:ascii="Times New Roman" w:eastAsia="Times New Roman" w:hAnsi="Times New Roman" w:cs="Times New Roman"/>
          <w:kern w:val="2"/>
          <w:sz w:val="24"/>
          <w:szCs w:val="24"/>
          <w:lang w:eastAsia="en-GB"/>
          <w14:ligatures w14:val="standardContextual"/>
        </w:rPr>
        <w:t>Oreszczyn</w:t>
      </w:r>
      <w:proofErr w:type="spellEnd"/>
      <w:r w:rsidRPr="00D8283E">
        <w:rPr>
          <w:rFonts w:ascii="Times New Roman" w:eastAsia="Times New Roman" w:hAnsi="Times New Roman" w:cs="Times New Roman"/>
          <w:kern w:val="2"/>
          <w:sz w:val="24"/>
          <w:szCs w:val="24"/>
          <w:lang w:eastAsia="en-GB"/>
          <w14:ligatures w14:val="standardContextual"/>
        </w:rPr>
        <w:t xml:space="preserve"> T, et al. Health care’s response to climate change: a carbon footprint assessment of the NHS in England. The Lancet Planetary Health [Internet]. 2021 Feb 1;5(2</w:t>
      </w:r>
      <w:proofErr w:type="gramStart"/>
      <w:r w:rsidRPr="00D8283E">
        <w:rPr>
          <w:rFonts w:ascii="Times New Roman" w:eastAsia="Times New Roman" w:hAnsi="Times New Roman" w:cs="Times New Roman"/>
          <w:kern w:val="2"/>
          <w:sz w:val="24"/>
          <w:szCs w:val="24"/>
          <w:lang w:eastAsia="en-GB"/>
          <w14:ligatures w14:val="standardContextual"/>
        </w:rPr>
        <w:t>):e</w:t>
      </w:r>
      <w:proofErr w:type="gramEnd"/>
      <w:r w:rsidRPr="00D8283E">
        <w:rPr>
          <w:rFonts w:ascii="Times New Roman" w:eastAsia="Times New Roman" w:hAnsi="Times New Roman" w:cs="Times New Roman"/>
          <w:kern w:val="2"/>
          <w:sz w:val="24"/>
          <w:szCs w:val="24"/>
          <w:lang w:eastAsia="en-GB"/>
          <w14:ligatures w14:val="standardContextual"/>
        </w:rPr>
        <w:t>84–92. Available from: https://doi.org/10.1016/s2542-5196(20)30271-0</w:t>
      </w:r>
    </w:p>
    <w:p w14:paraId="7318523E" w14:textId="77777777" w:rsidR="00D8283E" w:rsidRPr="00D8283E" w:rsidRDefault="00D8283E" w:rsidP="00D8283E">
      <w:pPr>
        <w:spacing w:line="360" w:lineRule="auto"/>
        <w:ind w:firstLine="720"/>
        <w:rPr>
          <w:rFonts w:ascii="Times New Roman" w:hAnsi="Times New Roman" w:cs="Times New Roman"/>
          <w:color w:val="0000EE"/>
          <w:kern w:val="2"/>
          <w:sz w:val="24"/>
          <w:szCs w:val="24"/>
          <w:u w:val="single"/>
          <w:shd w:val="clear" w:color="auto" w:fill="FFFFFF"/>
          <w14:ligatures w14:val="standardContextual"/>
        </w:rPr>
      </w:pPr>
      <w:r w:rsidRPr="00D8283E">
        <w:rPr>
          <w:rFonts w:ascii="Times New Roman" w:hAnsi="Times New Roman" w:cs="Times New Roman"/>
          <w:kern w:val="2"/>
          <w:sz w:val="24"/>
          <w:szCs w:val="24"/>
          <w:shd w:val="clear" w:color="auto" w:fill="FFFFFF"/>
          <w14:ligatures w14:val="standardContextual"/>
        </w:rPr>
        <w:t>The Canadian Coalition for Green Health Care. Climate change resiliency for health care. Available from: www.greenhealthcare.ca/resiliency/ Accessed on 17, September, 2023</w:t>
      </w:r>
      <w:r w:rsidRPr="00D8283E">
        <w:rPr>
          <w:rFonts w:ascii="Times New Roman" w:hAnsi="Times New Roman" w:cs="Times New Roman"/>
          <w:color w:val="403D39"/>
          <w:kern w:val="2"/>
          <w:sz w:val="24"/>
          <w:szCs w:val="24"/>
          <w14:ligatures w14:val="standardContextual"/>
        </w:rPr>
        <w:br/>
      </w:r>
      <w:hyperlink r:id="rId57" w:tgtFrame="_blank" w:history="1">
        <w:r w:rsidRPr="00D8283E">
          <w:rPr>
            <w:rFonts w:ascii="Times New Roman" w:hAnsi="Times New Roman" w:cs="Times New Roman"/>
            <w:color w:val="0000EE"/>
            <w:kern w:val="2"/>
            <w:sz w:val="24"/>
            <w:szCs w:val="24"/>
            <w:u w:val="single"/>
            <w:shd w:val="clear" w:color="auto" w:fill="FFFFFF"/>
            <w14:ligatures w14:val="standardContextual"/>
          </w:rPr>
          <w:t>» www.greenhealthcare.ca/resiliency/</w:t>
        </w:r>
      </w:hyperlink>
    </w:p>
    <w:p w14:paraId="0718176D"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14:ligatures w14:val="standardContextual"/>
        </w:rPr>
        <w:t xml:space="preserve">The Center for Global Development (2023). The Future of Global Health Spending Amidst Multiple Crises. Obtained from </w:t>
      </w:r>
      <w:hyperlink r:id="rId58" w:history="1">
        <w:r w:rsidRPr="00D8283E">
          <w:rPr>
            <w:rFonts w:ascii="Times New Roman" w:hAnsi="Times New Roman" w:cs="Times New Roman"/>
            <w:color w:val="467886" w:themeColor="hyperlink"/>
            <w:kern w:val="2"/>
            <w:sz w:val="24"/>
            <w:szCs w:val="24"/>
            <w:u w:val="single"/>
            <w14:ligatures w14:val="standardContextual"/>
          </w:rPr>
          <w:t>https://www.cgdev.org/publication/future-global-health-spending-amidst-multiple-crises</w:t>
        </w:r>
      </w:hyperlink>
      <w:r w:rsidRPr="00D8283E">
        <w:rPr>
          <w:rFonts w:ascii="Times New Roman" w:hAnsi="Times New Roman" w:cs="Times New Roman"/>
          <w:kern w:val="2"/>
          <w:sz w:val="24"/>
          <w:szCs w:val="24"/>
          <w14:ligatures w14:val="standardContextual"/>
        </w:rPr>
        <w:t xml:space="preserve"> on May 21</w:t>
      </w:r>
      <w:r w:rsidRPr="00D8283E">
        <w:rPr>
          <w:rFonts w:ascii="Times New Roman" w:hAnsi="Times New Roman" w:cs="Times New Roman"/>
          <w:kern w:val="2"/>
          <w:sz w:val="24"/>
          <w:szCs w:val="24"/>
          <w:vertAlign w:val="superscript"/>
          <w14:ligatures w14:val="standardContextual"/>
        </w:rPr>
        <w:t>st</w:t>
      </w:r>
      <w:r w:rsidRPr="00D8283E">
        <w:rPr>
          <w:rFonts w:ascii="Times New Roman" w:hAnsi="Times New Roman" w:cs="Times New Roman"/>
          <w:kern w:val="2"/>
          <w:sz w:val="24"/>
          <w:szCs w:val="24"/>
          <w14:ligatures w14:val="standardContextual"/>
        </w:rPr>
        <w:t>, 2024).</w:t>
      </w:r>
    </w:p>
    <w:p w14:paraId="424770A9"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The Lancet Countdown on Health and Climate Change. The Health Costs of Climate Change: Executive Summary [Internet]. Available from: https://climatechoices.ca/wp-content/uploads/2021/06/ClimateChoices_Health-Report_-Summary_June2021.pdf</w:t>
      </w:r>
    </w:p>
    <w:p w14:paraId="49B9E8D9" w14:textId="77777777" w:rsidR="00D8283E" w:rsidRPr="00D8283E" w:rsidRDefault="00D8283E" w:rsidP="00D8283E">
      <w:pPr>
        <w:spacing w:line="278" w:lineRule="auto"/>
        <w:ind w:firstLine="720"/>
        <w:rPr>
          <w:rFonts w:ascii="Times New Roman" w:hAnsi="Times New Roman" w:cs="Times New Roman"/>
          <w:color w:val="000000"/>
          <w:kern w:val="2"/>
          <w:sz w:val="24"/>
          <w:szCs w:val="24"/>
          <w14:ligatures w14:val="standardContextual"/>
        </w:rPr>
      </w:pPr>
      <w:r w:rsidRPr="00D8283E">
        <w:rPr>
          <w:rFonts w:ascii="Times New Roman" w:hAnsi="Times New Roman" w:cs="Times New Roman"/>
          <w:kern w:val="2"/>
          <w:sz w:val="24"/>
          <w:szCs w:val="24"/>
          <w14:ligatures w14:val="standardContextual"/>
        </w:rPr>
        <w:t xml:space="preserve">The World Bank (2023). World Bank Group country classifications by income level for FY24 (July 1, 2023- June 30, 2024). </w:t>
      </w:r>
      <w:hyperlink r:id="rId59" w:history="1">
        <w:r w:rsidRPr="00D8283E">
          <w:rPr>
            <w:rFonts w:ascii="Times New Roman" w:hAnsi="Times New Roman" w:cs="Times New Roman"/>
            <w:color w:val="467886" w:themeColor="hyperlink"/>
            <w:kern w:val="2"/>
            <w:sz w:val="24"/>
            <w:szCs w:val="24"/>
            <w:u w:val="single"/>
            <w14:ligatures w14:val="standardContextual"/>
          </w:rPr>
          <w:t>https://blogs.worldbank.org/en/opendata/new-world-bank-group-country-classifications-income-level-fy24</w:t>
        </w:r>
      </w:hyperlink>
    </w:p>
    <w:p w14:paraId="7C26A46B" w14:textId="669D2BF4"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Timans</w:t>
      </w:r>
      <w:proofErr w:type="spellEnd"/>
      <w:r w:rsidRPr="00D8283E">
        <w:rPr>
          <w:rFonts w:ascii="Times New Roman" w:eastAsia="Times New Roman" w:hAnsi="Times New Roman" w:cs="Times New Roman"/>
          <w:kern w:val="2"/>
          <w:sz w:val="24"/>
          <w:szCs w:val="24"/>
          <w:lang w:eastAsia="en-CA"/>
          <w14:ligatures w14:val="standardContextual"/>
        </w:rPr>
        <w:t xml:space="preserve"> R, </w:t>
      </w:r>
      <w:proofErr w:type="spellStart"/>
      <w:r w:rsidRPr="00D8283E">
        <w:rPr>
          <w:rFonts w:ascii="Times New Roman" w:eastAsia="Times New Roman" w:hAnsi="Times New Roman" w:cs="Times New Roman"/>
          <w:kern w:val="2"/>
          <w:sz w:val="24"/>
          <w:szCs w:val="24"/>
          <w:lang w:eastAsia="en-CA"/>
          <w14:ligatures w14:val="standardContextual"/>
        </w:rPr>
        <w:t>Wouters</w:t>
      </w:r>
      <w:proofErr w:type="spellEnd"/>
      <w:r w:rsidRPr="00D8283E">
        <w:rPr>
          <w:rFonts w:ascii="Times New Roman" w:eastAsia="Times New Roman" w:hAnsi="Times New Roman" w:cs="Times New Roman"/>
          <w:kern w:val="2"/>
          <w:sz w:val="24"/>
          <w:szCs w:val="24"/>
          <w:lang w:eastAsia="en-CA"/>
          <w14:ligatures w14:val="standardContextual"/>
        </w:rPr>
        <w:t xml:space="preserve"> P, </w:t>
      </w:r>
      <w:proofErr w:type="spellStart"/>
      <w:r w:rsidRPr="00D8283E">
        <w:rPr>
          <w:rFonts w:ascii="Times New Roman" w:eastAsia="Times New Roman" w:hAnsi="Times New Roman" w:cs="Times New Roman"/>
          <w:kern w:val="2"/>
          <w:sz w:val="24"/>
          <w:szCs w:val="24"/>
          <w:lang w:eastAsia="en-CA"/>
          <w14:ligatures w14:val="standardContextual"/>
        </w:rPr>
        <w:t>Heilbron</w:t>
      </w:r>
      <w:proofErr w:type="spellEnd"/>
      <w:r w:rsidRPr="00D8283E">
        <w:rPr>
          <w:rFonts w:ascii="Times New Roman" w:eastAsia="Times New Roman" w:hAnsi="Times New Roman" w:cs="Times New Roman"/>
          <w:kern w:val="2"/>
          <w:sz w:val="24"/>
          <w:szCs w:val="24"/>
          <w:lang w:eastAsia="en-CA"/>
          <w14:ligatures w14:val="standardContextual"/>
        </w:rPr>
        <w:t xml:space="preserve"> J. Mixed methods research: what it is and what it could be. Theory and Society [Internet]. 2019 Mar 29;48(2):193–216. Available from: </w:t>
      </w:r>
      <w:hyperlink r:id="rId60" w:history="1">
        <w:r w:rsidR="00286825" w:rsidRPr="001E0C8C">
          <w:rPr>
            <w:rStyle w:val="Hyperlink"/>
            <w:rFonts w:ascii="Times New Roman" w:eastAsia="Times New Roman" w:hAnsi="Times New Roman" w:cs="Times New Roman"/>
            <w:kern w:val="2"/>
            <w:sz w:val="24"/>
            <w:szCs w:val="24"/>
            <w:lang w:eastAsia="en-CA"/>
            <w14:ligatures w14:val="standardContextual"/>
          </w:rPr>
          <w:t>https://doi.org/10.1007/s11186-019-09345-5</w:t>
        </w:r>
      </w:hyperlink>
    </w:p>
    <w:p w14:paraId="17707D93" w14:textId="4D8D74BD" w:rsidR="00286825" w:rsidRDefault="00286825" w:rsidP="00286825">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286825">
        <w:rPr>
          <w:rFonts w:ascii="Times New Roman" w:eastAsia="Times New Roman" w:hAnsi="Times New Roman" w:cs="Times New Roman"/>
          <w:kern w:val="2"/>
          <w:sz w:val="24"/>
          <w:szCs w:val="24"/>
          <w:lang w:eastAsia="en-CA"/>
          <w14:ligatures w14:val="standardContextual"/>
        </w:rPr>
        <w:t>Tomar</w:t>
      </w:r>
      <w:proofErr w:type="spellEnd"/>
      <w:r w:rsidRPr="00286825">
        <w:rPr>
          <w:rFonts w:ascii="Times New Roman" w:eastAsia="Times New Roman" w:hAnsi="Times New Roman" w:cs="Times New Roman"/>
          <w:kern w:val="2"/>
          <w:sz w:val="24"/>
          <w:szCs w:val="24"/>
          <w:lang w:eastAsia="en-CA"/>
          <w14:ligatures w14:val="standardContextual"/>
        </w:rPr>
        <w:t xml:space="preserve"> P, Rao NV. Tailoring climate-health competencies for diverse health cadres: Findings from a scoping review. J </w:t>
      </w:r>
      <w:proofErr w:type="spellStart"/>
      <w:r w:rsidRPr="00286825">
        <w:rPr>
          <w:rFonts w:ascii="Times New Roman" w:eastAsia="Times New Roman" w:hAnsi="Times New Roman" w:cs="Times New Roman"/>
          <w:kern w:val="2"/>
          <w:sz w:val="24"/>
          <w:szCs w:val="24"/>
          <w:lang w:eastAsia="en-CA"/>
          <w14:ligatures w14:val="standardContextual"/>
        </w:rPr>
        <w:t>Clim</w:t>
      </w:r>
      <w:proofErr w:type="spellEnd"/>
      <w:r w:rsidRPr="00286825">
        <w:rPr>
          <w:rFonts w:ascii="Times New Roman" w:eastAsia="Times New Roman" w:hAnsi="Times New Roman" w:cs="Times New Roman"/>
          <w:kern w:val="2"/>
          <w:sz w:val="24"/>
          <w:szCs w:val="24"/>
          <w:lang w:eastAsia="en-CA"/>
          <w14:ligatures w14:val="standardContextual"/>
        </w:rPr>
        <w:t xml:space="preserve"> Chang Health. 2026 Apr </w:t>
      </w:r>
      <w:proofErr w:type="gramStart"/>
      <w:r w:rsidRPr="00286825">
        <w:rPr>
          <w:rFonts w:ascii="Times New Roman" w:eastAsia="Times New Roman" w:hAnsi="Times New Roman" w:cs="Times New Roman"/>
          <w:kern w:val="2"/>
          <w:sz w:val="24"/>
          <w:szCs w:val="24"/>
          <w:lang w:eastAsia="en-CA"/>
          <w14:ligatures w14:val="standardContextual"/>
        </w:rPr>
        <w:t>15;29:100675</w:t>
      </w:r>
      <w:proofErr w:type="gramEnd"/>
      <w:r w:rsidRPr="00286825">
        <w:rPr>
          <w:rFonts w:ascii="Times New Roman" w:eastAsia="Times New Roman" w:hAnsi="Times New Roman" w:cs="Times New Roman"/>
          <w:kern w:val="2"/>
          <w:sz w:val="24"/>
          <w:szCs w:val="24"/>
          <w:lang w:eastAsia="en-CA"/>
          <w14:ligatures w14:val="standardContextual"/>
        </w:rPr>
        <w:t xml:space="preserve">. </w:t>
      </w:r>
      <w:proofErr w:type="spellStart"/>
      <w:r w:rsidRPr="00286825">
        <w:rPr>
          <w:rFonts w:ascii="Times New Roman" w:eastAsia="Times New Roman" w:hAnsi="Times New Roman" w:cs="Times New Roman"/>
          <w:kern w:val="2"/>
          <w:sz w:val="24"/>
          <w:szCs w:val="24"/>
          <w:lang w:eastAsia="en-CA"/>
          <w14:ligatures w14:val="standardContextual"/>
        </w:rPr>
        <w:t>doi</w:t>
      </w:r>
      <w:proofErr w:type="spellEnd"/>
      <w:r w:rsidRPr="00286825">
        <w:rPr>
          <w:rFonts w:ascii="Times New Roman" w:eastAsia="Times New Roman" w:hAnsi="Times New Roman" w:cs="Times New Roman"/>
          <w:kern w:val="2"/>
          <w:sz w:val="24"/>
          <w:szCs w:val="24"/>
          <w:lang w:eastAsia="en-CA"/>
          <w14:ligatures w14:val="standardContextual"/>
        </w:rPr>
        <w:t>: 10.1016/j.joclim.2026.100675. PMID: 42028339; PMCID: PMC13100291.</w:t>
      </w:r>
    </w:p>
    <w:p w14:paraId="1F211946" w14:textId="5155A5FE" w:rsidR="00286825" w:rsidRPr="00D8283E" w:rsidRDefault="00286825" w:rsidP="00286825">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286825">
        <w:rPr>
          <w:rFonts w:ascii="Times New Roman" w:eastAsia="Times New Roman" w:hAnsi="Times New Roman" w:cs="Times New Roman"/>
          <w:kern w:val="2"/>
          <w:sz w:val="24"/>
          <w:szCs w:val="24"/>
          <w:lang w:eastAsia="en-CA"/>
          <w14:ligatures w14:val="standardContextual"/>
        </w:rPr>
        <w:t>Tonkin-</w:t>
      </w:r>
      <w:proofErr w:type="spellStart"/>
      <w:r w:rsidRPr="00286825">
        <w:rPr>
          <w:rFonts w:ascii="Times New Roman" w:eastAsia="Times New Roman" w:hAnsi="Times New Roman" w:cs="Times New Roman"/>
          <w:kern w:val="2"/>
          <w:sz w:val="24"/>
          <w:szCs w:val="24"/>
          <w:lang w:eastAsia="en-CA"/>
          <w14:ligatures w14:val="standardContextual"/>
        </w:rPr>
        <w:t>Crine</w:t>
      </w:r>
      <w:proofErr w:type="spellEnd"/>
      <w:r w:rsidRPr="00286825">
        <w:rPr>
          <w:rFonts w:ascii="Times New Roman" w:eastAsia="Times New Roman" w:hAnsi="Times New Roman" w:cs="Times New Roman"/>
          <w:kern w:val="2"/>
          <w:sz w:val="24"/>
          <w:szCs w:val="24"/>
          <w:lang w:eastAsia="en-CA"/>
          <w14:ligatures w14:val="standardContextual"/>
        </w:rPr>
        <w:t xml:space="preserve">, S., </w:t>
      </w:r>
      <w:proofErr w:type="spellStart"/>
      <w:r w:rsidRPr="00286825">
        <w:rPr>
          <w:rFonts w:ascii="Times New Roman" w:eastAsia="Times New Roman" w:hAnsi="Times New Roman" w:cs="Times New Roman"/>
          <w:kern w:val="2"/>
          <w:sz w:val="24"/>
          <w:szCs w:val="24"/>
          <w:lang w:eastAsia="en-CA"/>
          <w14:ligatures w14:val="standardContextual"/>
        </w:rPr>
        <w:t>Anthierens</w:t>
      </w:r>
      <w:proofErr w:type="spellEnd"/>
      <w:r w:rsidRPr="00286825">
        <w:rPr>
          <w:rFonts w:ascii="Times New Roman" w:eastAsia="Times New Roman" w:hAnsi="Times New Roman" w:cs="Times New Roman"/>
          <w:kern w:val="2"/>
          <w:sz w:val="24"/>
          <w:szCs w:val="24"/>
          <w:lang w:eastAsia="en-CA"/>
          <w14:ligatures w14:val="standardContextual"/>
        </w:rPr>
        <w:t xml:space="preserve">, S., Hood, K., Yardley, L., Cals, J.W., Francis, N.A., </w:t>
      </w:r>
      <w:proofErr w:type="spellStart"/>
      <w:r w:rsidRPr="00286825">
        <w:rPr>
          <w:rFonts w:ascii="Times New Roman" w:eastAsia="Times New Roman" w:hAnsi="Times New Roman" w:cs="Times New Roman"/>
          <w:kern w:val="2"/>
          <w:sz w:val="24"/>
          <w:szCs w:val="24"/>
          <w:lang w:eastAsia="en-CA"/>
          <w14:ligatures w14:val="standardContextual"/>
        </w:rPr>
        <w:t>Coenen</w:t>
      </w:r>
      <w:proofErr w:type="spellEnd"/>
      <w:r w:rsidRPr="00286825">
        <w:rPr>
          <w:rFonts w:ascii="Times New Roman" w:eastAsia="Times New Roman" w:hAnsi="Times New Roman" w:cs="Times New Roman"/>
          <w:kern w:val="2"/>
          <w:sz w:val="24"/>
          <w:szCs w:val="24"/>
          <w:lang w:eastAsia="en-CA"/>
          <w14:ligatures w14:val="standardContextual"/>
        </w:rPr>
        <w:t xml:space="preserve">, S., van der Velden, A.W., </w:t>
      </w:r>
      <w:proofErr w:type="spellStart"/>
      <w:r w:rsidRPr="00286825">
        <w:rPr>
          <w:rFonts w:ascii="Times New Roman" w:eastAsia="Times New Roman" w:hAnsi="Times New Roman" w:cs="Times New Roman"/>
          <w:kern w:val="2"/>
          <w:sz w:val="24"/>
          <w:szCs w:val="24"/>
          <w:lang w:eastAsia="en-CA"/>
          <w14:ligatures w14:val="standardContextual"/>
        </w:rPr>
        <w:t>Godycki-Cwirko</w:t>
      </w:r>
      <w:proofErr w:type="spellEnd"/>
      <w:r w:rsidRPr="00286825">
        <w:rPr>
          <w:rFonts w:ascii="Times New Roman" w:eastAsia="Times New Roman" w:hAnsi="Times New Roman" w:cs="Times New Roman"/>
          <w:kern w:val="2"/>
          <w:sz w:val="24"/>
          <w:szCs w:val="24"/>
          <w:lang w:eastAsia="en-CA"/>
          <w14:ligatures w14:val="standardContextual"/>
        </w:rPr>
        <w:t xml:space="preserve">, M., </w:t>
      </w:r>
      <w:proofErr w:type="spellStart"/>
      <w:r w:rsidRPr="00286825">
        <w:rPr>
          <w:rFonts w:ascii="Times New Roman" w:eastAsia="Times New Roman" w:hAnsi="Times New Roman" w:cs="Times New Roman"/>
          <w:kern w:val="2"/>
          <w:sz w:val="24"/>
          <w:szCs w:val="24"/>
          <w:lang w:eastAsia="en-CA"/>
          <w14:ligatures w14:val="standardContextual"/>
        </w:rPr>
        <w:t>Llor</w:t>
      </w:r>
      <w:proofErr w:type="spellEnd"/>
      <w:r w:rsidRPr="00286825">
        <w:rPr>
          <w:rFonts w:ascii="Times New Roman" w:eastAsia="Times New Roman" w:hAnsi="Times New Roman" w:cs="Times New Roman"/>
          <w:kern w:val="2"/>
          <w:sz w:val="24"/>
          <w:szCs w:val="24"/>
          <w:lang w:eastAsia="en-CA"/>
          <w14:ligatures w14:val="standardContextual"/>
        </w:rPr>
        <w:t xml:space="preserve">, C., Butler, C.C., </w:t>
      </w:r>
      <w:proofErr w:type="spellStart"/>
      <w:r w:rsidRPr="00286825">
        <w:rPr>
          <w:rFonts w:ascii="Times New Roman" w:eastAsia="Times New Roman" w:hAnsi="Times New Roman" w:cs="Times New Roman"/>
          <w:kern w:val="2"/>
          <w:sz w:val="24"/>
          <w:szCs w:val="24"/>
          <w:lang w:eastAsia="en-CA"/>
          <w14:ligatures w14:val="standardContextual"/>
        </w:rPr>
        <w:t>Verheij</w:t>
      </w:r>
      <w:proofErr w:type="spellEnd"/>
      <w:r w:rsidRPr="00286825">
        <w:rPr>
          <w:rFonts w:ascii="Times New Roman" w:eastAsia="Times New Roman" w:hAnsi="Times New Roman" w:cs="Times New Roman"/>
          <w:kern w:val="2"/>
          <w:sz w:val="24"/>
          <w:szCs w:val="24"/>
          <w:lang w:eastAsia="en-CA"/>
          <w14:ligatures w14:val="standardContextual"/>
        </w:rPr>
        <w:t xml:space="preserve">, T.J., </w:t>
      </w:r>
      <w:proofErr w:type="spellStart"/>
      <w:r w:rsidRPr="00286825">
        <w:rPr>
          <w:rFonts w:ascii="Times New Roman" w:eastAsia="Times New Roman" w:hAnsi="Times New Roman" w:cs="Times New Roman"/>
          <w:kern w:val="2"/>
          <w:sz w:val="24"/>
          <w:szCs w:val="24"/>
          <w:lang w:eastAsia="en-CA"/>
          <w14:ligatures w14:val="standardContextual"/>
        </w:rPr>
        <w:t>Goossens</w:t>
      </w:r>
      <w:proofErr w:type="spellEnd"/>
      <w:r w:rsidRPr="00286825">
        <w:rPr>
          <w:rFonts w:ascii="Times New Roman" w:eastAsia="Times New Roman" w:hAnsi="Times New Roman" w:cs="Times New Roman"/>
          <w:kern w:val="2"/>
          <w:sz w:val="24"/>
          <w:szCs w:val="24"/>
          <w:lang w:eastAsia="en-CA"/>
          <w14:ligatures w14:val="standardContextual"/>
        </w:rPr>
        <w:t xml:space="preserve">, H. and the GRACE INTRO/CHAMP Consortium, 2016. Discrepancies between qualitative and quantitative evaluation of randomised controlled trial results: Achieving clarity through mixed methods triangulation. </w:t>
      </w:r>
      <w:r w:rsidRPr="00286825">
        <w:rPr>
          <w:rFonts w:ascii="Times New Roman" w:eastAsia="Times New Roman" w:hAnsi="Times New Roman" w:cs="Times New Roman"/>
          <w:i/>
          <w:iCs/>
          <w:kern w:val="2"/>
          <w:sz w:val="24"/>
          <w:szCs w:val="24"/>
          <w:lang w:eastAsia="en-CA"/>
          <w14:ligatures w14:val="standardContextual"/>
        </w:rPr>
        <w:t>Implementation Science</w:t>
      </w:r>
      <w:r w:rsidRPr="00286825">
        <w:rPr>
          <w:rFonts w:ascii="Times New Roman" w:eastAsia="Times New Roman" w:hAnsi="Times New Roman" w:cs="Times New Roman"/>
          <w:kern w:val="2"/>
          <w:sz w:val="24"/>
          <w:szCs w:val="24"/>
          <w:lang w:eastAsia="en-CA"/>
          <w14:ligatures w14:val="standardContextual"/>
        </w:rPr>
        <w:t>, 11, p.66. Available from: https://doi.org/10.1186/s13012-016-0436-0</w:t>
      </w:r>
    </w:p>
    <w:p w14:paraId="717EAA09"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lastRenderedPageBreak/>
        <w:t>Tremblay B, Hawkins J. Climate and health. Nurse Educator [Internet]. 2023 Sep 20;49(2):85–90. Available from: https://doi.org/10.1097/nne.0000000000001524</w:t>
      </w:r>
    </w:p>
    <w:p w14:paraId="234DFD34"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proofErr w:type="spellStart"/>
      <w:r w:rsidRPr="00D8283E">
        <w:rPr>
          <w:rFonts w:ascii="Times New Roman" w:eastAsia="Times New Roman" w:hAnsi="Times New Roman" w:cs="Times New Roman"/>
          <w:kern w:val="2"/>
          <w:sz w:val="24"/>
          <w:szCs w:val="24"/>
          <w:lang w:eastAsia="en-GB"/>
          <w14:ligatures w14:val="standardContextual"/>
        </w:rPr>
        <w:t>Tricco</w:t>
      </w:r>
      <w:proofErr w:type="spellEnd"/>
      <w:r w:rsidRPr="00D8283E">
        <w:rPr>
          <w:rFonts w:ascii="Times New Roman" w:eastAsia="Times New Roman" w:hAnsi="Times New Roman" w:cs="Times New Roman"/>
          <w:kern w:val="2"/>
          <w:sz w:val="24"/>
          <w:szCs w:val="24"/>
          <w:lang w:eastAsia="en-GB"/>
          <w14:ligatures w14:val="standardContextual"/>
        </w:rPr>
        <w:t xml:space="preserve"> AC, Lillie E, </w:t>
      </w:r>
      <w:proofErr w:type="spellStart"/>
      <w:r w:rsidRPr="00D8283E">
        <w:rPr>
          <w:rFonts w:ascii="Times New Roman" w:eastAsia="Times New Roman" w:hAnsi="Times New Roman" w:cs="Times New Roman"/>
          <w:kern w:val="2"/>
          <w:sz w:val="24"/>
          <w:szCs w:val="24"/>
          <w:lang w:eastAsia="en-GB"/>
          <w14:ligatures w14:val="standardContextual"/>
        </w:rPr>
        <w:t>Zarin</w:t>
      </w:r>
      <w:proofErr w:type="spellEnd"/>
      <w:r w:rsidRPr="00D8283E">
        <w:rPr>
          <w:rFonts w:ascii="Times New Roman" w:eastAsia="Times New Roman" w:hAnsi="Times New Roman" w:cs="Times New Roman"/>
          <w:kern w:val="2"/>
          <w:sz w:val="24"/>
          <w:szCs w:val="24"/>
          <w:lang w:eastAsia="en-GB"/>
          <w14:ligatures w14:val="standardContextual"/>
        </w:rPr>
        <w:t xml:space="preserve"> W, O’Brien K, Colquhoun H, Kastner M, et al. A scoping review on the conduct and reporting of scoping reviews. BMC Medical Research Methodology [Internet]. 2016 Feb 9;16(1). Available from: https://doi.org/10.1186/s12874-016-0116-4</w:t>
      </w:r>
    </w:p>
    <w:p w14:paraId="01F776F5"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Tricco</w:t>
      </w:r>
      <w:proofErr w:type="spellEnd"/>
      <w:r w:rsidRPr="00D8283E">
        <w:rPr>
          <w:rFonts w:ascii="Times New Roman" w:eastAsia="Times New Roman" w:hAnsi="Times New Roman" w:cs="Times New Roman"/>
          <w:kern w:val="2"/>
          <w:sz w:val="24"/>
          <w:szCs w:val="24"/>
          <w:lang w:eastAsia="en-CA"/>
          <w14:ligatures w14:val="standardContextual"/>
        </w:rPr>
        <w:t xml:space="preserve"> AC, Lillie E, </w:t>
      </w:r>
      <w:proofErr w:type="spellStart"/>
      <w:r w:rsidRPr="00D8283E">
        <w:rPr>
          <w:rFonts w:ascii="Times New Roman" w:eastAsia="Times New Roman" w:hAnsi="Times New Roman" w:cs="Times New Roman"/>
          <w:kern w:val="2"/>
          <w:sz w:val="24"/>
          <w:szCs w:val="24"/>
          <w:lang w:eastAsia="en-CA"/>
          <w14:ligatures w14:val="standardContextual"/>
        </w:rPr>
        <w:t>Zarin</w:t>
      </w:r>
      <w:proofErr w:type="spellEnd"/>
      <w:r w:rsidRPr="00D8283E">
        <w:rPr>
          <w:rFonts w:ascii="Times New Roman" w:eastAsia="Times New Roman" w:hAnsi="Times New Roman" w:cs="Times New Roman"/>
          <w:kern w:val="2"/>
          <w:sz w:val="24"/>
          <w:szCs w:val="24"/>
          <w:lang w:eastAsia="en-CA"/>
          <w14:ligatures w14:val="standardContextual"/>
        </w:rPr>
        <w:t xml:space="preserve"> W, O’Brien KK, Colquhoun H, </w:t>
      </w:r>
      <w:proofErr w:type="spellStart"/>
      <w:r w:rsidRPr="00D8283E">
        <w:rPr>
          <w:rFonts w:ascii="Times New Roman" w:eastAsia="Times New Roman" w:hAnsi="Times New Roman" w:cs="Times New Roman"/>
          <w:kern w:val="2"/>
          <w:sz w:val="24"/>
          <w:szCs w:val="24"/>
          <w:lang w:eastAsia="en-CA"/>
          <w14:ligatures w14:val="standardContextual"/>
        </w:rPr>
        <w:t>Levac</w:t>
      </w:r>
      <w:proofErr w:type="spellEnd"/>
      <w:r w:rsidRPr="00D8283E">
        <w:rPr>
          <w:rFonts w:ascii="Times New Roman" w:eastAsia="Times New Roman" w:hAnsi="Times New Roman" w:cs="Times New Roman"/>
          <w:kern w:val="2"/>
          <w:sz w:val="24"/>
          <w:szCs w:val="24"/>
          <w:lang w:eastAsia="en-CA"/>
          <w14:ligatures w14:val="standardContextual"/>
        </w:rPr>
        <w:t xml:space="preserve"> D, et al. PRISMA Extension for Scoping Reviews (PRISMA-SCR): Checklist and explanation. Annals of Internal Medicine [Internet]. 2018 Oct 2;169(7):467–73. Available from: https://doi.org/10.7326/m18-0850</w:t>
      </w:r>
    </w:p>
    <w:p w14:paraId="0D9B37ED"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Truscott DM, </w:t>
      </w:r>
      <w:proofErr w:type="spellStart"/>
      <w:r w:rsidRPr="00D8283E">
        <w:rPr>
          <w:rFonts w:ascii="Times New Roman" w:eastAsia="Times New Roman" w:hAnsi="Times New Roman" w:cs="Times New Roman"/>
          <w:kern w:val="2"/>
          <w:sz w:val="24"/>
          <w:szCs w:val="24"/>
          <w:lang w:eastAsia="en-CA"/>
          <w14:ligatures w14:val="standardContextual"/>
        </w:rPr>
        <w:t>Swars</w:t>
      </w:r>
      <w:proofErr w:type="spellEnd"/>
      <w:r w:rsidRPr="00D8283E">
        <w:rPr>
          <w:rFonts w:ascii="Times New Roman" w:eastAsia="Times New Roman" w:hAnsi="Times New Roman" w:cs="Times New Roman"/>
          <w:kern w:val="2"/>
          <w:sz w:val="24"/>
          <w:szCs w:val="24"/>
          <w:lang w:eastAsia="en-CA"/>
          <w14:ligatures w14:val="standardContextual"/>
        </w:rPr>
        <w:t xml:space="preserve"> S, Smith S, Thornton‐Reid F, Zhao Y, Dooley C, et al. A cross‐disciplinary examination of the prevalence of mixed methods in educational research: 1995–2005. International Journal of Social Research Methodology [Internet]. 2009 Aug 14;13(4):317–28. Available from: https://doi.org/10.1080/13645570903097950</w:t>
      </w:r>
    </w:p>
    <w:p w14:paraId="16BD24F1"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UK Health Security Agency (UKHSA) (2025) </w:t>
      </w:r>
      <w:r w:rsidRPr="00D8283E">
        <w:rPr>
          <w:rFonts w:ascii="Times New Roman" w:eastAsia="Times New Roman" w:hAnsi="Times New Roman" w:cs="Times New Roman"/>
          <w:i/>
          <w:iCs/>
          <w:kern w:val="2"/>
          <w:sz w:val="24"/>
          <w:szCs w:val="24"/>
          <w:lang w:eastAsia="en-CA"/>
          <w14:ligatures w14:val="standardContextual"/>
        </w:rPr>
        <w:t>Heat mortality monitoring report: 2022</w:t>
      </w:r>
      <w:r w:rsidRPr="00D8283E">
        <w:rPr>
          <w:rFonts w:ascii="Times New Roman" w:eastAsia="Times New Roman" w:hAnsi="Times New Roman" w:cs="Times New Roman"/>
          <w:kern w:val="2"/>
          <w:sz w:val="24"/>
          <w:szCs w:val="24"/>
          <w:lang w:eastAsia="en-CA"/>
          <w14:ligatures w14:val="standardContextual"/>
        </w:rPr>
        <w:t>. Available at: https://www.gov.uk/government/publications/heat-mortality-monitoring-reports/heat-mortality-monitoring-report-2022 (Accessed: 21 June 2025).</w:t>
      </w:r>
    </w:p>
    <w:p w14:paraId="713EF19D" w14:textId="77777777" w:rsidR="00D8283E" w:rsidRPr="00D8283E" w:rsidRDefault="00D8283E" w:rsidP="00D8283E">
      <w:pPr>
        <w:spacing w:line="24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14:ligatures w14:val="standardContextual"/>
        </w:rPr>
        <w:t>UKHSA and NHS. Third health and care adaptation report. 2021</w:t>
      </w:r>
    </w:p>
    <w:p w14:paraId="16C7F97E" w14:textId="77777777" w:rsidR="00D8283E" w:rsidRDefault="00D8283E" w:rsidP="00D8283E">
      <w:pPr>
        <w:spacing w:beforeAutospacing="1" w:afterAutospacing="1" w:line="360" w:lineRule="auto"/>
        <w:ind w:firstLine="720"/>
      </w:pPr>
      <w:r w:rsidRPr="00D8283E">
        <w:rPr>
          <w:rFonts w:ascii="Times New Roman" w:hAnsi="Times New Roman" w:cs="Times New Roman"/>
          <w:color w:val="212121"/>
          <w:kern w:val="2"/>
          <w:sz w:val="24"/>
          <w:szCs w:val="24"/>
          <w:shd w:val="clear" w:color="auto" w:fill="FFFFFF"/>
          <w14:ligatures w14:val="standardContextual"/>
        </w:rPr>
        <w:t>United Nations Sustainable Development Goals: Climate Action. [(accessed on 12 of March 2024)]. Available online: </w:t>
      </w:r>
      <w:hyperlink r:id="rId61" w:tgtFrame="_blank" w:history="1">
        <w:r w:rsidRPr="00D8283E">
          <w:rPr>
            <w:rFonts w:ascii="Times New Roman" w:hAnsi="Times New Roman" w:cs="Times New Roman"/>
            <w:color w:val="376FAA"/>
            <w:kern w:val="2"/>
            <w:sz w:val="24"/>
            <w:szCs w:val="24"/>
            <w:u w:val="single"/>
            <w:shd w:val="clear" w:color="auto" w:fill="FFFFFF"/>
            <w14:ligatures w14:val="standardContextual"/>
          </w:rPr>
          <w:t>https://www.un.org/sustainabledevelopment/climate-action/</w:t>
        </w:r>
      </w:hyperlink>
    </w:p>
    <w:p w14:paraId="26025C7B" w14:textId="18F17DBB" w:rsidR="00286825" w:rsidRDefault="00286825" w:rsidP="00286825">
      <w:pPr>
        <w:spacing w:beforeAutospacing="1" w:afterAutospacing="1" w:line="360" w:lineRule="auto"/>
        <w:ind w:firstLine="720"/>
        <w:rPr>
          <w:rFonts w:ascii="Times New Roman" w:hAnsi="Times New Roman" w:cs="Times New Roman"/>
          <w:kern w:val="2"/>
          <w:sz w:val="24"/>
          <w:szCs w:val="24"/>
          <w14:ligatures w14:val="standardContextual"/>
        </w:rPr>
      </w:pPr>
      <w:r w:rsidRPr="00824053">
        <w:rPr>
          <w:rFonts w:ascii="Times New Roman" w:hAnsi="Times New Roman" w:cs="Times New Roman"/>
          <w:kern w:val="2"/>
          <w:sz w:val="24"/>
          <w:szCs w:val="24"/>
          <w14:ligatures w14:val="standardContextual"/>
        </w:rPr>
        <w:t>United Nations, 2023.</w:t>
      </w:r>
      <w:r w:rsidRPr="00286825">
        <w:rPr>
          <w:rFonts w:ascii="Times New Roman" w:hAnsi="Times New Roman" w:cs="Times New Roman"/>
          <w:kern w:val="2"/>
          <w:sz w:val="24"/>
          <w:szCs w:val="24"/>
          <w14:ligatures w14:val="standardContextual"/>
        </w:rPr>
        <w:t xml:space="preserve"> Water scarcity, the climate crisis and global food security: A call for collaborative action. </w:t>
      </w:r>
      <w:r w:rsidRPr="00286825">
        <w:rPr>
          <w:rFonts w:ascii="Times New Roman" w:hAnsi="Times New Roman" w:cs="Times New Roman"/>
          <w:i/>
          <w:iCs/>
          <w:kern w:val="2"/>
          <w:sz w:val="24"/>
          <w:szCs w:val="24"/>
          <w14:ligatures w14:val="standardContextual"/>
        </w:rPr>
        <w:t>UN Chronicle</w:t>
      </w:r>
      <w:r w:rsidRPr="00286825">
        <w:rPr>
          <w:rFonts w:ascii="Times New Roman" w:hAnsi="Times New Roman" w:cs="Times New Roman"/>
          <w:kern w:val="2"/>
          <w:sz w:val="24"/>
          <w:szCs w:val="24"/>
          <w14:ligatures w14:val="standardContextual"/>
        </w:rPr>
        <w:t xml:space="preserve">. Available from: </w:t>
      </w:r>
      <w:hyperlink r:id="rId62" w:history="1">
        <w:r w:rsidRPr="001E0C8C">
          <w:rPr>
            <w:rStyle w:val="Hyperlink"/>
            <w:rFonts w:ascii="Times New Roman" w:hAnsi="Times New Roman" w:cs="Times New Roman"/>
            <w:kern w:val="2"/>
            <w:sz w:val="24"/>
            <w:szCs w:val="24"/>
            <w14:ligatures w14:val="standardContextual"/>
          </w:rPr>
          <w:t>https://www.un.org/en/un-chronicle/water-scarcity-climate-crisis-and-global-food-security-call-collaborative-action</w:t>
        </w:r>
      </w:hyperlink>
      <w:r w:rsidRPr="00286825">
        <w:rPr>
          <w:rFonts w:ascii="Times New Roman" w:hAnsi="Times New Roman" w:cs="Times New Roman"/>
          <w:kern w:val="2"/>
          <w:sz w:val="24"/>
          <w:szCs w:val="24"/>
          <w14:ligatures w14:val="standardContextual"/>
        </w:rPr>
        <w:t>.</w:t>
      </w:r>
    </w:p>
    <w:p w14:paraId="078D2E11" w14:textId="3A6BEB37" w:rsidR="00286825" w:rsidRPr="00D8283E" w:rsidRDefault="00286825" w:rsidP="00286825">
      <w:pPr>
        <w:spacing w:beforeAutospacing="1" w:afterAutospacing="1" w:line="360" w:lineRule="auto"/>
        <w:ind w:firstLine="720"/>
        <w:rPr>
          <w:rFonts w:ascii="Times New Roman" w:hAnsi="Times New Roman" w:cs="Times New Roman"/>
          <w:kern w:val="2"/>
          <w:sz w:val="24"/>
          <w:szCs w:val="24"/>
          <w14:ligatures w14:val="standardContextual"/>
        </w:rPr>
      </w:pPr>
      <w:r w:rsidRPr="00286825">
        <w:rPr>
          <w:rFonts w:ascii="Times New Roman" w:hAnsi="Times New Roman" w:cs="Times New Roman"/>
          <w:kern w:val="2"/>
          <w:sz w:val="24"/>
          <w:szCs w:val="24"/>
          <w14:ligatures w14:val="standardContextual"/>
        </w:rPr>
        <w:t xml:space="preserve">Vandenberg, S., </w:t>
      </w:r>
      <w:proofErr w:type="spellStart"/>
      <w:r w:rsidRPr="00286825">
        <w:rPr>
          <w:rFonts w:ascii="Times New Roman" w:hAnsi="Times New Roman" w:cs="Times New Roman"/>
          <w:kern w:val="2"/>
          <w:sz w:val="24"/>
          <w:szCs w:val="24"/>
          <w14:ligatures w14:val="standardContextual"/>
        </w:rPr>
        <w:t>Oosterbroek</w:t>
      </w:r>
      <w:proofErr w:type="spellEnd"/>
      <w:r w:rsidRPr="00286825">
        <w:rPr>
          <w:rFonts w:ascii="Times New Roman" w:hAnsi="Times New Roman" w:cs="Times New Roman"/>
          <w:kern w:val="2"/>
          <w:sz w:val="24"/>
          <w:szCs w:val="24"/>
          <w14:ligatures w14:val="standardContextual"/>
        </w:rPr>
        <w:t xml:space="preserve">, T., Chircop, A. and Kellett, P., 2025. Planetary health: A pragmatic theoretical framework to guide nursing education, research, and practice. </w:t>
      </w:r>
      <w:r w:rsidRPr="00286825">
        <w:rPr>
          <w:rFonts w:ascii="Times New Roman" w:hAnsi="Times New Roman" w:cs="Times New Roman"/>
          <w:i/>
          <w:iCs/>
          <w:kern w:val="2"/>
          <w:sz w:val="24"/>
          <w:szCs w:val="24"/>
          <w14:ligatures w14:val="standardContextual"/>
        </w:rPr>
        <w:t>Nurse Education Today</w:t>
      </w:r>
      <w:r w:rsidRPr="00286825">
        <w:rPr>
          <w:rFonts w:ascii="Times New Roman" w:hAnsi="Times New Roman" w:cs="Times New Roman"/>
          <w:kern w:val="2"/>
          <w:sz w:val="24"/>
          <w:szCs w:val="24"/>
          <w14:ligatures w14:val="standardContextual"/>
        </w:rPr>
        <w:t>, 153, p.106808. Available from: https://doi.org/10.1016/j.nedt.2025.106808</w:t>
      </w:r>
    </w:p>
    <w:p w14:paraId="10BB0828"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Vela MB, </w:t>
      </w:r>
      <w:proofErr w:type="spellStart"/>
      <w:r w:rsidRPr="00D8283E">
        <w:rPr>
          <w:rFonts w:ascii="Times New Roman" w:eastAsia="Times New Roman" w:hAnsi="Times New Roman" w:cs="Times New Roman"/>
          <w:kern w:val="2"/>
          <w:sz w:val="24"/>
          <w:szCs w:val="24"/>
          <w:lang w:eastAsia="en-CA"/>
          <w14:ligatures w14:val="standardContextual"/>
        </w:rPr>
        <w:t>Erondu</w:t>
      </w:r>
      <w:proofErr w:type="spellEnd"/>
      <w:r w:rsidRPr="00D8283E">
        <w:rPr>
          <w:rFonts w:ascii="Times New Roman" w:eastAsia="Times New Roman" w:hAnsi="Times New Roman" w:cs="Times New Roman"/>
          <w:kern w:val="2"/>
          <w:sz w:val="24"/>
          <w:szCs w:val="24"/>
          <w:lang w:eastAsia="en-CA"/>
          <w14:ligatures w14:val="standardContextual"/>
        </w:rPr>
        <w:t xml:space="preserve"> AI, Smith NA, Peek ME, Woodruff JN, Chin MH. Eliminating explicit and implicit biases in health care: evidence and research needs. Annual Review of Public Health [Internet]. 2022 Jan 12;43(1):477–501. Available from: https://doi.org/10.1146/annurev-publhealth-052620-103528</w:t>
      </w:r>
    </w:p>
    <w:p w14:paraId="72348E8A"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lastRenderedPageBreak/>
        <w:t>Verheul</w:t>
      </w:r>
      <w:proofErr w:type="spellEnd"/>
      <w:r w:rsidRPr="00D8283E">
        <w:rPr>
          <w:rFonts w:ascii="Times New Roman" w:eastAsia="Times New Roman" w:hAnsi="Times New Roman" w:cs="Times New Roman"/>
          <w:kern w:val="2"/>
          <w:sz w:val="24"/>
          <w:szCs w:val="24"/>
          <w:lang w:eastAsia="en-CA"/>
          <w14:ligatures w14:val="standardContextual"/>
        </w:rPr>
        <w:t xml:space="preserve"> ML, La </w:t>
      </w:r>
      <w:proofErr w:type="spellStart"/>
      <w:r w:rsidRPr="00D8283E">
        <w:rPr>
          <w:rFonts w:ascii="Times New Roman" w:eastAsia="Times New Roman" w:hAnsi="Times New Roman" w:cs="Times New Roman"/>
          <w:kern w:val="2"/>
          <w:sz w:val="24"/>
          <w:szCs w:val="24"/>
          <w:lang w:eastAsia="en-CA"/>
          <w14:ligatures w14:val="standardContextual"/>
        </w:rPr>
        <w:t>Dückers</w:t>
      </w:r>
      <w:proofErr w:type="spellEnd"/>
      <w:r w:rsidRPr="00D8283E">
        <w:rPr>
          <w:rFonts w:ascii="Times New Roman" w:eastAsia="Times New Roman" w:hAnsi="Times New Roman" w:cs="Times New Roman"/>
          <w:kern w:val="2"/>
          <w:sz w:val="24"/>
          <w:szCs w:val="24"/>
          <w:lang w:eastAsia="en-CA"/>
          <w14:ligatures w14:val="standardContextual"/>
        </w:rPr>
        <w:t xml:space="preserve"> M. Defining and Operationalizing Disaster Preparedness in Hospitals: A Systematic Literature review. Prehospital and Disaster Medicine [Internet]. 2019 Dec 12;35(1):61–8. Available from: https://doi.org/10.1017/s1049023x19005181</w:t>
      </w:r>
    </w:p>
    <w:p w14:paraId="654D442F" w14:textId="0337203F" w:rsid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 xml:space="preserve">Vermette D, Doolittle B. What Educators Can Learn from the Biopsychosocial-Spiritual Model of Patient Care: Time for Holistic Medical Education. Journal of General Internal Medicine [Internet]. 2022 Mar 31;37(8):2062–6. Available from: </w:t>
      </w:r>
      <w:hyperlink r:id="rId63" w:history="1">
        <w:r w:rsidR="00286825" w:rsidRPr="001E0C8C">
          <w:rPr>
            <w:rStyle w:val="Hyperlink"/>
            <w:rFonts w:ascii="Times New Roman" w:eastAsia="Times New Roman" w:hAnsi="Times New Roman" w:cs="Times New Roman"/>
            <w:kern w:val="2"/>
            <w:sz w:val="24"/>
            <w:szCs w:val="24"/>
            <w:lang w:eastAsia="en-CA"/>
            <w14:ligatures w14:val="standardContextual"/>
          </w:rPr>
          <w:t>https://doi.org/10.1007/s11606-022-07491-8</w:t>
        </w:r>
      </w:hyperlink>
    </w:p>
    <w:p w14:paraId="7208FC81" w14:textId="13FE5BED" w:rsidR="00286825" w:rsidRPr="00D8283E" w:rsidRDefault="00286825" w:rsidP="00286825">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286825">
        <w:rPr>
          <w:rFonts w:ascii="Times New Roman" w:eastAsia="Times New Roman" w:hAnsi="Times New Roman" w:cs="Times New Roman"/>
          <w:kern w:val="2"/>
          <w:sz w:val="24"/>
          <w:szCs w:val="24"/>
          <w:lang w:eastAsia="en-CA"/>
          <w14:ligatures w14:val="standardContextual"/>
        </w:rPr>
        <w:t xml:space="preserve">Visser EH, </w:t>
      </w:r>
      <w:proofErr w:type="spellStart"/>
      <w:r w:rsidRPr="00286825">
        <w:rPr>
          <w:rFonts w:ascii="Times New Roman" w:eastAsia="Times New Roman" w:hAnsi="Times New Roman" w:cs="Times New Roman"/>
          <w:kern w:val="2"/>
          <w:sz w:val="24"/>
          <w:szCs w:val="24"/>
          <w:lang w:eastAsia="en-CA"/>
          <w14:ligatures w14:val="standardContextual"/>
        </w:rPr>
        <w:t>Oosterveld</w:t>
      </w:r>
      <w:proofErr w:type="spellEnd"/>
      <w:r w:rsidRPr="00286825">
        <w:rPr>
          <w:rFonts w:ascii="Times New Roman" w:eastAsia="Times New Roman" w:hAnsi="Times New Roman" w:cs="Times New Roman"/>
          <w:kern w:val="2"/>
          <w:sz w:val="24"/>
          <w:szCs w:val="24"/>
          <w:lang w:eastAsia="en-CA"/>
          <w14:ligatures w14:val="standardContextual"/>
        </w:rPr>
        <w:t xml:space="preserve"> B, </w:t>
      </w:r>
      <w:proofErr w:type="spellStart"/>
      <w:r w:rsidRPr="00286825">
        <w:rPr>
          <w:rFonts w:ascii="Times New Roman" w:eastAsia="Times New Roman" w:hAnsi="Times New Roman" w:cs="Times New Roman"/>
          <w:kern w:val="2"/>
          <w:sz w:val="24"/>
          <w:szCs w:val="24"/>
          <w:lang w:eastAsia="en-CA"/>
          <w14:ligatures w14:val="standardContextual"/>
        </w:rPr>
        <w:t>Slootweg</w:t>
      </w:r>
      <w:proofErr w:type="spellEnd"/>
      <w:r w:rsidRPr="00286825">
        <w:rPr>
          <w:rFonts w:ascii="Times New Roman" w:eastAsia="Times New Roman" w:hAnsi="Times New Roman" w:cs="Times New Roman"/>
          <w:kern w:val="2"/>
          <w:sz w:val="24"/>
          <w:szCs w:val="24"/>
          <w:lang w:eastAsia="en-CA"/>
          <w14:ligatures w14:val="standardContextual"/>
        </w:rPr>
        <w:t xml:space="preserve"> IA, Vos HMM, </w:t>
      </w:r>
      <w:proofErr w:type="spellStart"/>
      <w:r w:rsidRPr="00286825">
        <w:rPr>
          <w:rFonts w:ascii="Times New Roman" w:eastAsia="Times New Roman" w:hAnsi="Times New Roman" w:cs="Times New Roman"/>
          <w:kern w:val="2"/>
          <w:sz w:val="24"/>
          <w:szCs w:val="24"/>
          <w:lang w:eastAsia="en-CA"/>
          <w14:ligatures w14:val="standardContextual"/>
        </w:rPr>
        <w:t>Adriaanse</w:t>
      </w:r>
      <w:proofErr w:type="spellEnd"/>
      <w:r w:rsidRPr="00286825">
        <w:rPr>
          <w:rFonts w:ascii="Times New Roman" w:eastAsia="Times New Roman" w:hAnsi="Times New Roman" w:cs="Times New Roman"/>
          <w:kern w:val="2"/>
          <w:sz w:val="24"/>
          <w:szCs w:val="24"/>
          <w:lang w:eastAsia="en-CA"/>
          <w14:ligatures w14:val="standardContextual"/>
        </w:rPr>
        <w:t xml:space="preserve"> MA, </w:t>
      </w:r>
      <w:proofErr w:type="spellStart"/>
      <w:r w:rsidRPr="00286825">
        <w:rPr>
          <w:rFonts w:ascii="Times New Roman" w:eastAsia="Times New Roman" w:hAnsi="Times New Roman" w:cs="Times New Roman"/>
          <w:kern w:val="2"/>
          <w:sz w:val="24"/>
          <w:szCs w:val="24"/>
          <w:lang w:eastAsia="en-CA"/>
          <w14:ligatures w14:val="standardContextual"/>
        </w:rPr>
        <w:t>Schoones</w:t>
      </w:r>
      <w:proofErr w:type="spellEnd"/>
      <w:r w:rsidRPr="00286825">
        <w:rPr>
          <w:rFonts w:ascii="Times New Roman" w:eastAsia="Times New Roman" w:hAnsi="Times New Roman" w:cs="Times New Roman"/>
          <w:kern w:val="2"/>
          <w:sz w:val="24"/>
          <w:szCs w:val="24"/>
          <w:lang w:eastAsia="en-CA"/>
          <w14:ligatures w14:val="standardContextual"/>
        </w:rPr>
        <w:t xml:space="preserve"> JW, </w:t>
      </w:r>
      <w:proofErr w:type="spellStart"/>
      <w:r w:rsidRPr="00286825">
        <w:rPr>
          <w:rFonts w:ascii="Times New Roman" w:eastAsia="Times New Roman" w:hAnsi="Times New Roman" w:cs="Times New Roman"/>
          <w:kern w:val="2"/>
          <w:sz w:val="24"/>
          <w:szCs w:val="24"/>
          <w:lang w:eastAsia="en-CA"/>
          <w14:ligatures w14:val="standardContextual"/>
        </w:rPr>
        <w:t>Brakema</w:t>
      </w:r>
      <w:proofErr w:type="spellEnd"/>
      <w:r w:rsidRPr="00286825">
        <w:rPr>
          <w:rFonts w:ascii="Times New Roman" w:eastAsia="Times New Roman" w:hAnsi="Times New Roman" w:cs="Times New Roman"/>
          <w:kern w:val="2"/>
          <w:sz w:val="24"/>
          <w:szCs w:val="24"/>
          <w:lang w:eastAsia="en-CA"/>
          <w14:ligatures w14:val="standardContextual"/>
        </w:rPr>
        <w:t xml:space="preserve"> EA. The Development and Characteristics of Planetary Health in Medical Education: A Scoping Review. </w:t>
      </w:r>
      <w:proofErr w:type="spellStart"/>
      <w:r w:rsidRPr="00286825">
        <w:rPr>
          <w:rFonts w:ascii="Times New Roman" w:eastAsia="Times New Roman" w:hAnsi="Times New Roman" w:cs="Times New Roman"/>
          <w:kern w:val="2"/>
          <w:sz w:val="24"/>
          <w:szCs w:val="24"/>
          <w:lang w:eastAsia="en-CA"/>
          <w14:ligatures w14:val="standardContextual"/>
        </w:rPr>
        <w:t>Acad</w:t>
      </w:r>
      <w:proofErr w:type="spellEnd"/>
      <w:r w:rsidRPr="00286825">
        <w:rPr>
          <w:rFonts w:ascii="Times New Roman" w:eastAsia="Times New Roman" w:hAnsi="Times New Roman" w:cs="Times New Roman"/>
          <w:kern w:val="2"/>
          <w:sz w:val="24"/>
          <w:szCs w:val="24"/>
          <w:lang w:eastAsia="en-CA"/>
          <w14:ligatures w14:val="standardContextual"/>
        </w:rPr>
        <w:t xml:space="preserve"> Med. 2024 Oct 1;99(10):1155-1166. </w:t>
      </w:r>
      <w:proofErr w:type="spellStart"/>
      <w:r w:rsidRPr="00286825">
        <w:rPr>
          <w:rFonts w:ascii="Times New Roman" w:eastAsia="Times New Roman" w:hAnsi="Times New Roman" w:cs="Times New Roman"/>
          <w:kern w:val="2"/>
          <w:sz w:val="24"/>
          <w:szCs w:val="24"/>
          <w:lang w:eastAsia="en-CA"/>
          <w14:ligatures w14:val="standardContextual"/>
        </w:rPr>
        <w:t>doi</w:t>
      </w:r>
      <w:proofErr w:type="spellEnd"/>
      <w:r w:rsidRPr="00286825">
        <w:rPr>
          <w:rFonts w:ascii="Times New Roman" w:eastAsia="Times New Roman" w:hAnsi="Times New Roman" w:cs="Times New Roman"/>
          <w:kern w:val="2"/>
          <w:sz w:val="24"/>
          <w:szCs w:val="24"/>
          <w:lang w:eastAsia="en-CA"/>
          <w14:ligatures w14:val="standardContextual"/>
        </w:rPr>
        <w:t xml:space="preserve">: 10.1097/ACM.0000000000005796. </w:t>
      </w:r>
      <w:proofErr w:type="spellStart"/>
      <w:r w:rsidRPr="00286825">
        <w:rPr>
          <w:rFonts w:ascii="Times New Roman" w:eastAsia="Times New Roman" w:hAnsi="Times New Roman" w:cs="Times New Roman"/>
          <w:kern w:val="2"/>
          <w:sz w:val="24"/>
          <w:szCs w:val="24"/>
          <w:lang w:eastAsia="en-CA"/>
          <w14:ligatures w14:val="standardContextual"/>
        </w:rPr>
        <w:t>Epub</w:t>
      </w:r>
      <w:proofErr w:type="spellEnd"/>
      <w:r w:rsidRPr="00286825">
        <w:rPr>
          <w:rFonts w:ascii="Times New Roman" w:eastAsia="Times New Roman" w:hAnsi="Times New Roman" w:cs="Times New Roman"/>
          <w:kern w:val="2"/>
          <w:sz w:val="24"/>
          <w:szCs w:val="24"/>
          <w:lang w:eastAsia="en-CA"/>
          <w14:ligatures w14:val="standardContextual"/>
        </w:rPr>
        <w:t xml:space="preserve"> 2024 Jul 1. PMID: 38954502.</w:t>
      </w:r>
    </w:p>
    <w:p w14:paraId="603DA93F"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Wade DT, Halligan PW. Do biomedical models of illness make for good healthcare systems? BMJ [Internet]. 2004 Dec 9;329(7479):1398–401. Available from: https://doi.org/10.1136/bmj.329.7479.1398</w:t>
      </w:r>
    </w:p>
    <w:p w14:paraId="3892BE7D"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Walpole SC, Mortimer F. Evaluation of a collaborative project to develop sustainable healthcare education in eight UK medical schools. Public Health [Internet]. 2017 Jul </w:t>
      </w:r>
      <w:proofErr w:type="gramStart"/>
      <w:r w:rsidRPr="00D8283E">
        <w:rPr>
          <w:rFonts w:ascii="Times New Roman" w:eastAsia="Times New Roman" w:hAnsi="Times New Roman" w:cs="Times New Roman"/>
          <w:kern w:val="2"/>
          <w:sz w:val="24"/>
          <w:szCs w:val="24"/>
          <w:lang w:eastAsia="en-GB"/>
          <w14:ligatures w14:val="standardContextual"/>
        </w:rPr>
        <w:t>4;150:134</w:t>
      </w:r>
      <w:proofErr w:type="gramEnd"/>
      <w:r w:rsidRPr="00D8283E">
        <w:rPr>
          <w:rFonts w:ascii="Times New Roman" w:eastAsia="Times New Roman" w:hAnsi="Times New Roman" w:cs="Times New Roman"/>
          <w:kern w:val="2"/>
          <w:sz w:val="24"/>
          <w:szCs w:val="24"/>
          <w:lang w:eastAsia="en-GB"/>
          <w14:ligatures w14:val="standardContextual"/>
        </w:rPr>
        <w:t>–48. Available from: https://doi.org/10.1016/j.puhe.2017.05.014</w:t>
      </w:r>
    </w:p>
    <w:p w14:paraId="70A28AC3"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Wasti</w:t>
      </w:r>
      <w:proofErr w:type="spellEnd"/>
      <w:r w:rsidRPr="00D8283E">
        <w:rPr>
          <w:rFonts w:ascii="Times New Roman" w:eastAsia="Times New Roman" w:hAnsi="Times New Roman" w:cs="Times New Roman"/>
          <w:kern w:val="2"/>
          <w:sz w:val="24"/>
          <w:szCs w:val="24"/>
          <w:lang w:eastAsia="en-CA"/>
          <w14:ligatures w14:val="standardContextual"/>
        </w:rPr>
        <w:t xml:space="preserve"> SP, </w:t>
      </w:r>
      <w:proofErr w:type="spellStart"/>
      <w:r w:rsidRPr="00D8283E">
        <w:rPr>
          <w:rFonts w:ascii="Times New Roman" w:eastAsia="Times New Roman" w:hAnsi="Times New Roman" w:cs="Times New Roman"/>
          <w:kern w:val="2"/>
          <w:sz w:val="24"/>
          <w:szCs w:val="24"/>
          <w:lang w:eastAsia="en-CA"/>
          <w14:ligatures w14:val="standardContextual"/>
        </w:rPr>
        <w:t>Simkhada</w:t>
      </w:r>
      <w:proofErr w:type="spellEnd"/>
      <w:r w:rsidRPr="00D8283E">
        <w:rPr>
          <w:rFonts w:ascii="Times New Roman" w:eastAsia="Times New Roman" w:hAnsi="Times New Roman" w:cs="Times New Roman"/>
          <w:kern w:val="2"/>
          <w:sz w:val="24"/>
          <w:szCs w:val="24"/>
          <w:lang w:eastAsia="en-CA"/>
          <w14:ligatures w14:val="standardContextual"/>
        </w:rPr>
        <w:t xml:space="preserve"> P, Van </w:t>
      </w:r>
      <w:proofErr w:type="spellStart"/>
      <w:r w:rsidRPr="00D8283E">
        <w:rPr>
          <w:rFonts w:ascii="Times New Roman" w:eastAsia="Times New Roman" w:hAnsi="Times New Roman" w:cs="Times New Roman"/>
          <w:kern w:val="2"/>
          <w:sz w:val="24"/>
          <w:szCs w:val="24"/>
          <w:lang w:eastAsia="en-CA"/>
          <w14:ligatures w14:val="standardContextual"/>
        </w:rPr>
        <w:t>Teijlingen</w:t>
      </w:r>
      <w:proofErr w:type="spellEnd"/>
      <w:r w:rsidRPr="00D8283E">
        <w:rPr>
          <w:rFonts w:ascii="Times New Roman" w:eastAsia="Times New Roman" w:hAnsi="Times New Roman" w:cs="Times New Roman"/>
          <w:kern w:val="2"/>
          <w:sz w:val="24"/>
          <w:szCs w:val="24"/>
          <w:lang w:eastAsia="en-CA"/>
          <w14:ligatures w14:val="standardContextual"/>
        </w:rPr>
        <w:t xml:space="preserve"> E, </w:t>
      </w:r>
      <w:proofErr w:type="spellStart"/>
      <w:r w:rsidRPr="00D8283E">
        <w:rPr>
          <w:rFonts w:ascii="Times New Roman" w:eastAsia="Times New Roman" w:hAnsi="Times New Roman" w:cs="Times New Roman"/>
          <w:kern w:val="2"/>
          <w:sz w:val="24"/>
          <w:szCs w:val="24"/>
          <w:lang w:eastAsia="en-CA"/>
          <w14:ligatures w14:val="standardContextual"/>
        </w:rPr>
        <w:t>Sathian</w:t>
      </w:r>
      <w:proofErr w:type="spellEnd"/>
      <w:r w:rsidRPr="00D8283E">
        <w:rPr>
          <w:rFonts w:ascii="Times New Roman" w:eastAsia="Times New Roman" w:hAnsi="Times New Roman" w:cs="Times New Roman"/>
          <w:kern w:val="2"/>
          <w:sz w:val="24"/>
          <w:szCs w:val="24"/>
          <w:lang w:eastAsia="en-CA"/>
          <w14:ligatures w14:val="standardContextual"/>
        </w:rPr>
        <w:t xml:space="preserve"> B, Banerjee I. The growing importance of Mixed-Methods research in health. Deleted Journal [Internet]. 2022 Mar 31;12(1):1175–8. Available from: https://doi.org/10.3126/nje.v12i1.43633</w:t>
      </w:r>
    </w:p>
    <w:p w14:paraId="26B25460"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Watts N, Amann M, </w:t>
      </w:r>
      <w:proofErr w:type="spellStart"/>
      <w:r w:rsidRPr="00D8283E">
        <w:rPr>
          <w:rFonts w:ascii="Times New Roman" w:eastAsia="Times New Roman" w:hAnsi="Times New Roman" w:cs="Times New Roman"/>
          <w:kern w:val="2"/>
          <w:sz w:val="24"/>
          <w:szCs w:val="24"/>
          <w:lang w:eastAsia="en-GB"/>
          <w14:ligatures w14:val="standardContextual"/>
        </w:rPr>
        <w:t>Ayeb</w:t>
      </w:r>
      <w:proofErr w:type="spellEnd"/>
      <w:r w:rsidRPr="00D8283E">
        <w:rPr>
          <w:rFonts w:ascii="Times New Roman" w:eastAsia="Times New Roman" w:hAnsi="Times New Roman" w:cs="Times New Roman"/>
          <w:kern w:val="2"/>
          <w:sz w:val="24"/>
          <w:szCs w:val="24"/>
          <w:lang w:eastAsia="en-GB"/>
          <w14:ligatures w14:val="standardContextual"/>
        </w:rPr>
        <w:t xml:space="preserve">-Karlsson S, </w:t>
      </w:r>
      <w:proofErr w:type="spellStart"/>
      <w:r w:rsidRPr="00D8283E">
        <w:rPr>
          <w:rFonts w:ascii="Times New Roman" w:eastAsia="Times New Roman" w:hAnsi="Times New Roman" w:cs="Times New Roman"/>
          <w:kern w:val="2"/>
          <w:sz w:val="24"/>
          <w:szCs w:val="24"/>
          <w:lang w:eastAsia="en-GB"/>
          <w14:ligatures w14:val="standardContextual"/>
        </w:rPr>
        <w:t>Belesova</w:t>
      </w:r>
      <w:proofErr w:type="spellEnd"/>
      <w:r w:rsidRPr="00D8283E">
        <w:rPr>
          <w:rFonts w:ascii="Times New Roman" w:eastAsia="Times New Roman" w:hAnsi="Times New Roman" w:cs="Times New Roman"/>
          <w:kern w:val="2"/>
          <w:sz w:val="24"/>
          <w:szCs w:val="24"/>
          <w:lang w:eastAsia="en-GB"/>
          <w14:ligatures w14:val="standardContextual"/>
        </w:rPr>
        <w:t xml:space="preserve"> K, Bouley T, Boykoff M, et al. The Lancet Countdown on health and climate change: from 25 years of inaction to a global transformation for public health. The Lancet [Internet]. 2017 Oct 30;391(10120):581–630. Available from: https://doi.org/10.1016/s0140-6736(17)32464-9</w:t>
      </w:r>
    </w:p>
    <w:p w14:paraId="225BB254"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Watts N, Amann M, </w:t>
      </w:r>
      <w:proofErr w:type="spellStart"/>
      <w:r w:rsidRPr="00D8283E">
        <w:rPr>
          <w:rFonts w:ascii="Times New Roman" w:eastAsia="Times New Roman" w:hAnsi="Times New Roman" w:cs="Times New Roman"/>
          <w:kern w:val="2"/>
          <w:sz w:val="24"/>
          <w:szCs w:val="24"/>
          <w:lang w:eastAsia="en-GB"/>
          <w14:ligatures w14:val="standardContextual"/>
        </w:rPr>
        <w:t>Ayeb</w:t>
      </w:r>
      <w:proofErr w:type="spellEnd"/>
      <w:r w:rsidRPr="00D8283E">
        <w:rPr>
          <w:rFonts w:ascii="Times New Roman" w:eastAsia="Times New Roman" w:hAnsi="Times New Roman" w:cs="Times New Roman"/>
          <w:kern w:val="2"/>
          <w:sz w:val="24"/>
          <w:szCs w:val="24"/>
          <w:lang w:eastAsia="en-GB"/>
          <w14:ligatures w14:val="standardContextual"/>
        </w:rPr>
        <w:t xml:space="preserve">-Karlsson S, Chambers J, Hamilton I, Lowe R, et al. The Lancet Countdown on health and climate change: from 25 years of inaction to a global transformation for public health (vol 391, </w:t>
      </w:r>
      <w:proofErr w:type="spellStart"/>
      <w:r w:rsidRPr="00D8283E">
        <w:rPr>
          <w:rFonts w:ascii="Times New Roman" w:eastAsia="Times New Roman" w:hAnsi="Times New Roman" w:cs="Times New Roman"/>
          <w:kern w:val="2"/>
          <w:sz w:val="24"/>
          <w:szCs w:val="24"/>
          <w:lang w:eastAsia="en-GB"/>
          <w14:ligatures w14:val="standardContextual"/>
        </w:rPr>
        <w:t>pg</w:t>
      </w:r>
      <w:proofErr w:type="spellEnd"/>
      <w:r w:rsidRPr="00D8283E">
        <w:rPr>
          <w:rFonts w:ascii="Times New Roman" w:eastAsia="Times New Roman" w:hAnsi="Times New Roman" w:cs="Times New Roman"/>
          <w:kern w:val="2"/>
          <w:sz w:val="24"/>
          <w:szCs w:val="24"/>
          <w:lang w:eastAsia="en-GB"/>
          <w14:ligatures w14:val="standardContextual"/>
        </w:rPr>
        <w:t xml:space="preserve"> 540, 2017). Lancet [Internet]. 2018 Feb 10; Available from: https://discovery.ucl.ac.uk/id/eprint/10063264/</w:t>
      </w:r>
    </w:p>
    <w:p w14:paraId="32D516FC"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r w:rsidRPr="00D8283E">
        <w:rPr>
          <w:rFonts w:ascii="Times New Roman" w:eastAsia="Times New Roman" w:hAnsi="Times New Roman" w:cs="Times New Roman"/>
          <w:kern w:val="2"/>
          <w:sz w:val="24"/>
          <w:szCs w:val="24"/>
          <w:lang w:eastAsia="en-CA"/>
          <w14:ligatures w14:val="standardContextual"/>
        </w:rPr>
        <w:t>Whitehead CR, Hodges BD, Austin Z. Captive on a carousel: discourses of ‘new’ in medical education 1910–2010. Advances in Health Sciences Education [Internet]. 2012 Oct 8;18(4):755–68. Available from: https://doi.org/10.1007/s10459-012-9414-8</w:t>
      </w:r>
    </w:p>
    <w:p w14:paraId="33DF8C8D" w14:textId="77777777" w:rsidR="00D8283E" w:rsidRDefault="00D8283E" w:rsidP="00D8283E">
      <w:pPr>
        <w:shd w:val="clear" w:color="auto" w:fill="FFFFFF"/>
        <w:spacing w:after="0" w:line="360" w:lineRule="auto"/>
        <w:ind w:firstLine="720"/>
        <w:rPr>
          <w:rFonts w:ascii="Times New Roman" w:hAnsi="Times New Roman" w:cs="Times New Roman"/>
          <w:kern w:val="2"/>
          <w:sz w:val="24"/>
          <w:szCs w:val="24"/>
          <w14:ligatures w14:val="standardContextual"/>
        </w:rPr>
      </w:pPr>
      <w:proofErr w:type="spellStart"/>
      <w:r w:rsidRPr="00D8283E">
        <w:rPr>
          <w:rFonts w:ascii="Times New Roman" w:hAnsi="Times New Roman" w:cs="Times New Roman"/>
          <w:kern w:val="2"/>
          <w:sz w:val="24"/>
          <w:szCs w:val="24"/>
          <w14:ligatures w14:val="standardContextual"/>
        </w:rPr>
        <w:lastRenderedPageBreak/>
        <w:t>Wildavsky</w:t>
      </w:r>
      <w:proofErr w:type="spellEnd"/>
      <w:r w:rsidRPr="00D8283E">
        <w:rPr>
          <w:rFonts w:ascii="Times New Roman" w:hAnsi="Times New Roman" w:cs="Times New Roman"/>
          <w:kern w:val="2"/>
          <w:sz w:val="24"/>
          <w:szCs w:val="24"/>
          <w14:ligatures w14:val="standardContextual"/>
        </w:rPr>
        <w:t xml:space="preserve">, Aaron B. 1988. </w:t>
      </w:r>
      <w:r w:rsidRPr="00D8283E">
        <w:rPr>
          <w:rFonts w:ascii="Times New Roman" w:hAnsi="Times New Roman" w:cs="Times New Roman"/>
          <w:i/>
          <w:iCs/>
          <w:kern w:val="2"/>
          <w:sz w:val="24"/>
          <w:szCs w:val="24"/>
          <w14:ligatures w14:val="standardContextual"/>
        </w:rPr>
        <w:t>Searching for safety</w:t>
      </w:r>
      <w:r w:rsidRPr="00D8283E">
        <w:rPr>
          <w:rFonts w:ascii="Times New Roman" w:hAnsi="Times New Roman" w:cs="Times New Roman"/>
          <w:kern w:val="2"/>
          <w:sz w:val="24"/>
          <w:szCs w:val="24"/>
          <w14:ligatures w14:val="standardContextual"/>
        </w:rPr>
        <w:t xml:space="preserve">. New Brunswick, NJ; Transaction </w:t>
      </w:r>
    </w:p>
    <w:p w14:paraId="06D4910D" w14:textId="0780DF94" w:rsidR="00286825" w:rsidRPr="00824053" w:rsidRDefault="00286825" w:rsidP="00286825">
      <w:pPr>
        <w:shd w:val="clear" w:color="auto" w:fill="FFFFFF"/>
        <w:spacing w:after="0" w:line="360" w:lineRule="auto"/>
        <w:ind w:firstLine="720"/>
        <w:rPr>
          <w:rFonts w:ascii="Times New Roman" w:hAnsi="Times New Roman" w:cs="Times New Roman"/>
          <w:b/>
          <w:bCs/>
          <w:kern w:val="2"/>
          <w:sz w:val="24"/>
          <w:szCs w:val="24"/>
          <w14:ligatures w14:val="standardContextual"/>
        </w:rPr>
      </w:pPr>
      <w:r w:rsidRPr="00824053">
        <w:rPr>
          <w:rFonts w:ascii="Times New Roman" w:hAnsi="Times New Roman" w:cs="Times New Roman"/>
          <w:kern w:val="2"/>
          <w:sz w:val="24"/>
          <w:szCs w:val="24"/>
          <w14:ligatures w14:val="standardContextual"/>
        </w:rPr>
        <w:t>World Bank, 2021.</w:t>
      </w:r>
      <w:r w:rsidRPr="00286825">
        <w:rPr>
          <w:rFonts w:ascii="Times New Roman" w:hAnsi="Times New Roman" w:cs="Times New Roman"/>
          <w:kern w:val="2"/>
          <w:sz w:val="24"/>
          <w:szCs w:val="24"/>
          <w14:ligatures w14:val="standardContextual"/>
        </w:rPr>
        <w:t xml:space="preserve"> Climate Change Could Force 216 </w:t>
      </w:r>
      <w:proofErr w:type="gramStart"/>
      <w:r w:rsidRPr="00286825">
        <w:rPr>
          <w:rFonts w:ascii="Times New Roman" w:hAnsi="Times New Roman" w:cs="Times New Roman"/>
          <w:kern w:val="2"/>
          <w:sz w:val="24"/>
          <w:szCs w:val="24"/>
          <w14:ligatures w14:val="standardContextual"/>
        </w:rPr>
        <w:t>Million</w:t>
      </w:r>
      <w:proofErr w:type="gramEnd"/>
      <w:r w:rsidRPr="00286825">
        <w:rPr>
          <w:rFonts w:ascii="Times New Roman" w:hAnsi="Times New Roman" w:cs="Times New Roman"/>
          <w:kern w:val="2"/>
          <w:sz w:val="24"/>
          <w:szCs w:val="24"/>
          <w14:ligatures w14:val="standardContextual"/>
        </w:rPr>
        <w:t xml:space="preserve"> People to Migrate Within Their Own Countries by 2050. World Bank Group. Available from: https://www.worldbank.org/en/news/press-release/2021/09/13/climate-change-could-force-216-million-people-to-migrate-within-their-own-countries-by-2050.</w:t>
      </w:r>
    </w:p>
    <w:p w14:paraId="728D6614" w14:textId="15CF1B81" w:rsidR="00286825" w:rsidRPr="00824053" w:rsidRDefault="00D8283E" w:rsidP="00286825">
      <w:pPr>
        <w:shd w:val="clear" w:color="auto" w:fill="FFFFFF"/>
        <w:spacing w:after="0" w:line="360" w:lineRule="auto"/>
        <w:ind w:firstLine="720"/>
      </w:pPr>
      <w:r w:rsidRPr="00D8283E">
        <w:rPr>
          <w:rFonts w:ascii="Times New Roman" w:eastAsia="Times New Roman" w:hAnsi="Times New Roman" w:cs="Times New Roman"/>
          <w:kern w:val="2"/>
          <w:sz w:val="24"/>
          <w:szCs w:val="24"/>
          <w:lang w:eastAsia="en-CA"/>
          <w14:ligatures w14:val="standardContextual"/>
        </w:rPr>
        <w:t xml:space="preserve">World Health Organisation. Definition and list of health professionals [Internet]. Transforming and Scaling up Health Professionals’ Education and Training - NCBI Bookshelf. 2013. Available from: </w:t>
      </w:r>
      <w:hyperlink r:id="rId64" w:history="1">
        <w:r w:rsidRPr="00D8283E">
          <w:rPr>
            <w:rFonts w:ascii="Times New Roman" w:eastAsia="Times New Roman" w:hAnsi="Times New Roman" w:cs="Times New Roman"/>
            <w:color w:val="467886" w:themeColor="hyperlink"/>
            <w:kern w:val="2"/>
            <w:sz w:val="24"/>
            <w:szCs w:val="24"/>
            <w:u w:val="single"/>
            <w:lang w:eastAsia="en-CA"/>
            <w14:ligatures w14:val="standardContextual"/>
          </w:rPr>
          <w:t>https://www.ncbi.nlm.nih.gov/books/NBK298950/</w:t>
        </w:r>
      </w:hyperlink>
    </w:p>
    <w:p w14:paraId="3984BE41" w14:textId="77777777" w:rsidR="00D8283E" w:rsidRDefault="00D8283E" w:rsidP="00D8283E">
      <w:pPr>
        <w:spacing w:line="360" w:lineRule="auto"/>
        <w:ind w:firstLine="720"/>
        <w:rPr>
          <w:rFonts w:ascii="Times New Roman" w:hAnsi="Times New Roman" w:cs="Times New Roman"/>
          <w:kern w:val="2"/>
          <w:sz w:val="24"/>
          <w:szCs w:val="24"/>
          <w:shd w:val="clear" w:color="auto" w:fill="FFFFFF"/>
          <w14:ligatures w14:val="standardContextual"/>
        </w:rPr>
      </w:pPr>
      <w:r w:rsidRPr="00D8283E">
        <w:rPr>
          <w:rFonts w:ascii="Times New Roman" w:hAnsi="Times New Roman" w:cs="Times New Roman"/>
          <w:kern w:val="2"/>
          <w:sz w:val="24"/>
          <w:szCs w:val="24"/>
          <w14:ligatures w14:val="standardContextual"/>
        </w:rPr>
        <w:t>World Health Organization. Building health systems resilience for universal health coverage and health security during the COVID-19 pandemic and beyond: a brief on the WHO position. Geneva; 2021</w:t>
      </w:r>
      <w:r w:rsidRPr="00D8283E">
        <w:rPr>
          <w:rFonts w:ascii="Times New Roman" w:hAnsi="Times New Roman" w:cs="Times New Roman"/>
          <w:kern w:val="2"/>
          <w:sz w:val="24"/>
          <w:szCs w:val="24"/>
          <w:shd w:val="clear" w:color="auto" w:fill="FFFFFF"/>
          <w14:ligatures w14:val="standardContextual"/>
        </w:rPr>
        <w:t xml:space="preserve"> </w:t>
      </w:r>
    </w:p>
    <w:p w14:paraId="263C021F" w14:textId="16583DC8" w:rsidR="00286825" w:rsidRPr="00D8283E" w:rsidRDefault="00286825" w:rsidP="00286825">
      <w:pPr>
        <w:spacing w:line="360" w:lineRule="auto"/>
        <w:ind w:firstLine="720"/>
        <w:rPr>
          <w:rFonts w:ascii="Times New Roman" w:hAnsi="Times New Roman" w:cs="Times New Roman"/>
          <w:kern w:val="2"/>
          <w:sz w:val="24"/>
          <w:szCs w:val="24"/>
          <w:shd w:val="clear" w:color="auto" w:fill="FFFFFF"/>
          <w14:ligatures w14:val="standardContextual"/>
        </w:rPr>
      </w:pPr>
      <w:r w:rsidRPr="00286825">
        <w:rPr>
          <w:rFonts w:ascii="Times New Roman" w:hAnsi="Times New Roman" w:cs="Times New Roman"/>
          <w:kern w:val="2"/>
          <w:sz w:val="24"/>
          <w:szCs w:val="24"/>
          <w:shd w:val="clear" w:color="auto" w:fill="FFFFFF"/>
          <w14:ligatures w14:val="standardContextual"/>
        </w:rPr>
        <w:t xml:space="preserve">Woodfield, M.J., 2026. Self-report methods for the assessment of implementation determinants: Reflections on the CFIR user guide. </w:t>
      </w:r>
      <w:r w:rsidRPr="00286825">
        <w:rPr>
          <w:rFonts w:ascii="Times New Roman" w:hAnsi="Times New Roman" w:cs="Times New Roman"/>
          <w:i/>
          <w:iCs/>
          <w:kern w:val="2"/>
          <w:sz w:val="24"/>
          <w:szCs w:val="24"/>
          <w:shd w:val="clear" w:color="auto" w:fill="FFFFFF"/>
          <w14:ligatures w14:val="standardContextual"/>
        </w:rPr>
        <w:t>Implementation Science</w:t>
      </w:r>
      <w:r w:rsidRPr="00286825">
        <w:rPr>
          <w:rFonts w:ascii="Times New Roman" w:hAnsi="Times New Roman" w:cs="Times New Roman"/>
          <w:kern w:val="2"/>
          <w:sz w:val="24"/>
          <w:szCs w:val="24"/>
          <w:shd w:val="clear" w:color="auto" w:fill="FFFFFF"/>
          <w14:ligatures w14:val="standardContextual"/>
        </w:rPr>
        <w:t>, 21(1), p.6. Available from: https://doi.org/10.1186/s13012-025-01480-1</w:t>
      </w:r>
    </w:p>
    <w:p w14:paraId="34839463"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proofErr w:type="spellStart"/>
      <w:r w:rsidRPr="00D8283E">
        <w:rPr>
          <w:rFonts w:ascii="Times New Roman" w:hAnsi="Times New Roman" w:cs="Times New Roman"/>
          <w:kern w:val="2"/>
          <w:sz w:val="24"/>
          <w:szCs w:val="24"/>
          <w14:ligatures w14:val="standardContextual"/>
        </w:rPr>
        <w:t>Wortzel</w:t>
      </w:r>
      <w:proofErr w:type="spellEnd"/>
      <w:r w:rsidRPr="00D8283E">
        <w:rPr>
          <w:rFonts w:ascii="Times New Roman" w:hAnsi="Times New Roman" w:cs="Times New Roman"/>
          <w:kern w:val="2"/>
          <w:sz w:val="24"/>
          <w:szCs w:val="24"/>
          <w14:ligatures w14:val="standardContextual"/>
        </w:rPr>
        <w:t xml:space="preserve"> J.R. and Feder JD. 2023. What You Can Do About Climate Change: An Interactive, Case-Based Session to Provide Psychiatrists Toolkits to Address Their Clinical, Organizational, and Advocacy Roles in the Climate Crisis. Journal of the American Academy of Child and Adolescent Psychiatry. Conference: The Scientific Proceedings of the 70th Annual Meeting of the American Academy of Child &amp; Adolescent Psychiatry. New York United States. 62(10 Supplement) (pp S101), 2023. Date of Publication: October 2023.</w:t>
      </w:r>
    </w:p>
    <w:p w14:paraId="36E06C76" w14:textId="77777777" w:rsidR="00D8283E" w:rsidRPr="00D8283E" w:rsidRDefault="00D8283E" w:rsidP="00D8283E">
      <w:pPr>
        <w:spacing w:after="0" w:line="360" w:lineRule="auto"/>
        <w:ind w:firstLine="720"/>
        <w:rPr>
          <w:rFonts w:ascii="Times New Roman" w:hAnsi="Times New Roman" w:cs="Times New Roman"/>
          <w:color w:val="000000"/>
          <w:kern w:val="2"/>
          <w:sz w:val="24"/>
          <w:szCs w:val="24"/>
          <w:shd w:val="clear" w:color="auto" w:fill="FFFFFF"/>
          <w14:ligatures w14:val="standardContextual"/>
        </w:rPr>
      </w:pPr>
      <w:proofErr w:type="spellStart"/>
      <w:r w:rsidRPr="00D8283E">
        <w:rPr>
          <w:rFonts w:ascii="Times New Roman" w:hAnsi="Times New Roman" w:cs="Times New Roman"/>
          <w:color w:val="000000"/>
          <w:kern w:val="2"/>
          <w:sz w:val="24"/>
          <w:szCs w:val="24"/>
          <w:shd w:val="clear" w:color="auto" w:fill="FFFFFF"/>
          <w14:ligatures w14:val="standardContextual"/>
        </w:rPr>
        <w:t>Wuebbles</w:t>
      </w:r>
      <w:proofErr w:type="spellEnd"/>
      <w:r w:rsidRPr="00D8283E">
        <w:rPr>
          <w:rFonts w:ascii="Times New Roman" w:hAnsi="Times New Roman" w:cs="Times New Roman"/>
          <w:color w:val="000000"/>
          <w:kern w:val="2"/>
          <w:sz w:val="24"/>
          <w:szCs w:val="24"/>
          <w:shd w:val="clear" w:color="auto" w:fill="FFFFFF"/>
          <w14:ligatures w14:val="standardContextual"/>
        </w:rPr>
        <w:t xml:space="preserve">, D.J., D.R. Easterling, K. </w:t>
      </w:r>
      <w:proofErr w:type="spellStart"/>
      <w:r w:rsidRPr="00D8283E">
        <w:rPr>
          <w:rFonts w:ascii="Times New Roman" w:hAnsi="Times New Roman" w:cs="Times New Roman"/>
          <w:color w:val="000000"/>
          <w:kern w:val="2"/>
          <w:sz w:val="24"/>
          <w:szCs w:val="24"/>
          <w:shd w:val="clear" w:color="auto" w:fill="FFFFFF"/>
          <w14:ligatures w14:val="standardContextual"/>
        </w:rPr>
        <w:t>Hayhoe</w:t>
      </w:r>
      <w:proofErr w:type="spellEnd"/>
      <w:r w:rsidRPr="00D8283E">
        <w:rPr>
          <w:rFonts w:ascii="Times New Roman" w:hAnsi="Times New Roman" w:cs="Times New Roman"/>
          <w:color w:val="000000"/>
          <w:kern w:val="2"/>
          <w:sz w:val="24"/>
          <w:szCs w:val="24"/>
          <w:shd w:val="clear" w:color="auto" w:fill="FFFFFF"/>
          <w14:ligatures w14:val="standardContextual"/>
        </w:rPr>
        <w:t xml:space="preserve">, T. Knutson, R.E. Kopp, J.P. </w:t>
      </w:r>
      <w:proofErr w:type="spellStart"/>
      <w:r w:rsidRPr="00D8283E">
        <w:rPr>
          <w:rFonts w:ascii="Times New Roman" w:hAnsi="Times New Roman" w:cs="Times New Roman"/>
          <w:color w:val="000000"/>
          <w:kern w:val="2"/>
          <w:sz w:val="24"/>
          <w:szCs w:val="24"/>
          <w:shd w:val="clear" w:color="auto" w:fill="FFFFFF"/>
          <w14:ligatures w14:val="standardContextual"/>
        </w:rPr>
        <w:t>Kossin</w:t>
      </w:r>
      <w:proofErr w:type="spellEnd"/>
      <w:r w:rsidRPr="00D8283E">
        <w:rPr>
          <w:rFonts w:ascii="Times New Roman" w:hAnsi="Times New Roman" w:cs="Times New Roman"/>
          <w:color w:val="000000"/>
          <w:kern w:val="2"/>
          <w:sz w:val="24"/>
          <w:szCs w:val="24"/>
          <w:shd w:val="clear" w:color="auto" w:fill="FFFFFF"/>
          <w14:ligatures w14:val="standardContextual"/>
        </w:rPr>
        <w:t xml:space="preserve">, K.E. Kunkel, A.N. </w:t>
      </w:r>
      <w:proofErr w:type="spellStart"/>
      <w:r w:rsidRPr="00D8283E">
        <w:rPr>
          <w:rFonts w:ascii="Times New Roman" w:hAnsi="Times New Roman" w:cs="Times New Roman"/>
          <w:color w:val="000000"/>
          <w:kern w:val="2"/>
          <w:sz w:val="24"/>
          <w:szCs w:val="24"/>
          <w:shd w:val="clear" w:color="auto" w:fill="FFFFFF"/>
          <w14:ligatures w14:val="standardContextual"/>
        </w:rPr>
        <w:t>LeGrande</w:t>
      </w:r>
      <w:proofErr w:type="spellEnd"/>
      <w:r w:rsidRPr="00D8283E">
        <w:rPr>
          <w:rFonts w:ascii="Times New Roman" w:hAnsi="Times New Roman" w:cs="Times New Roman"/>
          <w:color w:val="000000"/>
          <w:kern w:val="2"/>
          <w:sz w:val="24"/>
          <w:szCs w:val="24"/>
          <w:shd w:val="clear" w:color="auto" w:fill="FFFFFF"/>
          <w14:ligatures w14:val="standardContextual"/>
        </w:rPr>
        <w:t xml:space="preserve">, C. Mears, W.V. Sweet, P.C. Taylor, R.S. </w:t>
      </w:r>
      <w:proofErr w:type="spellStart"/>
      <w:r w:rsidRPr="00D8283E">
        <w:rPr>
          <w:rFonts w:ascii="Times New Roman" w:hAnsi="Times New Roman" w:cs="Times New Roman"/>
          <w:color w:val="000000"/>
          <w:kern w:val="2"/>
          <w:sz w:val="24"/>
          <w:szCs w:val="24"/>
          <w:shd w:val="clear" w:color="auto" w:fill="FFFFFF"/>
          <w14:ligatures w14:val="standardContextual"/>
        </w:rPr>
        <w:t>Vose</w:t>
      </w:r>
      <w:proofErr w:type="spellEnd"/>
      <w:r w:rsidRPr="00D8283E">
        <w:rPr>
          <w:rFonts w:ascii="Times New Roman" w:hAnsi="Times New Roman" w:cs="Times New Roman"/>
          <w:color w:val="000000"/>
          <w:kern w:val="2"/>
          <w:sz w:val="24"/>
          <w:szCs w:val="24"/>
          <w:shd w:val="clear" w:color="auto" w:fill="FFFFFF"/>
          <w14:ligatures w14:val="standardContextual"/>
        </w:rPr>
        <w:t xml:space="preserve">, and M.F. </w:t>
      </w:r>
      <w:proofErr w:type="spellStart"/>
      <w:r w:rsidRPr="00D8283E">
        <w:rPr>
          <w:rFonts w:ascii="Times New Roman" w:hAnsi="Times New Roman" w:cs="Times New Roman"/>
          <w:color w:val="000000"/>
          <w:kern w:val="2"/>
          <w:sz w:val="24"/>
          <w:szCs w:val="24"/>
          <w:shd w:val="clear" w:color="auto" w:fill="FFFFFF"/>
          <w14:ligatures w14:val="standardContextual"/>
        </w:rPr>
        <w:t>Wehner</w:t>
      </w:r>
      <w:proofErr w:type="spellEnd"/>
      <w:r w:rsidRPr="00D8283E">
        <w:rPr>
          <w:rFonts w:ascii="Times New Roman" w:hAnsi="Times New Roman" w:cs="Times New Roman"/>
          <w:color w:val="000000"/>
          <w:kern w:val="2"/>
          <w:sz w:val="24"/>
          <w:szCs w:val="24"/>
          <w:shd w:val="clear" w:color="auto" w:fill="FFFFFF"/>
          <w14:ligatures w14:val="standardContextual"/>
        </w:rPr>
        <w:t>, 2017: Our globally changing climate. In </w:t>
      </w:r>
      <w:r w:rsidRPr="00D8283E">
        <w:rPr>
          <w:rFonts w:ascii="Times New Roman" w:hAnsi="Times New Roman" w:cs="Times New Roman"/>
          <w:i/>
          <w:iCs/>
          <w:color w:val="000000"/>
          <w:kern w:val="2"/>
          <w:sz w:val="24"/>
          <w:szCs w:val="24"/>
          <w:shd w:val="clear" w:color="auto" w:fill="FFFFFF"/>
          <w14:ligatures w14:val="standardContextual"/>
        </w:rPr>
        <w:t>Climate Science Special Report: Fourth National Climate Assessment, Volume I</w:t>
      </w:r>
      <w:r w:rsidRPr="00D8283E">
        <w:rPr>
          <w:rFonts w:ascii="Times New Roman" w:hAnsi="Times New Roman" w:cs="Times New Roman"/>
          <w:color w:val="000000"/>
          <w:kern w:val="2"/>
          <w:sz w:val="24"/>
          <w:szCs w:val="24"/>
          <w:shd w:val="clear" w:color="auto" w:fill="FFFFFF"/>
          <w14:ligatures w14:val="standardContextual"/>
        </w:rPr>
        <w:t xml:space="preserve">. D.J. </w:t>
      </w:r>
      <w:proofErr w:type="spellStart"/>
      <w:r w:rsidRPr="00D8283E">
        <w:rPr>
          <w:rFonts w:ascii="Times New Roman" w:hAnsi="Times New Roman" w:cs="Times New Roman"/>
          <w:color w:val="000000"/>
          <w:kern w:val="2"/>
          <w:sz w:val="24"/>
          <w:szCs w:val="24"/>
          <w:shd w:val="clear" w:color="auto" w:fill="FFFFFF"/>
          <w14:ligatures w14:val="standardContextual"/>
        </w:rPr>
        <w:t>Wuebbles</w:t>
      </w:r>
      <w:proofErr w:type="spellEnd"/>
      <w:r w:rsidRPr="00D8283E">
        <w:rPr>
          <w:rFonts w:ascii="Times New Roman" w:hAnsi="Times New Roman" w:cs="Times New Roman"/>
          <w:color w:val="000000"/>
          <w:kern w:val="2"/>
          <w:sz w:val="24"/>
          <w:szCs w:val="24"/>
          <w:shd w:val="clear" w:color="auto" w:fill="FFFFFF"/>
          <w14:ligatures w14:val="standardContextual"/>
        </w:rPr>
        <w:t xml:space="preserve">, D.W. Fahey, K.A. Hibbard, D.J. Dokken, B.C. Stewart, and T.K. </w:t>
      </w:r>
      <w:proofErr w:type="spellStart"/>
      <w:r w:rsidRPr="00D8283E">
        <w:rPr>
          <w:rFonts w:ascii="Times New Roman" w:hAnsi="Times New Roman" w:cs="Times New Roman"/>
          <w:color w:val="000000"/>
          <w:kern w:val="2"/>
          <w:sz w:val="24"/>
          <w:szCs w:val="24"/>
          <w:shd w:val="clear" w:color="auto" w:fill="FFFFFF"/>
          <w14:ligatures w14:val="standardContextual"/>
        </w:rPr>
        <w:t>Maycock</w:t>
      </w:r>
      <w:proofErr w:type="spellEnd"/>
      <w:r w:rsidRPr="00D8283E">
        <w:rPr>
          <w:rFonts w:ascii="Times New Roman" w:hAnsi="Times New Roman" w:cs="Times New Roman"/>
          <w:color w:val="000000"/>
          <w:kern w:val="2"/>
          <w:sz w:val="24"/>
          <w:szCs w:val="24"/>
          <w:shd w:val="clear" w:color="auto" w:fill="FFFFFF"/>
          <w14:ligatures w14:val="standardContextual"/>
        </w:rPr>
        <w:t>, Eds., U.S. Global Change Research Program, pp. 35-72, doi:10.7930/J08S4N35.</w:t>
      </w:r>
    </w:p>
    <w:p w14:paraId="5AADC42E"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 xml:space="preserve">Xu R, Yu P, Liu Y, Chen G, Yang Z, Zhang Y, et al. Climate change, environmental extremes, and human health in Australia: challenges, adaptation strategies, and policy gaps. The Lancet Regional Health - Western Pacific [Internet]. 2023 Nov </w:t>
      </w:r>
      <w:proofErr w:type="gramStart"/>
      <w:r w:rsidRPr="00D8283E">
        <w:rPr>
          <w:rFonts w:ascii="Times New Roman" w:eastAsia="Times New Roman" w:hAnsi="Times New Roman" w:cs="Times New Roman"/>
          <w:kern w:val="2"/>
          <w:sz w:val="24"/>
          <w:szCs w:val="24"/>
          <w:lang w:eastAsia="en-GB"/>
          <w14:ligatures w14:val="standardContextual"/>
        </w:rPr>
        <w:t>1;40:100936</w:t>
      </w:r>
      <w:proofErr w:type="gramEnd"/>
      <w:r w:rsidRPr="00D8283E">
        <w:rPr>
          <w:rFonts w:ascii="Times New Roman" w:eastAsia="Times New Roman" w:hAnsi="Times New Roman" w:cs="Times New Roman"/>
          <w:kern w:val="2"/>
          <w:sz w:val="24"/>
          <w:szCs w:val="24"/>
          <w:lang w:eastAsia="en-GB"/>
          <w14:ligatures w14:val="standardContextual"/>
        </w:rPr>
        <w:t>. Available from: https://doi.org/10.1016/j.lanwpc.2023.100936</w:t>
      </w:r>
    </w:p>
    <w:p w14:paraId="574C0654"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lastRenderedPageBreak/>
        <w:t>Yusa</w:t>
      </w:r>
      <w:proofErr w:type="spellEnd"/>
      <w:r w:rsidRPr="00D8283E">
        <w:rPr>
          <w:rFonts w:ascii="Times New Roman" w:eastAsia="Times New Roman" w:hAnsi="Times New Roman" w:cs="Times New Roman"/>
          <w:kern w:val="2"/>
          <w:sz w:val="24"/>
          <w:szCs w:val="24"/>
          <w:lang w:eastAsia="en-CA"/>
          <w14:ligatures w14:val="standardContextual"/>
        </w:rPr>
        <w:t xml:space="preserve"> A, Berry P, </w:t>
      </w:r>
      <w:proofErr w:type="spellStart"/>
      <w:r w:rsidRPr="00D8283E">
        <w:rPr>
          <w:rFonts w:ascii="Times New Roman" w:eastAsia="Times New Roman" w:hAnsi="Times New Roman" w:cs="Times New Roman"/>
          <w:kern w:val="2"/>
          <w:sz w:val="24"/>
          <w:szCs w:val="24"/>
          <w:lang w:eastAsia="en-CA"/>
          <w14:ligatures w14:val="standardContextual"/>
        </w:rPr>
        <w:t>JCheng</w:t>
      </w:r>
      <w:proofErr w:type="spellEnd"/>
      <w:r w:rsidRPr="00D8283E">
        <w:rPr>
          <w:rFonts w:ascii="Times New Roman" w:eastAsia="Times New Roman" w:hAnsi="Times New Roman" w:cs="Times New Roman"/>
          <w:kern w:val="2"/>
          <w:sz w:val="24"/>
          <w:szCs w:val="24"/>
          <w:lang w:eastAsia="en-CA"/>
          <w14:ligatures w14:val="standardContextual"/>
        </w:rPr>
        <w:t xml:space="preserve"> J, Ogden N, </w:t>
      </w:r>
      <w:proofErr w:type="spellStart"/>
      <w:r w:rsidRPr="00D8283E">
        <w:rPr>
          <w:rFonts w:ascii="Times New Roman" w:eastAsia="Times New Roman" w:hAnsi="Times New Roman" w:cs="Times New Roman"/>
          <w:kern w:val="2"/>
          <w:sz w:val="24"/>
          <w:szCs w:val="24"/>
          <w:lang w:eastAsia="en-CA"/>
          <w14:ligatures w14:val="standardContextual"/>
        </w:rPr>
        <w:t>Bonsal</w:t>
      </w:r>
      <w:proofErr w:type="spellEnd"/>
      <w:r w:rsidRPr="00D8283E">
        <w:rPr>
          <w:rFonts w:ascii="Times New Roman" w:eastAsia="Times New Roman" w:hAnsi="Times New Roman" w:cs="Times New Roman"/>
          <w:kern w:val="2"/>
          <w:sz w:val="24"/>
          <w:szCs w:val="24"/>
          <w:lang w:eastAsia="en-CA"/>
          <w14:ligatures w14:val="standardContextual"/>
        </w:rPr>
        <w:t xml:space="preserve"> B, Stewart R, et al. Climate change, drought and human health in Canada. International Journal of Environmental Research and Public Health [Internet]. 2015 Jul 17;12(7):8359–412. Available from: https://doi.org/10.3390/ijerph120708359</w:t>
      </w:r>
    </w:p>
    <w:p w14:paraId="1A9BBAC1" w14:textId="77777777" w:rsidR="00D8283E" w:rsidRPr="00D8283E" w:rsidRDefault="00D8283E" w:rsidP="00D8283E">
      <w:pPr>
        <w:spacing w:after="0" w:line="360" w:lineRule="auto"/>
        <w:ind w:firstLine="720"/>
        <w:rPr>
          <w:rFonts w:ascii="Times New Roman" w:eastAsia="Times New Roman" w:hAnsi="Times New Roman" w:cs="Times New Roman"/>
          <w:kern w:val="2"/>
          <w:sz w:val="24"/>
          <w:szCs w:val="24"/>
          <w:lang w:eastAsia="en-GB"/>
          <w14:ligatures w14:val="standardContextual"/>
        </w:rPr>
      </w:pPr>
      <w:r w:rsidRPr="00D8283E">
        <w:rPr>
          <w:rFonts w:ascii="Times New Roman" w:eastAsia="Times New Roman" w:hAnsi="Times New Roman" w:cs="Times New Roman"/>
          <w:kern w:val="2"/>
          <w:sz w:val="24"/>
          <w:szCs w:val="24"/>
          <w:lang w:eastAsia="en-GB"/>
          <w14:ligatures w14:val="standardContextual"/>
        </w:rPr>
        <w:t>Zhong S, Clark M, Hou XY, Zang Y, FitzGerald G. Development of key indicators of hospital resilience: a modified Delphi study. Journal of Health Services Research &amp; Policy [Internet]. 2014 Dec 11;20(2):74–82. Available from: https://doi.org/10.1177/1355819614561537</w:t>
      </w:r>
    </w:p>
    <w:p w14:paraId="635849B7" w14:textId="77777777" w:rsidR="00D8283E" w:rsidRPr="00D8283E" w:rsidRDefault="00D8283E" w:rsidP="00D8283E">
      <w:pPr>
        <w:spacing w:line="360" w:lineRule="auto"/>
        <w:ind w:firstLine="720"/>
        <w:rPr>
          <w:rFonts w:ascii="Times New Roman" w:hAnsi="Times New Roman" w:cs="Times New Roman"/>
          <w:kern w:val="2"/>
          <w:sz w:val="24"/>
          <w:szCs w:val="24"/>
          <w14:ligatures w14:val="standardContextual"/>
        </w:rPr>
      </w:pPr>
      <w:r w:rsidRPr="00D8283E">
        <w:rPr>
          <w:rFonts w:ascii="Times New Roman" w:hAnsi="Times New Roman" w:cs="Times New Roman"/>
          <w:kern w:val="2"/>
          <w:sz w:val="24"/>
          <w:szCs w:val="24"/>
          <w:shd w:val="clear" w:color="auto" w:fill="FFFFFF"/>
          <w14:ligatures w14:val="standardContextual"/>
        </w:rPr>
        <w:t xml:space="preserve">Zhong, Shuang Clark, Michele Hou, Xiang-Yu Zang, </w:t>
      </w:r>
      <w:proofErr w:type="spellStart"/>
      <w:r w:rsidRPr="00D8283E">
        <w:rPr>
          <w:rFonts w:ascii="Times New Roman" w:hAnsi="Times New Roman" w:cs="Times New Roman"/>
          <w:kern w:val="2"/>
          <w:sz w:val="24"/>
          <w:szCs w:val="24"/>
          <w:shd w:val="clear" w:color="auto" w:fill="FFFFFF"/>
          <w14:ligatures w14:val="standardContextual"/>
        </w:rPr>
        <w:t>Yuli</w:t>
      </w:r>
      <w:proofErr w:type="spellEnd"/>
      <w:r w:rsidRPr="00D8283E">
        <w:rPr>
          <w:rFonts w:ascii="Times New Roman" w:hAnsi="Times New Roman" w:cs="Times New Roman"/>
          <w:kern w:val="2"/>
          <w:sz w:val="24"/>
          <w:szCs w:val="24"/>
          <w:shd w:val="clear" w:color="auto" w:fill="FFFFFF"/>
          <w14:ligatures w14:val="standardContextual"/>
        </w:rPr>
        <w:t xml:space="preserve"> and FitzGerald, Gerard 2015. </w:t>
      </w:r>
      <w:r w:rsidRPr="00D8283E">
        <w:rPr>
          <w:rFonts w:ascii="Times New Roman" w:hAnsi="Times New Roman" w:cs="Times New Roman"/>
          <w:i/>
          <w:iCs/>
          <w:kern w:val="2"/>
          <w:sz w:val="24"/>
          <w:szCs w:val="24"/>
          <w:bdr w:val="none" w:sz="0" w:space="0" w:color="auto" w:frame="1"/>
          <w:shd w:val="clear" w:color="auto" w:fill="FFFFFF"/>
          <w14:ligatures w14:val="standardContextual"/>
        </w:rPr>
        <w:t>Development of key indicators of hospital resilience: a modified Delphi study</w:t>
      </w:r>
      <w:r w:rsidRPr="00D8283E">
        <w:rPr>
          <w:rFonts w:ascii="Times New Roman" w:hAnsi="Times New Roman" w:cs="Times New Roman"/>
          <w:kern w:val="2"/>
          <w:sz w:val="24"/>
          <w:szCs w:val="24"/>
          <w:shd w:val="clear" w:color="auto" w:fill="FFFFFF"/>
          <w14:ligatures w14:val="standardContextual"/>
        </w:rPr>
        <w:t>. Journal of Health Services Research &amp; Policy, Vol. 20, Issue. 2, p. 74.</w:t>
      </w:r>
    </w:p>
    <w:p w14:paraId="4D10D5E2" w14:textId="77777777" w:rsidR="00D8283E" w:rsidRPr="00D8283E" w:rsidRDefault="00D8283E" w:rsidP="00D8283E">
      <w:pPr>
        <w:shd w:val="clear" w:color="auto" w:fill="FFFFFF"/>
        <w:spacing w:after="0" w:line="360" w:lineRule="auto"/>
        <w:ind w:firstLine="720"/>
        <w:rPr>
          <w:rFonts w:ascii="Times New Roman" w:eastAsia="Times New Roman" w:hAnsi="Times New Roman" w:cs="Times New Roman"/>
          <w:kern w:val="2"/>
          <w:sz w:val="24"/>
          <w:szCs w:val="24"/>
          <w:lang w:eastAsia="en-CA"/>
          <w14:ligatures w14:val="standardContextual"/>
        </w:rPr>
      </w:pPr>
      <w:proofErr w:type="spellStart"/>
      <w:r w:rsidRPr="00D8283E">
        <w:rPr>
          <w:rFonts w:ascii="Times New Roman" w:eastAsia="Times New Roman" w:hAnsi="Times New Roman" w:cs="Times New Roman"/>
          <w:kern w:val="2"/>
          <w:sz w:val="24"/>
          <w:szCs w:val="24"/>
          <w:lang w:eastAsia="en-CA"/>
          <w14:ligatures w14:val="standardContextual"/>
        </w:rPr>
        <w:t>Zumstein‐Shaha</w:t>
      </w:r>
      <w:proofErr w:type="spellEnd"/>
      <w:r w:rsidRPr="00D8283E">
        <w:rPr>
          <w:rFonts w:ascii="Times New Roman" w:eastAsia="Times New Roman" w:hAnsi="Times New Roman" w:cs="Times New Roman"/>
          <w:kern w:val="2"/>
          <w:sz w:val="24"/>
          <w:szCs w:val="24"/>
          <w:lang w:eastAsia="en-CA"/>
          <w14:ligatures w14:val="standardContextual"/>
        </w:rPr>
        <w:t xml:space="preserve"> M, Grace PJ. Competency frameworks, nursing perspectives, and interdisciplinary collaborations for good patient care: Delineating boundaries. Nursing Philosophy [Internet]. 2022 Jun 27;24(1). Available from: https://doi.org/10.1111/nup.12402</w:t>
      </w:r>
    </w:p>
    <w:p w14:paraId="2C785263" w14:textId="77777777" w:rsidR="00D774D2" w:rsidRPr="00990AE1" w:rsidRDefault="00D774D2" w:rsidP="00990AE1"/>
    <w:sectPr w:rsidR="00D774D2" w:rsidRPr="00990AE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35322" w14:textId="77777777" w:rsidR="007F69A8" w:rsidRDefault="007F69A8" w:rsidP="006C17FF">
      <w:pPr>
        <w:spacing w:after="0" w:line="240" w:lineRule="auto"/>
      </w:pPr>
      <w:r>
        <w:separator/>
      </w:r>
    </w:p>
  </w:endnote>
  <w:endnote w:type="continuationSeparator" w:id="0">
    <w:p w14:paraId="32C33D53" w14:textId="77777777" w:rsidR="007F69A8" w:rsidRDefault="007F69A8" w:rsidP="006C1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UOS Blake">
    <w:altName w:val="Calibri"/>
    <w:panose1 w:val="020B0604020202020204"/>
    <w:charset w:val="00"/>
    <w:family w:val="swiss"/>
    <w:pitch w:val="variable"/>
    <w:sig w:usb0="8000002F" w:usb1="4000004A" w:usb2="00000000" w:usb3="00000000" w:csb0="00000011" w:csb1="00000000"/>
  </w:font>
  <w:font w:name="Univers Light">
    <w:panose1 w:val="020B0403020202020204"/>
    <w:charset w:val="00"/>
    <w:family w:val="swiss"/>
    <w:pitch w:val="variable"/>
    <w:sig w:usb0="80000287" w:usb1="00000000" w:usb2="00000000" w:usb3="00000000" w:csb0="0000000F" w:csb1="00000000"/>
  </w:font>
  <w:font w:name="Open Sans">
    <w:panose1 w:val="020B0606030504020204"/>
    <w:charset w:val="00"/>
    <w:family w:val="swiss"/>
    <w:pitch w:val="variable"/>
    <w:sig w:usb0="E00002EF" w:usb1="4000205B" w:usb2="00000028" w:usb3="00000000" w:csb0="0000019F" w:csb1="00000000"/>
  </w:font>
  <w:font w:name="NimbusSans-Regular">
    <w:altName w:val="Calibri"/>
    <w:panose1 w:val="020B0604020202020204"/>
    <w:charset w:val="00"/>
    <w:family w:val="auto"/>
    <w:pitch w:val="default"/>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865187"/>
      <w:docPartObj>
        <w:docPartGallery w:val="Page Numbers (Bottom of Page)"/>
        <w:docPartUnique/>
      </w:docPartObj>
    </w:sdtPr>
    <w:sdtEndPr>
      <w:rPr>
        <w:noProof/>
      </w:rPr>
    </w:sdtEndPr>
    <w:sdtContent>
      <w:p w14:paraId="7F0E75F4" w14:textId="320ADC10" w:rsidR="00B163A1" w:rsidRDefault="00B163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014D73" w14:textId="77777777" w:rsidR="00B163A1" w:rsidRDefault="00B16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B035B" w14:textId="77777777" w:rsidR="007F69A8" w:rsidRDefault="007F69A8" w:rsidP="006C17FF">
      <w:pPr>
        <w:spacing w:after="0" w:line="240" w:lineRule="auto"/>
      </w:pPr>
      <w:r>
        <w:separator/>
      </w:r>
    </w:p>
  </w:footnote>
  <w:footnote w:type="continuationSeparator" w:id="0">
    <w:p w14:paraId="3F4917DB" w14:textId="77777777" w:rsidR="007F69A8" w:rsidRDefault="007F69A8" w:rsidP="006C17FF">
      <w:pPr>
        <w:spacing w:after="0" w:line="240" w:lineRule="auto"/>
      </w:pPr>
      <w:r>
        <w:continuationSeparator/>
      </w:r>
    </w:p>
  </w:footnote>
  <w:footnote w:id="1">
    <w:p w14:paraId="67D29FE0" w14:textId="77777777" w:rsidR="006C17FF" w:rsidRPr="00C921A8" w:rsidRDefault="006C17FF" w:rsidP="006C17FF">
      <w:pPr>
        <w:pStyle w:val="FootnoteText"/>
        <w:rPr>
          <w:lang w:val="en-US"/>
        </w:rPr>
      </w:pPr>
      <w:r>
        <w:rPr>
          <w:rStyle w:val="FootnoteReference"/>
        </w:rPr>
        <w:footnoteRef/>
      </w:r>
      <w:r>
        <w:t xml:space="preserve"> University Collaborative: A joint offering that may include participation from third sector parties, government establishments, or multiple universities.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5762"/>
    <w:multiLevelType w:val="multilevel"/>
    <w:tmpl w:val="288857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7A2566"/>
    <w:multiLevelType w:val="multilevel"/>
    <w:tmpl w:val="DF44D4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522505D"/>
    <w:multiLevelType w:val="multilevel"/>
    <w:tmpl w:val="B010D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F233499"/>
    <w:multiLevelType w:val="hybridMultilevel"/>
    <w:tmpl w:val="019E52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C24080F"/>
    <w:multiLevelType w:val="multilevel"/>
    <w:tmpl w:val="B10243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CE96DDC"/>
    <w:multiLevelType w:val="multilevel"/>
    <w:tmpl w:val="D5CA2D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EA42EA1"/>
    <w:multiLevelType w:val="multilevel"/>
    <w:tmpl w:val="1DAEFF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69052033">
    <w:abstractNumId w:val="5"/>
  </w:num>
  <w:num w:numId="2" w16cid:durableId="1207642545">
    <w:abstractNumId w:val="6"/>
  </w:num>
  <w:num w:numId="3" w16cid:durableId="777070115">
    <w:abstractNumId w:val="1"/>
  </w:num>
  <w:num w:numId="4" w16cid:durableId="486166132">
    <w:abstractNumId w:val="2"/>
  </w:num>
  <w:num w:numId="5" w16cid:durableId="1616249183">
    <w:abstractNumId w:val="4"/>
  </w:num>
  <w:num w:numId="6" w16cid:durableId="668598360">
    <w:abstractNumId w:val="0"/>
  </w:num>
  <w:num w:numId="7" w16cid:durableId="990718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4F0"/>
    <w:rsid w:val="00005045"/>
    <w:rsid w:val="00005891"/>
    <w:rsid w:val="00005E4E"/>
    <w:rsid w:val="00010BCF"/>
    <w:rsid w:val="0005520E"/>
    <w:rsid w:val="000951FF"/>
    <w:rsid w:val="000973EE"/>
    <w:rsid w:val="000C0C07"/>
    <w:rsid w:val="000C5008"/>
    <w:rsid w:val="000E12F7"/>
    <w:rsid w:val="00107278"/>
    <w:rsid w:val="00110EBD"/>
    <w:rsid w:val="001132F5"/>
    <w:rsid w:val="001302E8"/>
    <w:rsid w:val="001306C3"/>
    <w:rsid w:val="00136414"/>
    <w:rsid w:val="001371F5"/>
    <w:rsid w:val="00137CA1"/>
    <w:rsid w:val="00165A3A"/>
    <w:rsid w:val="001855E8"/>
    <w:rsid w:val="001B5277"/>
    <w:rsid w:val="001D624A"/>
    <w:rsid w:val="001E2885"/>
    <w:rsid w:val="001F0082"/>
    <w:rsid w:val="001F74DF"/>
    <w:rsid w:val="00206ECB"/>
    <w:rsid w:val="00210B96"/>
    <w:rsid w:val="0022595A"/>
    <w:rsid w:val="00231A5A"/>
    <w:rsid w:val="00243F57"/>
    <w:rsid w:val="002476D6"/>
    <w:rsid w:val="00250179"/>
    <w:rsid w:val="00276C22"/>
    <w:rsid w:val="00286825"/>
    <w:rsid w:val="002925BE"/>
    <w:rsid w:val="00292C93"/>
    <w:rsid w:val="002A28D2"/>
    <w:rsid w:val="002D361D"/>
    <w:rsid w:val="00307C87"/>
    <w:rsid w:val="0031750D"/>
    <w:rsid w:val="003328F9"/>
    <w:rsid w:val="00382621"/>
    <w:rsid w:val="003B1AEF"/>
    <w:rsid w:val="003C3D00"/>
    <w:rsid w:val="003F7E14"/>
    <w:rsid w:val="00420ADB"/>
    <w:rsid w:val="0044303C"/>
    <w:rsid w:val="00492567"/>
    <w:rsid w:val="004B333E"/>
    <w:rsid w:val="004E132D"/>
    <w:rsid w:val="004F564A"/>
    <w:rsid w:val="00501171"/>
    <w:rsid w:val="00532B77"/>
    <w:rsid w:val="005A04F8"/>
    <w:rsid w:val="005F5070"/>
    <w:rsid w:val="00625905"/>
    <w:rsid w:val="006312B0"/>
    <w:rsid w:val="006466AD"/>
    <w:rsid w:val="0067429B"/>
    <w:rsid w:val="00683C27"/>
    <w:rsid w:val="006A0BD2"/>
    <w:rsid w:val="006B26F4"/>
    <w:rsid w:val="006C17FF"/>
    <w:rsid w:val="006C350C"/>
    <w:rsid w:val="006E263F"/>
    <w:rsid w:val="00752482"/>
    <w:rsid w:val="00753782"/>
    <w:rsid w:val="00767475"/>
    <w:rsid w:val="00780EF1"/>
    <w:rsid w:val="00784042"/>
    <w:rsid w:val="00786628"/>
    <w:rsid w:val="00787A80"/>
    <w:rsid w:val="007C0914"/>
    <w:rsid w:val="007D232B"/>
    <w:rsid w:val="007D5145"/>
    <w:rsid w:val="007D5DBA"/>
    <w:rsid w:val="007F69A8"/>
    <w:rsid w:val="00824053"/>
    <w:rsid w:val="00846888"/>
    <w:rsid w:val="00866C85"/>
    <w:rsid w:val="00885165"/>
    <w:rsid w:val="008C6F81"/>
    <w:rsid w:val="00906651"/>
    <w:rsid w:val="009123EF"/>
    <w:rsid w:val="0096599A"/>
    <w:rsid w:val="009700C1"/>
    <w:rsid w:val="00974DCF"/>
    <w:rsid w:val="00990AE1"/>
    <w:rsid w:val="00990F9C"/>
    <w:rsid w:val="009951B4"/>
    <w:rsid w:val="009B2B02"/>
    <w:rsid w:val="009B3E36"/>
    <w:rsid w:val="009E0DE9"/>
    <w:rsid w:val="009F0ED0"/>
    <w:rsid w:val="00A00EFC"/>
    <w:rsid w:val="00A05FD9"/>
    <w:rsid w:val="00A17EA3"/>
    <w:rsid w:val="00A31429"/>
    <w:rsid w:val="00A40B94"/>
    <w:rsid w:val="00A4393F"/>
    <w:rsid w:val="00A77954"/>
    <w:rsid w:val="00AB3D09"/>
    <w:rsid w:val="00AC7516"/>
    <w:rsid w:val="00AE31D4"/>
    <w:rsid w:val="00B163A1"/>
    <w:rsid w:val="00B22887"/>
    <w:rsid w:val="00B41254"/>
    <w:rsid w:val="00B41C41"/>
    <w:rsid w:val="00B82B36"/>
    <w:rsid w:val="00BB033B"/>
    <w:rsid w:val="00BE4211"/>
    <w:rsid w:val="00C30E87"/>
    <w:rsid w:val="00C3593A"/>
    <w:rsid w:val="00C5745A"/>
    <w:rsid w:val="00CB041D"/>
    <w:rsid w:val="00CC319B"/>
    <w:rsid w:val="00CF7DD9"/>
    <w:rsid w:val="00D169EE"/>
    <w:rsid w:val="00D252B9"/>
    <w:rsid w:val="00D31AB6"/>
    <w:rsid w:val="00D46F2A"/>
    <w:rsid w:val="00D774D2"/>
    <w:rsid w:val="00D82092"/>
    <w:rsid w:val="00D8283E"/>
    <w:rsid w:val="00D8704A"/>
    <w:rsid w:val="00D92357"/>
    <w:rsid w:val="00DC3E48"/>
    <w:rsid w:val="00DE29BF"/>
    <w:rsid w:val="00DE7069"/>
    <w:rsid w:val="00DF7AC0"/>
    <w:rsid w:val="00E02055"/>
    <w:rsid w:val="00E02230"/>
    <w:rsid w:val="00E02319"/>
    <w:rsid w:val="00E036F2"/>
    <w:rsid w:val="00E47475"/>
    <w:rsid w:val="00E90408"/>
    <w:rsid w:val="00EB34F0"/>
    <w:rsid w:val="00EC5278"/>
    <w:rsid w:val="00ED162D"/>
    <w:rsid w:val="00ED1F2F"/>
    <w:rsid w:val="00EE4A10"/>
    <w:rsid w:val="00EF0589"/>
    <w:rsid w:val="00F268BE"/>
    <w:rsid w:val="00F330F5"/>
    <w:rsid w:val="00F34D81"/>
    <w:rsid w:val="00F351E4"/>
    <w:rsid w:val="00F6412E"/>
    <w:rsid w:val="00F86105"/>
    <w:rsid w:val="00F91188"/>
    <w:rsid w:val="00FA2D36"/>
    <w:rsid w:val="00FC7E02"/>
    <w:rsid w:val="00FD1774"/>
    <w:rsid w:val="00FE1F0E"/>
    <w:rsid w:val="00FF3CBF"/>
    <w:rsid w:val="00FF407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BD16"/>
  <w15:chartTrackingRefBased/>
  <w15:docId w15:val="{3E0B9857-E950-458C-9BC1-273461F0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4F0"/>
    <w:pPr>
      <w:spacing w:line="259" w:lineRule="auto"/>
    </w:pPr>
    <w:rPr>
      <w:kern w:val="0"/>
      <w:sz w:val="22"/>
      <w:szCs w:val="22"/>
      <w14:ligatures w14:val="none"/>
    </w:rPr>
  </w:style>
  <w:style w:type="paragraph" w:styleId="Heading1">
    <w:name w:val="heading 1"/>
    <w:basedOn w:val="Normal"/>
    <w:next w:val="Normal"/>
    <w:link w:val="Heading1Char"/>
    <w:uiPriority w:val="9"/>
    <w:qFormat/>
    <w:rsid w:val="00EB3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3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3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3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3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4F0"/>
    <w:rPr>
      <w:rFonts w:eastAsiaTheme="majorEastAsia" w:cstheme="majorBidi"/>
      <w:color w:val="272727" w:themeColor="text1" w:themeTint="D8"/>
    </w:rPr>
  </w:style>
  <w:style w:type="paragraph" w:styleId="Title">
    <w:name w:val="Title"/>
    <w:basedOn w:val="Normal"/>
    <w:next w:val="Normal"/>
    <w:link w:val="TitleChar"/>
    <w:uiPriority w:val="10"/>
    <w:qFormat/>
    <w:rsid w:val="00EB3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4F0"/>
    <w:pPr>
      <w:spacing w:before="160"/>
      <w:jc w:val="center"/>
    </w:pPr>
    <w:rPr>
      <w:i/>
      <w:iCs/>
      <w:color w:val="404040" w:themeColor="text1" w:themeTint="BF"/>
    </w:rPr>
  </w:style>
  <w:style w:type="character" w:customStyle="1" w:styleId="QuoteChar">
    <w:name w:val="Quote Char"/>
    <w:basedOn w:val="DefaultParagraphFont"/>
    <w:link w:val="Quote"/>
    <w:uiPriority w:val="29"/>
    <w:rsid w:val="00EB34F0"/>
    <w:rPr>
      <w:i/>
      <w:iCs/>
      <w:color w:val="404040" w:themeColor="text1" w:themeTint="BF"/>
    </w:rPr>
  </w:style>
  <w:style w:type="paragraph" w:styleId="ListParagraph">
    <w:name w:val="List Paragraph"/>
    <w:basedOn w:val="Normal"/>
    <w:uiPriority w:val="34"/>
    <w:qFormat/>
    <w:rsid w:val="00EB34F0"/>
    <w:pPr>
      <w:ind w:left="720"/>
      <w:contextualSpacing/>
    </w:pPr>
  </w:style>
  <w:style w:type="character" w:styleId="IntenseEmphasis">
    <w:name w:val="Intense Emphasis"/>
    <w:basedOn w:val="DefaultParagraphFont"/>
    <w:uiPriority w:val="21"/>
    <w:qFormat/>
    <w:rsid w:val="00EB34F0"/>
    <w:rPr>
      <w:i/>
      <w:iCs/>
      <w:color w:val="0F4761" w:themeColor="accent1" w:themeShade="BF"/>
    </w:rPr>
  </w:style>
  <w:style w:type="paragraph" w:styleId="IntenseQuote">
    <w:name w:val="Intense Quote"/>
    <w:basedOn w:val="Normal"/>
    <w:next w:val="Normal"/>
    <w:link w:val="IntenseQuoteChar"/>
    <w:uiPriority w:val="30"/>
    <w:qFormat/>
    <w:rsid w:val="00EB3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4F0"/>
    <w:rPr>
      <w:i/>
      <w:iCs/>
      <w:color w:val="0F4761" w:themeColor="accent1" w:themeShade="BF"/>
    </w:rPr>
  </w:style>
  <w:style w:type="character" w:styleId="IntenseReference">
    <w:name w:val="Intense Reference"/>
    <w:basedOn w:val="DefaultParagraphFont"/>
    <w:uiPriority w:val="32"/>
    <w:qFormat/>
    <w:rsid w:val="00EB34F0"/>
    <w:rPr>
      <w:b/>
      <w:bCs/>
      <w:smallCaps/>
      <w:color w:val="0F4761" w:themeColor="accent1" w:themeShade="BF"/>
      <w:spacing w:val="5"/>
    </w:rPr>
  </w:style>
  <w:style w:type="character" w:styleId="Hyperlink">
    <w:name w:val="Hyperlink"/>
    <w:basedOn w:val="DefaultParagraphFont"/>
    <w:uiPriority w:val="99"/>
    <w:unhideWhenUsed/>
    <w:rsid w:val="00EB34F0"/>
    <w:rPr>
      <w:color w:val="0000FF"/>
      <w:u w:val="single"/>
    </w:rPr>
  </w:style>
  <w:style w:type="table" w:styleId="TableGrid">
    <w:name w:val="Table Grid"/>
    <w:basedOn w:val="TableNormal"/>
    <w:rsid w:val="00EB34F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B34F0"/>
    <w:pPr>
      <w:spacing w:after="0" w:line="240" w:lineRule="auto"/>
      <w:ind w:right="-334"/>
    </w:pPr>
    <w:rPr>
      <w:rFonts w:ascii="Arial" w:eastAsia="Times New Roman" w:hAnsi="Arial" w:cs="Arial"/>
      <w:sz w:val="24"/>
      <w:szCs w:val="24"/>
      <w:lang w:val="en-GB"/>
    </w:rPr>
  </w:style>
  <w:style w:type="character" w:customStyle="1" w:styleId="BodyTextChar">
    <w:name w:val="Body Text Char"/>
    <w:basedOn w:val="DefaultParagraphFont"/>
    <w:link w:val="BodyText"/>
    <w:rsid w:val="00EB34F0"/>
    <w:rPr>
      <w:rFonts w:ascii="Arial" w:eastAsia="Times New Roman" w:hAnsi="Arial" w:cs="Arial"/>
      <w:kern w:val="0"/>
      <w:lang w:val="en-GB"/>
      <w14:ligatures w14:val="none"/>
    </w:rPr>
  </w:style>
  <w:style w:type="paragraph" w:styleId="TOCHeading">
    <w:name w:val="TOC Heading"/>
    <w:basedOn w:val="Heading1"/>
    <w:next w:val="Normal"/>
    <w:uiPriority w:val="39"/>
    <w:unhideWhenUsed/>
    <w:qFormat/>
    <w:rsid w:val="00990AE1"/>
    <w:pPr>
      <w:spacing w:before="240" w:after="0"/>
      <w:outlineLvl w:val="9"/>
    </w:pPr>
    <w:rPr>
      <w:sz w:val="32"/>
      <w:szCs w:val="32"/>
      <w:lang w:val="en-US"/>
    </w:rPr>
  </w:style>
  <w:style w:type="paragraph" w:styleId="TOC2">
    <w:name w:val="toc 2"/>
    <w:basedOn w:val="Normal"/>
    <w:next w:val="Normal"/>
    <w:autoRedefine/>
    <w:uiPriority w:val="39"/>
    <w:unhideWhenUsed/>
    <w:rsid w:val="00990AE1"/>
    <w:pPr>
      <w:spacing w:after="100"/>
      <w:ind w:left="220"/>
    </w:pPr>
  </w:style>
  <w:style w:type="paragraph" w:styleId="TOC1">
    <w:name w:val="toc 1"/>
    <w:basedOn w:val="Normal"/>
    <w:next w:val="Normal"/>
    <w:autoRedefine/>
    <w:uiPriority w:val="39"/>
    <w:unhideWhenUsed/>
    <w:rsid w:val="0044303C"/>
    <w:pPr>
      <w:spacing w:after="100"/>
    </w:pPr>
  </w:style>
  <w:style w:type="paragraph" w:styleId="TOC3">
    <w:name w:val="toc 3"/>
    <w:basedOn w:val="Normal"/>
    <w:next w:val="Normal"/>
    <w:autoRedefine/>
    <w:uiPriority w:val="39"/>
    <w:unhideWhenUsed/>
    <w:rsid w:val="0044303C"/>
    <w:pPr>
      <w:spacing w:after="100"/>
      <w:ind w:left="440"/>
    </w:pPr>
  </w:style>
  <w:style w:type="table" w:customStyle="1" w:styleId="TableNormal0">
    <w:name w:val="TableNormal"/>
    <w:rsid w:val="006C17FF"/>
    <w:pPr>
      <w:spacing w:line="259" w:lineRule="auto"/>
    </w:pPr>
    <w:rPr>
      <w:rFonts w:ascii="Aptos" w:eastAsia="Aptos" w:hAnsi="Aptos" w:cs="Aptos"/>
      <w:kern w:val="0"/>
      <w:sz w:val="22"/>
      <w:szCs w:val="22"/>
      <w:lang w:eastAsia="en-CA"/>
      <w14:ligatures w14:val="none"/>
    </w:rPr>
    <w:tblPr>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6C17FF"/>
    <w:rPr>
      <w:sz w:val="16"/>
      <w:szCs w:val="16"/>
    </w:rPr>
  </w:style>
  <w:style w:type="paragraph" w:styleId="CommentText">
    <w:name w:val="annotation text"/>
    <w:basedOn w:val="Normal"/>
    <w:link w:val="CommentTextChar"/>
    <w:uiPriority w:val="99"/>
    <w:unhideWhenUsed/>
    <w:rsid w:val="006C17FF"/>
    <w:pPr>
      <w:spacing w:line="240" w:lineRule="auto"/>
    </w:pPr>
    <w:rPr>
      <w:rFonts w:ascii="Aptos" w:eastAsia="Aptos" w:hAnsi="Aptos" w:cs="Aptos"/>
      <w:sz w:val="20"/>
      <w:szCs w:val="20"/>
      <w:lang w:eastAsia="en-CA"/>
    </w:rPr>
  </w:style>
  <w:style w:type="character" w:customStyle="1" w:styleId="CommentTextChar">
    <w:name w:val="Comment Text Char"/>
    <w:basedOn w:val="DefaultParagraphFont"/>
    <w:link w:val="CommentText"/>
    <w:uiPriority w:val="99"/>
    <w:rsid w:val="006C17FF"/>
    <w:rPr>
      <w:rFonts w:ascii="Aptos" w:eastAsia="Aptos" w:hAnsi="Aptos" w:cs="Aptos"/>
      <w:kern w:val="0"/>
      <w:sz w:val="20"/>
      <w:szCs w:val="20"/>
      <w:lang w:eastAsia="en-CA"/>
      <w14:ligatures w14:val="none"/>
    </w:rPr>
  </w:style>
  <w:style w:type="paragraph" w:styleId="CommentSubject">
    <w:name w:val="annotation subject"/>
    <w:basedOn w:val="CommentText"/>
    <w:next w:val="CommentText"/>
    <w:link w:val="CommentSubjectChar"/>
    <w:uiPriority w:val="99"/>
    <w:semiHidden/>
    <w:unhideWhenUsed/>
    <w:rsid w:val="006C17FF"/>
    <w:rPr>
      <w:b/>
      <w:bCs/>
    </w:rPr>
  </w:style>
  <w:style w:type="character" w:customStyle="1" w:styleId="CommentSubjectChar">
    <w:name w:val="Comment Subject Char"/>
    <w:basedOn w:val="CommentTextChar"/>
    <w:link w:val="CommentSubject"/>
    <w:uiPriority w:val="99"/>
    <w:semiHidden/>
    <w:rsid w:val="006C17FF"/>
    <w:rPr>
      <w:rFonts w:ascii="Aptos" w:eastAsia="Aptos" w:hAnsi="Aptos" w:cs="Aptos"/>
      <w:b/>
      <w:bCs/>
      <w:kern w:val="0"/>
      <w:sz w:val="20"/>
      <w:szCs w:val="20"/>
      <w:lang w:eastAsia="en-CA"/>
      <w14:ligatures w14:val="none"/>
    </w:rPr>
  </w:style>
  <w:style w:type="paragraph" w:styleId="FootnoteText">
    <w:name w:val="footnote text"/>
    <w:basedOn w:val="Normal"/>
    <w:link w:val="FootnoteTextChar"/>
    <w:uiPriority w:val="99"/>
    <w:semiHidden/>
    <w:unhideWhenUsed/>
    <w:rsid w:val="006C17FF"/>
    <w:pPr>
      <w:spacing w:after="0" w:line="240" w:lineRule="auto"/>
    </w:pPr>
    <w:rPr>
      <w:rFonts w:ascii="Aptos" w:eastAsia="Aptos" w:hAnsi="Aptos" w:cs="Aptos"/>
      <w:sz w:val="20"/>
      <w:szCs w:val="20"/>
      <w:lang w:eastAsia="en-CA"/>
    </w:rPr>
  </w:style>
  <w:style w:type="character" w:customStyle="1" w:styleId="FootnoteTextChar">
    <w:name w:val="Footnote Text Char"/>
    <w:basedOn w:val="DefaultParagraphFont"/>
    <w:link w:val="FootnoteText"/>
    <w:uiPriority w:val="99"/>
    <w:semiHidden/>
    <w:rsid w:val="006C17FF"/>
    <w:rPr>
      <w:rFonts w:ascii="Aptos" w:eastAsia="Aptos" w:hAnsi="Aptos" w:cs="Aptos"/>
      <w:kern w:val="0"/>
      <w:sz w:val="20"/>
      <w:szCs w:val="20"/>
      <w:lang w:eastAsia="en-CA"/>
      <w14:ligatures w14:val="none"/>
    </w:rPr>
  </w:style>
  <w:style w:type="character" w:styleId="FootnoteReference">
    <w:name w:val="footnote reference"/>
    <w:basedOn w:val="DefaultParagraphFont"/>
    <w:uiPriority w:val="99"/>
    <w:semiHidden/>
    <w:unhideWhenUsed/>
    <w:rsid w:val="006C17FF"/>
    <w:rPr>
      <w:vertAlign w:val="superscript"/>
    </w:rPr>
  </w:style>
  <w:style w:type="paragraph" w:styleId="TOC4">
    <w:name w:val="toc 4"/>
    <w:basedOn w:val="Normal"/>
    <w:next w:val="Normal"/>
    <w:autoRedefine/>
    <w:uiPriority w:val="39"/>
    <w:unhideWhenUsed/>
    <w:rsid w:val="00D8283E"/>
    <w:pPr>
      <w:spacing w:after="100" w:line="278" w:lineRule="auto"/>
      <w:ind w:left="720"/>
    </w:pPr>
    <w:rPr>
      <w:rFonts w:eastAsiaTheme="minorEastAsia"/>
      <w:kern w:val="2"/>
      <w:sz w:val="24"/>
      <w:szCs w:val="24"/>
      <w:lang w:eastAsia="en-CA"/>
      <w14:ligatures w14:val="standardContextual"/>
    </w:rPr>
  </w:style>
  <w:style w:type="paragraph" w:styleId="TOC5">
    <w:name w:val="toc 5"/>
    <w:basedOn w:val="Normal"/>
    <w:next w:val="Normal"/>
    <w:autoRedefine/>
    <w:uiPriority w:val="39"/>
    <w:unhideWhenUsed/>
    <w:rsid w:val="00D8283E"/>
    <w:pPr>
      <w:spacing w:after="100" w:line="278" w:lineRule="auto"/>
      <w:ind w:left="960"/>
    </w:pPr>
    <w:rPr>
      <w:rFonts w:eastAsiaTheme="minorEastAsia"/>
      <w:kern w:val="2"/>
      <w:sz w:val="24"/>
      <w:szCs w:val="24"/>
      <w:lang w:eastAsia="en-CA"/>
      <w14:ligatures w14:val="standardContextual"/>
    </w:rPr>
  </w:style>
  <w:style w:type="paragraph" w:styleId="TOC6">
    <w:name w:val="toc 6"/>
    <w:basedOn w:val="Normal"/>
    <w:next w:val="Normal"/>
    <w:autoRedefine/>
    <w:uiPriority w:val="39"/>
    <w:unhideWhenUsed/>
    <w:rsid w:val="00D8283E"/>
    <w:pPr>
      <w:spacing w:after="100" w:line="278" w:lineRule="auto"/>
      <w:ind w:left="1200"/>
    </w:pPr>
    <w:rPr>
      <w:rFonts w:eastAsiaTheme="minorEastAsia"/>
      <w:kern w:val="2"/>
      <w:sz w:val="24"/>
      <w:szCs w:val="24"/>
      <w:lang w:eastAsia="en-CA"/>
      <w14:ligatures w14:val="standardContextual"/>
    </w:rPr>
  </w:style>
  <w:style w:type="paragraph" w:styleId="TOC7">
    <w:name w:val="toc 7"/>
    <w:basedOn w:val="Normal"/>
    <w:next w:val="Normal"/>
    <w:autoRedefine/>
    <w:uiPriority w:val="39"/>
    <w:unhideWhenUsed/>
    <w:rsid w:val="00D8283E"/>
    <w:pPr>
      <w:spacing w:after="100" w:line="278" w:lineRule="auto"/>
      <w:ind w:left="1440"/>
    </w:pPr>
    <w:rPr>
      <w:rFonts w:eastAsiaTheme="minorEastAsia"/>
      <w:kern w:val="2"/>
      <w:sz w:val="24"/>
      <w:szCs w:val="24"/>
      <w:lang w:eastAsia="en-CA"/>
      <w14:ligatures w14:val="standardContextual"/>
    </w:rPr>
  </w:style>
  <w:style w:type="paragraph" w:styleId="TOC8">
    <w:name w:val="toc 8"/>
    <w:basedOn w:val="Normal"/>
    <w:next w:val="Normal"/>
    <w:autoRedefine/>
    <w:uiPriority w:val="39"/>
    <w:unhideWhenUsed/>
    <w:rsid w:val="00D8283E"/>
    <w:pPr>
      <w:spacing w:after="100" w:line="278" w:lineRule="auto"/>
      <w:ind w:left="1680"/>
    </w:pPr>
    <w:rPr>
      <w:rFonts w:eastAsiaTheme="minorEastAsia"/>
      <w:kern w:val="2"/>
      <w:sz w:val="24"/>
      <w:szCs w:val="24"/>
      <w:lang w:eastAsia="en-CA"/>
      <w14:ligatures w14:val="standardContextual"/>
    </w:rPr>
  </w:style>
  <w:style w:type="paragraph" w:styleId="TOC9">
    <w:name w:val="toc 9"/>
    <w:basedOn w:val="Normal"/>
    <w:next w:val="Normal"/>
    <w:autoRedefine/>
    <w:uiPriority w:val="39"/>
    <w:unhideWhenUsed/>
    <w:rsid w:val="00D8283E"/>
    <w:pPr>
      <w:spacing w:after="100" w:line="278" w:lineRule="auto"/>
      <w:ind w:left="1920"/>
    </w:pPr>
    <w:rPr>
      <w:rFonts w:eastAsiaTheme="minorEastAsia"/>
      <w:kern w:val="2"/>
      <w:sz w:val="24"/>
      <w:szCs w:val="24"/>
      <w:lang w:eastAsia="en-CA"/>
      <w14:ligatures w14:val="standardContextual"/>
    </w:rPr>
  </w:style>
  <w:style w:type="character" w:styleId="UnresolvedMention">
    <w:name w:val="Unresolved Mention"/>
    <w:basedOn w:val="DefaultParagraphFont"/>
    <w:uiPriority w:val="99"/>
    <w:semiHidden/>
    <w:unhideWhenUsed/>
    <w:rsid w:val="00D8283E"/>
    <w:rPr>
      <w:color w:val="605E5C"/>
      <w:shd w:val="clear" w:color="auto" w:fill="E1DFDD"/>
    </w:rPr>
  </w:style>
  <w:style w:type="paragraph" w:styleId="Header">
    <w:name w:val="header"/>
    <w:basedOn w:val="Normal"/>
    <w:link w:val="HeaderChar"/>
    <w:uiPriority w:val="99"/>
    <w:unhideWhenUsed/>
    <w:rsid w:val="00D87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04A"/>
    <w:rPr>
      <w:kern w:val="0"/>
      <w:sz w:val="22"/>
      <w:szCs w:val="22"/>
      <w14:ligatures w14:val="none"/>
    </w:rPr>
  </w:style>
  <w:style w:type="paragraph" w:styleId="Footer">
    <w:name w:val="footer"/>
    <w:basedOn w:val="Normal"/>
    <w:link w:val="FooterChar"/>
    <w:uiPriority w:val="99"/>
    <w:unhideWhenUsed/>
    <w:rsid w:val="00D87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04A"/>
    <w:rPr>
      <w:kern w:val="0"/>
      <w:sz w:val="22"/>
      <w:szCs w:val="22"/>
      <w14:ligatures w14:val="none"/>
    </w:rPr>
  </w:style>
  <w:style w:type="paragraph" w:styleId="Revision">
    <w:name w:val="Revision"/>
    <w:hidden/>
    <w:uiPriority w:val="99"/>
    <w:semiHidden/>
    <w:rsid w:val="00C5745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577">
      <w:bodyDiv w:val="1"/>
      <w:marLeft w:val="0"/>
      <w:marRight w:val="0"/>
      <w:marTop w:val="0"/>
      <w:marBottom w:val="0"/>
      <w:divBdr>
        <w:top w:val="none" w:sz="0" w:space="0" w:color="auto"/>
        <w:left w:val="none" w:sz="0" w:space="0" w:color="auto"/>
        <w:bottom w:val="none" w:sz="0" w:space="0" w:color="auto"/>
        <w:right w:val="none" w:sz="0" w:space="0" w:color="auto"/>
      </w:divBdr>
    </w:div>
    <w:div w:id="21249357">
      <w:bodyDiv w:val="1"/>
      <w:marLeft w:val="0"/>
      <w:marRight w:val="0"/>
      <w:marTop w:val="0"/>
      <w:marBottom w:val="0"/>
      <w:divBdr>
        <w:top w:val="none" w:sz="0" w:space="0" w:color="auto"/>
        <w:left w:val="none" w:sz="0" w:space="0" w:color="auto"/>
        <w:bottom w:val="none" w:sz="0" w:space="0" w:color="auto"/>
        <w:right w:val="none" w:sz="0" w:space="0" w:color="auto"/>
      </w:divBdr>
    </w:div>
    <w:div w:id="424111555">
      <w:bodyDiv w:val="1"/>
      <w:marLeft w:val="0"/>
      <w:marRight w:val="0"/>
      <w:marTop w:val="0"/>
      <w:marBottom w:val="0"/>
      <w:divBdr>
        <w:top w:val="none" w:sz="0" w:space="0" w:color="auto"/>
        <w:left w:val="none" w:sz="0" w:space="0" w:color="auto"/>
        <w:bottom w:val="none" w:sz="0" w:space="0" w:color="auto"/>
        <w:right w:val="none" w:sz="0" w:space="0" w:color="auto"/>
      </w:divBdr>
    </w:div>
    <w:div w:id="523635791">
      <w:bodyDiv w:val="1"/>
      <w:marLeft w:val="0"/>
      <w:marRight w:val="0"/>
      <w:marTop w:val="0"/>
      <w:marBottom w:val="0"/>
      <w:divBdr>
        <w:top w:val="none" w:sz="0" w:space="0" w:color="auto"/>
        <w:left w:val="none" w:sz="0" w:space="0" w:color="auto"/>
        <w:bottom w:val="none" w:sz="0" w:space="0" w:color="auto"/>
        <w:right w:val="none" w:sz="0" w:space="0" w:color="auto"/>
      </w:divBdr>
    </w:div>
    <w:div w:id="632322852">
      <w:bodyDiv w:val="1"/>
      <w:marLeft w:val="0"/>
      <w:marRight w:val="0"/>
      <w:marTop w:val="0"/>
      <w:marBottom w:val="0"/>
      <w:divBdr>
        <w:top w:val="none" w:sz="0" w:space="0" w:color="auto"/>
        <w:left w:val="none" w:sz="0" w:space="0" w:color="auto"/>
        <w:bottom w:val="none" w:sz="0" w:space="0" w:color="auto"/>
        <w:right w:val="none" w:sz="0" w:space="0" w:color="auto"/>
      </w:divBdr>
    </w:div>
    <w:div w:id="659772204">
      <w:bodyDiv w:val="1"/>
      <w:marLeft w:val="0"/>
      <w:marRight w:val="0"/>
      <w:marTop w:val="0"/>
      <w:marBottom w:val="0"/>
      <w:divBdr>
        <w:top w:val="none" w:sz="0" w:space="0" w:color="auto"/>
        <w:left w:val="none" w:sz="0" w:space="0" w:color="auto"/>
        <w:bottom w:val="none" w:sz="0" w:space="0" w:color="auto"/>
        <w:right w:val="none" w:sz="0" w:space="0" w:color="auto"/>
      </w:divBdr>
    </w:div>
    <w:div w:id="659887713">
      <w:bodyDiv w:val="1"/>
      <w:marLeft w:val="0"/>
      <w:marRight w:val="0"/>
      <w:marTop w:val="0"/>
      <w:marBottom w:val="0"/>
      <w:divBdr>
        <w:top w:val="none" w:sz="0" w:space="0" w:color="auto"/>
        <w:left w:val="none" w:sz="0" w:space="0" w:color="auto"/>
        <w:bottom w:val="none" w:sz="0" w:space="0" w:color="auto"/>
        <w:right w:val="none" w:sz="0" w:space="0" w:color="auto"/>
      </w:divBdr>
    </w:div>
    <w:div w:id="808862757">
      <w:bodyDiv w:val="1"/>
      <w:marLeft w:val="0"/>
      <w:marRight w:val="0"/>
      <w:marTop w:val="0"/>
      <w:marBottom w:val="0"/>
      <w:divBdr>
        <w:top w:val="none" w:sz="0" w:space="0" w:color="auto"/>
        <w:left w:val="none" w:sz="0" w:space="0" w:color="auto"/>
        <w:bottom w:val="none" w:sz="0" w:space="0" w:color="auto"/>
        <w:right w:val="none" w:sz="0" w:space="0" w:color="auto"/>
      </w:divBdr>
    </w:div>
    <w:div w:id="809830346">
      <w:bodyDiv w:val="1"/>
      <w:marLeft w:val="0"/>
      <w:marRight w:val="0"/>
      <w:marTop w:val="0"/>
      <w:marBottom w:val="0"/>
      <w:divBdr>
        <w:top w:val="none" w:sz="0" w:space="0" w:color="auto"/>
        <w:left w:val="none" w:sz="0" w:space="0" w:color="auto"/>
        <w:bottom w:val="none" w:sz="0" w:space="0" w:color="auto"/>
        <w:right w:val="none" w:sz="0" w:space="0" w:color="auto"/>
      </w:divBdr>
      <w:divsChild>
        <w:div w:id="1491628995">
          <w:marLeft w:val="0"/>
          <w:marRight w:val="0"/>
          <w:marTop w:val="0"/>
          <w:marBottom w:val="0"/>
          <w:divBdr>
            <w:top w:val="none" w:sz="0" w:space="0" w:color="auto"/>
            <w:left w:val="none" w:sz="0" w:space="0" w:color="auto"/>
            <w:bottom w:val="none" w:sz="0" w:space="0" w:color="auto"/>
            <w:right w:val="none" w:sz="0" w:space="0" w:color="auto"/>
          </w:divBdr>
        </w:div>
      </w:divsChild>
    </w:div>
    <w:div w:id="828331922">
      <w:bodyDiv w:val="1"/>
      <w:marLeft w:val="0"/>
      <w:marRight w:val="0"/>
      <w:marTop w:val="0"/>
      <w:marBottom w:val="0"/>
      <w:divBdr>
        <w:top w:val="none" w:sz="0" w:space="0" w:color="auto"/>
        <w:left w:val="none" w:sz="0" w:space="0" w:color="auto"/>
        <w:bottom w:val="none" w:sz="0" w:space="0" w:color="auto"/>
        <w:right w:val="none" w:sz="0" w:space="0" w:color="auto"/>
      </w:divBdr>
    </w:div>
    <w:div w:id="839928772">
      <w:bodyDiv w:val="1"/>
      <w:marLeft w:val="0"/>
      <w:marRight w:val="0"/>
      <w:marTop w:val="0"/>
      <w:marBottom w:val="0"/>
      <w:divBdr>
        <w:top w:val="none" w:sz="0" w:space="0" w:color="auto"/>
        <w:left w:val="none" w:sz="0" w:space="0" w:color="auto"/>
        <w:bottom w:val="none" w:sz="0" w:space="0" w:color="auto"/>
        <w:right w:val="none" w:sz="0" w:space="0" w:color="auto"/>
      </w:divBdr>
    </w:div>
    <w:div w:id="871457088">
      <w:bodyDiv w:val="1"/>
      <w:marLeft w:val="0"/>
      <w:marRight w:val="0"/>
      <w:marTop w:val="0"/>
      <w:marBottom w:val="0"/>
      <w:divBdr>
        <w:top w:val="none" w:sz="0" w:space="0" w:color="auto"/>
        <w:left w:val="none" w:sz="0" w:space="0" w:color="auto"/>
        <w:bottom w:val="none" w:sz="0" w:space="0" w:color="auto"/>
        <w:right w:val="none" w:sz="0" w:space="0" w:color="auto"/>
      </w:divBdr>
    </w:div>
    <w:div w:id="1113667205">
      <w:bodyDiv w:val="1"/>
      <w:marLeft w:val="0"/>
      <w:marRight w:val="0"/>
      <w:marTop w:val="0"/>
      <w:marBottom w:val="0"/>
      <w:divBdr>
        <w:top w:val="none" w:sz="0" w:space="0" w:color="auto"/>
        <w:left w:val="none" w:sz="0" w:space="0" w:color="auto"/>
        <w:bottom w:val="none" w:sz="0" w:space="0" w:color="auto"/>
        <w:right w:val="none" w:sz="0" w:space="0" w:color="auto"/>
      </w:divBdr>
    </w:div>
    <w:div w:id="1125539292">
      <w:bodyDiv w:val="1"/>
      <w:marLeft w:val="0"/>
      <w:marRight w:val="0"/>
      <w:marTop w:val="0"/>
      <w:marBottom w:val="0"/>
      <w:divBdr>
        <w:top w:val="none" w:sz="0" w:space="0" w:color="auto"/>
        <w:left w:val="none" w:sz="0" w:space="0" w:color="auto"/>
        <w:bottom w:val="none" w:sz="0" w:space="0" w:color="auto"/>
        <w:right w:val="none" w:sz="0" w:space="0" w:color="auto"/>
      </w:divBdr>
    </w:div>
    <w:div w:id="1163856850">
      <w:bodyDiv w:val="1"/>
      <w:marLeft w:val="0"/>
      <w:marRight w:val="0"/>
      <w:marTop w:val="0"/>
      <w:marBottom w:val="0"/>
      <w:divBdr>
        <w:top w:val="none" w:sz="0" w:space="0" w:color="auto"/>
        <w:left w:val="none" w:sz="0" w:space="0" w:color="auto"/>
        <w:bottom w:val="none" w:sz="0" w:space="0" w:color="auto"/>
        <w:right w:val="none" w:sz="0" w:space="0" w:color="auto"/>
      </w:divBdr>
      <w:divsChild>
        <w:div w:id="1758212388">
          <w:marLeft w:val="0"/>
          <w:marRight w:val="0"/>
          <w:marTop w:val="0"/>
          <w:marBottom w:val="0"/>
          <w:divBdr>
            <w:top w:val="none" w:sz="0" w:space="0" w:color="auto"/>
            <w:left w:val="none" w:sz="0" w:space="0" w:color="auto"/>
            <w:bottom w:val="none" w:sz="0" w:space="0" w:color="auto"/>
            <w:right w:val="none" w:sz="0" w:space="0" w:color="auto"/>
          </w:divBdr>
        </w:div>
      </w:divsChild>
    </w:div>
    <w:div w:id="1169365147">
      <w:bodyDiv w:val="1"/>
      <w:marLeft w:val="0"/>
      <w:marRight w:val="0"/>
      <w:marTop w:val="0"/>
      <w:marBottom w:val="0"/>
      <w:divBdr>
        <w:top w:val="none" w:sz="0" w:space="0" w:color="auto"/>
        <w:left w:val="none" w:sz="0" w:space="0" w:color="auto"/>
        <w:bottom w:val="none" w:sz="0" w:space="0" w:color="auto"/>
        <w:right w:val="none" w:sz="0" w:space="0" w:color="auto"/>
      </w:divBdr>
    </w:div>
    <w:div w:id="1177112107">
      <w:bodyDiv w:val="1"/>
      <w:marLeft w:val="0"/>
      <w:marRight w:val="0"/>
      <w:marTop w:val="0"/>
      <w:marBottom w:val="0"/>
      <w:divBdr>
        <w:top w:val="none" w:sz="0" w:space="0" w:color="auto"/>
        <w:left w:val="none" w:sz="0" w:space="0" w:color="auto"/>
        <w:bottom w:val="none" w:sz="0" w:space="0" w:color="auto"/>
        <w:right w:val="none" w:sz="0" w:space="0" w:color="auto"/>
      </w:divBdr>
    </w:div>
    <w:div w:id="1185828966">
      <w:bodyDiv w:val="1"/>
      <w:marLeft w:val="0"/>
      <w:marRight w:val="0"/>
      <w:marTop w:val="0"/>
      <w:marBottom w:val="0"/>
      <w:divBdr>
        <w:top w:val="none" w:sz="0" w:space="0" w:color="auto"/>
        <w:left w:val="none" w:sz="0" w:space="0" w:color="auto"/>
        <w:bottom w:val="none" w:sz="0" w:space="0" w:color="auto"/>
        <w:right w:val="none" w:sz="0" w:space="0" w:color="auto"/>
      </w:divBdr>
    </w:div>
    <w:div w:id="1295450336">
      <w:bodyDiv w:val="1"/>
      <w:marLeft w:val="0"/>
      <w:marRight w:val="0"/>
      <w:marTop w:val="0"/>
      <w:marBottom w:val="0"/>
      <w:divBdr>
        <w:top w:val="none" w:sz="0" w:space="0" w:color="auto"/>
        <w:left w:val="none" w:sz="0" w:space="0" w:color="auto"/>
        <w:bottom w:val="none" w:sz="0" w:space="0" w:color="auto"/>
        <w:right w:val="none" w:sz="0" w:space="0" w:color="auto"/>
      </w:divBdr>
    </w:div>
    <w:div w:id="1401900417">
      <w:bodyDiv w:val="1"/>
      <w:marLeft w:val="0"/>
      <w:marRight w:val="0"/>
      <w:marTop w:val="0"/>
      <w:marBottom w:val="0"/>
      <w:divBdr>
        <w:top w:val="none" w:sz="0" w:space="0" w:color="auto"/>
        <w:left w:val="none" w:sz="0" w:space="0" w:color="auto"/>
        <w:bottom w:val="none" w:sz="0" w:space="0" w:color="auto"/>
        <w:right w:val="none" w:sz="0" w:space="0" w:color="auto"/>
      </w:divBdr>
    </w:div>
    <w:div w:id="1403680714">
      <w:bodyDiv w:val="1"/>
      <w:marLeft w:val="0"/>
      <w:marRight w:val="0"/>
      <w:marTop w:val="0"/>
      <w:marBottom w:val="0"/>
      <w:divBdr>
        <w:top w:val="none" w:sz="0" w:space="0" w:color="auto"/>
        <w:left w:val="none" w:sz="0" w:space="0" w:color="auto"/>
        <w:bottom w:val="none" w:sz="0" w:space="0" w:color="auto"/>
        <w:right w:val="none" w:sz="0" w:space="0" w:color="auto"/>
      </w:divBdr>
      <w:divsChild>
        <w:div w:id="974143511">
          <w:marLeft w:val="0"/>
          <w:marRight w:val="0"/>
          <w:marTop w:val="0"/>
          <w:marBottom w:val="0"/>
          <w:divBdr>
            <w:top w:val="none" w:sz="0" w:space="0" w:color="auto"/>
            <w:left w:val="none" w:sz="0" w:space="0" w:color="auto"/>
            <w:bottom w:val="none" w:sz="0" w:space="0" w:color="auto"/>
            <w:right w:val="none" w:sz="0" w:space="0" w:color="auto"/>
          </w:divBdr>
        </w:div>
      </w:divsChild>
    </w:div>
    <w:div w:id="1422797744">
      <w:bodyDiv w:val="1"/>
      <w:marLeft w:val="0"/>
      <w:marRight w:val="0"/>
      <w:marTop w:val="0"/>
      <w:marBottom w:val="0"/>
      <w:divBdr>
        <w:top w:val="none" w:sz="0" w:space="0" w:color="auto"/>
        <w:left w:val="none" w:sz="0" w:space="0" w:color="auto"/>
        <w:bottom w:val="none" w:sz="0" w:space="0" w:color="auto"/>
        <w:right w:val="none" w:sz="0" w:space="0" w:color="auto"/>
      </w:divBdr>
    </w:div>
    <w:div w:id="1438254768">
      <w:bodyDiv w:val="1"/>
      <w:marLeft w:val="0"/>
      <w:marRight w:val="0"/>
      <w:marTop w:val="0"/>
      <w:marBottom w:val="0"/>
      <w:divBdr>
        <w:top w:val="none" w:sz="0" w:space="0" w:color="auto"/>
        <w:left w:val="none" w:sz="0" w:space="0" w:color="auto"/>
        <w:bottom w:val="none" w:sz="0" w:space="0" w:color="auto"/>
        <w:right w:val="none" w:sz="0" w:space="0" w:color="auto"/>
      </w:divBdr>
    </w:div>
    <w:div w:id="1509440987">
      <w:bodyDiv w:val="1"/>
      <w:marLeft w:val="0"/>
      <w:marRight w:val="0"/>
      <w:marTop w:val="0"/>
      <w:marBottom w:val="0"/>
      <w:divBdr>
        <w:top w:val="none" w:sz="0" w:space="0" w:color="auto"/>
        <w:left w:val="none" w:sz="0" w:space="0" w:color="auto"/>
        <w:bottom w:val="none" w:sz="0" w:space="0" w:color="auto"/>
        <w:right w:val="none" w:sz="0" w:space="0" w:color="auto"/>
      </w:divBdr>
    </w:div>
    <w:div w:id="1536693831">
      <w:bodyDiv w:val="1"/>
      <w:marLeft w:val="0"/>
      <w:marRight w:val="0"/>
      <w:marTop w:val="0"/>
      <w:marBottom w:val="0"/>
      <w:divBdr>
        <w:top w:val="none" w:sz="0" w:space="0" w:color="auto"/>
        <w:left w:val="none" w:sz="0" w:space="0" w:color="auto"/>
        <w:bottom w:val="none" w:sz="0" w:space="0" w:color="auto"/>
        <w:right w:val="none" w:sz="0" w:space="0" w:color="auto"/>
      </w:divBdr>
    </w:div>
    <w:div w:id="1551763517">
      <w:bodyDiv w:val="1"/>
      <w:marLeft w:val="0"/>
      <w:marRight w:val="0"/>
      <w:marTop w:val="0"/>
      <w:marBottom w:val="0"/>
      <w:divBdr>
        <w:top w:val="none" w:sz="0" w:space="0" w:color="auto"/>
        <w:left w:val="none" w:sz="0" w:space="0" w:color="auto"/>
        <w:bottom w:val="none" w:sz="0" w:space="0" w:color="auto"/>
        <w:right w:val="none" w:sz="0" w:space="0" w:color="auto"/>
      </w:divBdr>
    </w:div>
    <w:div w:id="1578006431">
      <w:bodyDiv w:val="1"/>
      <w:marLeft w:val="0"/>
      <w:marRight w:val="0"/>
      <w:marTop w:val="0"/>
      <w:marBottom w:val="0"/>
      <w:divBdr>
        <w:top w:val="none" w:sz="0" w:space="0" w:color="auto"/>
        <w:left w:val="none" w:sz="0" w:space="0" w:color="auto"/>
        <w:bottom w:val="none" w:sz="0" w:space="0" w:color="auto"/>
        <w:right w:val="none" w:sz="0" w:space="0" w:color="auto"/>
      </w:divBdr>
    </w:div>
    <w:div w:id="1578635848">
      <w:bodyDiv w:val="1"/>
      <w:marLeft w:val="0"/>
      <w:marRight w:val="0"/>
      <w:marTop w:val="0"/>
      <w:marBottom w:val="0"/>
      <w:divBdr>
        <w:top w:val="none" w:sz="0" w:space="0" w:color="auto"/>
        <w:left w:val="none" w:sz="0" w:space="0" w:color="auto"/>
        <w:bottom w:val="none" w:sz="0" w:space="0" w:color="auto"/>
        <w:right w:val="none" w:sz="0" w:space="0" w:color="auto"/>
      </w:divBdr>
      <w:divsChild>
        <w:div w:id="197934430">
          <w:marLeft w:val="0"/>
          <w:marRight w:val="0"/>
          <w:marTop w:val="0"/>
          <w:marBottom w:val="0"/>
          <w:divBdr>
            <w:top w:val="none" w:sz="0" w:space="0" w:color="auto"/>
            <w:left w:val="none" w:sz="0" w:space="0" w:color="auto"/>
            <w:bottom w:val="none" w:sz="0" w:space="0" w:color="auto"/>
            <w:right w:val="none" w:sz="0" w:space="0" w:color="auto"/>
          </w:divBdr>
        </w:div>
      </w:divsChild>
    </w:div>
    <w:div w:id="1608349806">
      <w:bodyDiv w:val="1"/>
      <w:marLeft w:val="0"/>
      <w:marRight w:val="0"/>
      <w:marTop w:val="0"/>
      <w:marBottom w:val="0"/>
      <w:divBdr>
        <w:top w:val="none" w:sz="0" w:space="0" w:color="auto"/>
        <w:left w:val="none" w:sz="0" w:space="0" w:color="auto"/>
        <w:bottom w:val="none" w:sz="0" w:space="0" w:color="auto"/>
        <w:right w:val="none" w:sz="0" w:space="0" w:color="auto"/>
      </w:divBdr>
    </w:div>
    <w:div w:id="1636334473">
      <w:bodyDiv w:val="1"/>
      <w:marLeft w:val="0"/>
      <w:marRight w:val="0"/>
      <w:marTop w:val="0"/>
      <w:marBottom w:val="0"/>
      <w:divBdr>
        <w:top w:val="none" w:sz="0" w:space="0" w:color="auto"/>
        <w:left w:val="none" w:sz="0" w:space="0" w:color="auto"/>
        <w:bottom w:val="none" w:sz="0" w:space="0" w:color="auto"/>
        <w:right w:val="none" w:sz="0" w:space="0" w:color="auto"/>
      </w:divBdr>
      <w:divsChild>
        <w:div w:id="1935357635">
          <w:marLeft w:val="0"/>
          <w:marRight w:val="0"/>
          <w:marTop w:val="0"/>
          <w:marBottom w:val="0"/>
          <w:divBdr>
            <w:top w:val="none" w:sz="0" w:space="0" w:color="auto"/>
            <w:left w:val="none" w:sz="0" w:space="0" w:color="auto"/>
            <w:bottom w:val="none" w:sz="0" w:space="0" w:color="auto"/>
            <w:right w:val="none" w:sz="0" w:space="0" w:color="auto"/>
          </w:divBdr>
        </w:div>
      </w:divsChild>
    </w:div>
    <w:div w:id="1642731633">
      <w:bodyDiv w:val="1"/>
      <w:marLeft w:val="0"/>
      <w:marRight w:val="0"/>
      <w:marTop w:val="0"/>
      <w:marBottom w:val="0"/>
      <w:divBdr>
        <w:top w:val="none" w:sz="0" w:space="0" w:color="auto"/>
        <w:left w:val="none" w:sz="0" w:space="0" w:color="auto"/>
        <w:bottom w:val="none" w:sz="0" w:space="0" w:color="auto"/>
        <w:right w:val="none" w:sz="0" w:space="0" w:color="auto"/>
      </w:divBdr>
    </w:div>
    <w:div w:id="1715694482">
      <w:bodyDiv w:val="1"/>
      <w:marLeft w:val="0"/>
      <w:marRight w:val="0"/>
      <w:marTop w:val="0"/>
      <w:marBottom w:val="0"/>
      <w:divBdr>
        <w:top w:val="none" w:sz="0" w:space="0" w:color="auto"/>
        <w:left w:val="none" w:sz="0" w:space="0" w:color="auto"/>
        <w:bottom w:val="none" w:sz="0" w:space="0" w:color="auto"/>
        <w:right w:val="none" w:sz="0" w:space="0" w:color="auto"/>
      </w:divBdr>
    </w:div>
    <w:div w:id="1920209928">
      <w:bodyDiv w:val="1"/>
      <w:marLeft w:val="0"/>
      <w:marRight w:val="0"/>
      <w:marTop w:val="0"/>
      <w:marBottom w:val="0"/>
      <w:divBdr>
        <w:top w:val="none" w:sz="0" w:space="0" w:color="auto"/>
        <w:left w:val="none" w:sz="0" w:space="0" w:color="auto"/>
        <w:bottom w:val="none" w:sz="0" w:space="0" w:color="auto"/>
        <w:right w:val="none" w:sz="0" w:space="0" w:color="auto"/>
      </w:divBdr>
    </w:div>
    <w:div w:id="1925407614">
      <w:bodyDiv w:val="1"/>
      <w:marLeft w:val="0"/>
      <w:marRight w:val="0"/>
      <w:marTop w:val="0"/>
      <w:marBottom w:val="0"/>
      <w:divBdr>
        <w:top w:val="none" w:sz="0" w:space="0" w:color="auto"/>
        <w:left w:val="none" w:sz="0" w:space="0" w:color="auto"/>
        <w:bottom w:val="none" w:sz="0" w:space="0" w:color="auto"/>
        <w:right w:val="none" w:sz="0" w:space="0" w:color="auto"/>
      </w:divBdr>
    </w:div>
    <w:div w:id="1947886954">
      <w:bodyDiv w:val="1"/>
      <w:marLeft w:val="0"/>
      <w:marRight w:val="0"/>
      <w:marTop w:val="0"/>
      <w:marBottom w:val="0"/>
      <w:divBdr>
        <w:top w:val="none" w:sz="0" w:space="0" w:color="auto"/>
        <w:left w:val="none" w:sz="0" w:space="0" w:color="auto"/>
        <w:bottom w:val="none" w:sz="0" w:space="0" w:color="auto"/>
        <w:right w:val="none" w:sz="0" w:space="0" w:color="auto"/>
      </w:divBdr>
    </w:div>
    <w:div w:id="1987666183">
      <w:bodyDiv w:val="1"/>
      <w:marLeft w:val="0"/>
      <w:marRight w:val="0"/>
      <w:marTop w:val="0"/>
      <w:marBottom w:val="0"/>
      <w:divBdr>
        <w:top w:val="none" w:sz="0" w:space="0" w:color="auto"/>
        <w:left w:val="none" w:sz="0" w:space="0" w:color="auto"/>
        <w:bottom w:val="none" w:sz="0" w:space="0" w:color="auto"/>
        <w:right w:val="none" w:sz="0" w:space="0" w:color="auto"/>
      </w:divBdr>
    </w:div>
    <w:div w:id="2019189680">
      <w:bodyDiv w:val="1"/>
      <w:marLeft w:val="0"/>
      <w:marRight w:val="0"/>
      <w:marTop w:val="0"/>
      <w:marBottom w:val="0"/>
      <w:divBdr>
        <w:top w:val="none" w:sz="0" w:space="0" w:color="auto"/>
        <w:left w:val="none" w:sz="0" w:space="0" w:color="auto"/>
        <w:bottom w:val="none" w:sz="0" w:space="0" w:color="auto"/>
        <w:right w:val="none" w:sz="0" w:space="0" w:color="auto"/>
      </w:divBdr>
    </w:div>
    <w:div w:id="206898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36/bmjgh-2024-015550" TargetMode="External"/><Relationship Id="rId21" Type="http://schemas.openxmlformats.org/officeDocument/2006/relationships/chart" Target="charts/chart5.xml"/><Relationship Id="rId34" Type="http://schemas.openxmlformats.org/officeDocument/2006/relationships/hyperlink" Target="https://www.hsr.sagepub.com/content/early/2013/08/21/1355819613502172" TargetMode="External"/><Relationship Id="rId42" Type="http://schemas.openxmlformats.org/officeDocument/2006/relationships/hyperlink" Target="https://search.informit.org/doi/10.3316/informit.519612001913741" TargetMode="External"/><Relationship Id="rId47" Type="http://schemas.openxmlformats.org/officeDocument/2006/relationships/hyperlink" Target="https://www.england.nhs.uk/greenernhs/publication/delivering-a-net-zero-national-health-service/" TargetMode="External"/><Relationship Id="rId50" Type="http://schemas.openxmlformats.org/officeDocument/2006/relationships/hyperlink" Target="https://doi.org/10.3390/ijerph111213097" TargetMode="External"/><Relationship Id="rId55" Type="http://schemas.openxmlformats.org/officeDocument/2006/relationships/hyperlink" Target="https://ora.ox.ac.uk/objects/uuid:911edb21-8f0a-455c-93cb-f35da23b8fc8/files/mcd61ad8c79d78299e41400a9f73ada08" TargetMode="External"/><Relationship Id="rId63" Type="http://schemas.openxmlformats.org/officeDocument/2006/relationships/hyperlink" Target="https://doi.org/10.1007/s11606-022-07491-8"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doi.org/10.1097/acm.0b013e31829a3b2b" TargetMode="External"/><Relationship Id="rId11" Type="http://schemas.openxmlformats.org/officeDocument/2006/relationships/image" Target="media/image4.png"/><Relationship Id="rId24" Type="http://schemas.openxmlformats.org/officeDocument/2006/relationships/hyperlink" Target="https://doi.org/10.3390/ijerph19010435" TargetMode="External"/><Relationship Id="rId32" Type="http://schemas.openxmlformats.org/officeDocument/2006/relationships/hyperlink" Target="https://doi.org/10.1097/acm.0000000000003861" TargetMode="External"/><Relationship Id="rId37" Type="http://schemas.openxmlformats.org/officeDocument/2006/relationships/hyperlink" Target="https://doi.org/10.1016/j.jpsychores.2015.09.003" TargetMode="External"/><Relationship Id="rId40" Type="http://schemas.openxmlformats.org/officeDocument/2006/relationships/hyperlink" Target="https://doi.org/10.1093/jopart/mut085" TargetMode="External"/><Relationship Id="rId45" Type="http://schemas.openxmlformats.org/officeDocument/2006/relationships/hyperlink" Target="https://doi.org/10.1177/1558689815607096" TargetMode="External"/><Relationship Id="rId53" Type="http://schemas.openxmlformats.org/officeDocument/2006/relationships/hyperlink" Target="https://doi.org/10.1007/978-3-030-41239-5_5" TargetMode="External"/><Relationship Id="rId58" Type="http://schemas.openxmlformats.org/officeDocument/2006/relationships/hyperlink" Target="https://www.cgdev.org/publication/future-global-health-spending-amidst-multiple-crises"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un.org/sustainabledevelopment/climate-action/" TargetMode="External"/><Relationship Id="rId19" Type="http://schemas.openxmlformats.org/officeDocument/2006/relationships/chart" Target="charts/chart3.xml"/><Relationship Id="rId14" Type="http://schemas.openxmlformats.org/officeDocument/2006/relationships/image" Target="media/image7.png"/><Relationship Id="rId22" Type="http://schemas.openxmlformats.org/officeDocument/2006/relationships/chart" Target="charts/chart6.xml"/><Relationship Id="rId27" Type="http://schemas.openxmlformats.org/officeDocument/2006/relationships/hyperlink" Target="https://doi.org/10.1016/j.profnurs.2022.05.006" TargetMode="External"/><Relationship Id="rId30" Type="http://schemas.openxmlformats.org/officeDocument/2006/relationships/hyperlink" Target="https://doi.org/10.3928/00220124-20231013-02" TargetMode="External"/><Relationship Id="rId35" Type="http://schemas.openxmlformats.org/officeDocument/2006/relationships/hyperlink" Target="https://doi.org/10.1177/1558689812461179" TargetMode="External"/><Relationship Id="rId43" Type="http://schemas.openxmlformats.org/officeDocument/2006/relationships/hyperlink" Target="https://www.cfms.org/what-we-do/global-health/climate-change-and-health" TargetMode="External"/><Relationship Id="rId48" Type="http://schemas.openxmlformats.org/officeDocument/2006/relationships/hyperlink" Target="https://doi.org/10.1371/journal.pone.0292343" TargetMode="External"/><Relationship Id="rId56" Type="http://schemas.openxmlformats.org/officeDocument/2006/relationships/hyperlink" Target="https://www.publichealth.columbia.edu/file/11492/download?token=bBURLrFC" TargetMode="External"/><Relationship Id="rId64" Type="http://schemas.openxmlformats.org/officeDocument/2006/relationships/hyperlink" Target="https://www.ncbi.nlm.nih.gov/books/NBK298950/" TargetMode="External"/><Relationship Id="rId8" Type="http://schemas.openxmlformats.org/officeDocument/2006/relationships/image" Target="media/image2.png"/><Relationship Id="rId51" Type="http://schemas.openxmlformats.org/officeDocument/2006/relationships/hyperlink" Target="https://noharmuscanada.org/sites/default/files/documentsfiles/2704/Health%20Care%20Climate%20Change%20-%20Opportunity%20Transformative%20Leadership_0.pdf"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hyperlink" Target="https://doi.org/10.1097/ceh.0000000000000451" TargetMode="External"/><Relationship Id="rId33" Type="http://schemas.openxmlformats.org/officeDocument/2006/relationships/hyperlink" Target="https://doi.org/10.1515/pubhef-2019-0122" TargetMode="External"/><Relationship Id="rId38" Type="http://schemas.openxmlformats.org/officeDocument/2006/relationships/hyperlink" Target="https://doi.org/10.1016/j.wace.2015.10.002" TargetMode="External"/><Relationship Id="rId46" Type="http://schemas.openxmlformats.org/officeDocument/2006/relationships/hyperlink" Target="https://doi.org/10.1080/13504622.2017.1360842" TargetMode="External"/><Relationship Id="rId59" Type="http://schemas.openxmlformats.org/officeDocument/2006/relationships/hyperlink" Target="https://blogs.worldbank.org/en/opendata/new-world-bank-group-country-classifications-income-level-fy24" TargetMode="External"/><Relationship Id="rId20" Type="http://schemas.openxmlformats.org/officeDocument/2006/relationships/chart" Target="charts/chart4.xml"/><Relationship Id="rId41" Type="http://schemas.openxmlformats.org/officeDocument/2006/relationships/hyperlink" Target="https://doi.org/10.1111/jep.13362" TargetMode="External"/><Relationship Id="rId54" Type="http://schemas.openxmlformats.org/officeDocument/2006/relationships/hyperlink" Target="http://royalcollege.ca/" TargetMode="External"/><Relationship Id="rId62" Type="http://schemas.openxmlformats.org/officeDocument/2006/relationships/hyperlink" Target="https://www.un.org/en/un-chronicle/water-scarcity-climate-crisis-and-global-food-security-call-collaborative-act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chart" Target="charts/chart7.xml"/><Relationship Id="rId28" Type="http://schemas.openxmlformats.org/officeDocument/2006/relationships/hyperlink" Target="https://doi.org/10.1080/25741292.2025.2545667" TargetMode="External"/><Relationship Id="rId36" Type="http://schemas.openxmlformats.org/officeDocument/2006/relationships/hyperlink" Target="https://doi.org/10.1186/s13033-018-0210-6" TargetMode="External"/><Relationship Id="rId49" Type="http://schemas.openxmlformats.org/officeDocument/2006/relationships/hyperlink" Target="https://doi.org/10.12927/hcq.2022.26806" TargetMode="External"/><Relationship Id="rId57" Type="http://schemas.openxmlformats.org/officeDocument/2006/relationships/hyperlink" Target="http://www.greenhealthcare.ca/resiliency/" TargetMode="External"/><Relationship Id="rId10" Type="http://schemas.openxmlformats.org/officeDocument/2006/relationships/footer" Target="footer1.xml"/><Relationship Id="rId31" Type="http://schemas.openxmlformats.org/officeDocument/2006/relationships/hyperlink" Target="https://doi.org/10.1016/j.crm.2020.100212" TargetMode="External"/><Relationship Id="rId44" Type="http://schemas.openxmlformats.org/officeDocument/2006/relationships/hyperlink" Target="https://www.un.org/sustainabledevelopment/climate-action/" TargetMode="External"/><Relationship Id="rId52" Type="http://schemas.openxmlformats.org/officeDocument/2006/relationships/hyperlink" Target="https://doi.org/10.12688/f1000research.74779.2" TargetMode="External"/><Relationship Id="rId60" Type="http://schemas.openxmlformats.org/officeDocument/2006/relationships/hyperlink" Target="https://doi.org/10.1007/s11186-019-09345-5"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chart" Target="charts/chart2.xml"/><Relationship Id="rId39" Type="http://schemas.openxmlformats.org/officeDocument/2006/relationships/hyperlink" Target="https://doi.org/10.12968/bjon.2023.32.12.60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a:t>
            </a:r>
            <a:r>
              <a:rPr lang="en-CA" baseline="0"/>
              <a:t> 16:</a:t>
            </a:r>
            <a:r>
              <a:rPr lang="en-CA"/>
              <a:t>Mean Scores of Self-rated Compentecies based on Country of Employement (0-5 Scale)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Employer provides services in Canada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Sheet1!$B$2:$B$20</c:f>
              <c:numCache>
                <c:formatCode>General</c:formatCode>
                <c:ptCount val="19"/>
                <c:pt idx="0">
                  <c:v>3</c:v>
                </c:pt>
                <c:pt idx="1">
                  <c:v>3.5</c:v>
                </c:pt>
                <c:pt idx="2">
                  <c:v>3.1</c:v>
                </c:pt>
                <c:pt idx="3">
                  <c:v>3</c:v>
                </c:pt>
                <c:pt idx="4">
                  <c:v>3.1</c:v>
                </c:pt>
                <c:pt idx="5">
                  <c:v>3.4</c:v>
                </c:pt>
                <c:pt idx="6">
                  <c:v>3.4</c:v>
                </c:pt>
                <c:pt idx="7">
                  <c:v>3.1</c:v>
                </c:pt>
                <c:pt idx="8">
                  <c:v>2.9</c:v>
                </c:pt>
                <c:pt idx="9">
                  <c:v>3</c:v>
                </c:pt>
                <c:pt idx="10">
                  <c:v>3.1</c:v>
                </c:pt>
                <c:pt idx="11">
                  <c:v>3.1</c:v>
                </c:pt>
                <c:pt idx="12">
                  <c:v>3.3</c:v>
                </c:pt>
                <c:pt idx="13">
                  <c:v>4.0999999999999996</c:v>
                </c:pt>
                <c:pt idx="14">
                  <c:v>3.8</c:v>
                </c:pt>
                <c:pt idx="15">
                  <c:v>3.6</c:v>
                </c:pt>
                <c:pt idx="16">
                  <c:v>3.7</c:v>
                </c:pt>
                <c:pt idx="17">
                  <c:v>3.3</c:v>
                </c:pt>
                <c:pt idx="18">
                  <c:v>3.7</c:v>
                </c:pt>
              </c:numCache>
            </c:numRef>
          </c:val>
          <c:extLst>
            <c:ext xmlns:c16="http://schemas.microsoft.com/office/drawing/2014/chart" uri="{C3380CC4-5D6E-409C-BE32-E72D297353CC}">
              <c16:uniqueId val="{00000000-9C7A-4B06-AF1E-06F600D73628}"/>
            </c:ext>
          </c:extLst>
        </c:ser>
        <c:ser>
          <c:idx val="1"/>
          <c:order val="1"/>
          <c:tx>
            <c:strRef>
              <c:f>Sheet1!$C$1</c:f>
              <c:strCache>
                <c:ptCount val="1"/>
                <c:pt idx="0">
                  <c:v>Employer provides services in the UK</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Sheet1!$C$2:$C$20</c:f>
              <c:numCache>
                <c:formatCode>General</c:formatCode>
                <c:ptCount val="19"/>
                <c:pt idx="0">
                  <c:v>2.6</c:v>
                </c:pt>
                <c:pt idx="1">
                  <c:v>2.8</c:v>
                </c:pt>
                <c:pt idx="2">
                  <c:v>2.4</c:v>
                </c:pt>
                <c:pt idx="3">
                  <c:v>3.1</c:v>
                </c:pt>
                <c:pt idx="4">
                  <c:v>3.2</c:v>
                </c:pt>
                <c:pt idx="5">
                  <c:v>3</c:v>
                </c:pt>
                <c:pt idx="6">
                  <c:v>3.2</c:v>
                </c:pt>
                <c:pt idx="7">
                  <c:v>3</c:v>
                </c:pt>
                <c:pt idx="8">
                  <c:v>2.8</c:v>
                </c:pt>
                <c:pt idx="9">
                  <c:v>2.9</c:v>
                </c:pt>
                <c:pt idx="10">
                  <c:v>3.2</c:v>
                </c:pt>
                <c:pt idx="11">
                  <c:v>3.1</c:v>
                </c:pt>
                <c:pt idx="12">
                  <c:v>3.9</c:v>
                </c:pt>
                <c:pt idx="13">
                  <c:v>3.3</c:v>
                </c:pt>
                <c:pt idx="14">
                  <c:v>3.6</c:v>
                </c:pt>
                <c:pt idx="15">
                  <c:v>3.9</c:v>
                </c:pt>
                <c:pt idx="16">
                  <c:v>3.1</c:v>
                </c:pt>
                <c:pt idx="17">
                  <c:v>3.5</c:v>
                </c:pt>
                <c:pt idx="18">
                  <c:v>3.3</c:v>
                </c:pt>
              </c:numCache>
            </c:numRef>
          </c:val>
          <c:extLst>
            <c:ext xmlns:c16="http://schemas.microsoft.com/office/drawing/2014/chart" uri="{C3380CC4-5D6E-409C-BE32-E72D297353CC}">
              <c16:uniqueId val="{00000001-9C7A-4B06-AF1E-06F600D73628}"/>
            </c:ext>
          </c:extLst>
        </c:ser>
        <c:dLbls>
          <c:showLegendKey val="0"/>
          <c:showVal val="1"/>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r"/>
        <c:lblOffset val="100"/>
        <c:noMultiLvlLbl val="0"/>
      </c:catAx>
      <c:valAx>
        <c:axId val="1408405391"/>
        <c:scaling>
          <c:orientation val="minMax"/>
        </c:scaling>
        <c:delete val="1"/>
        <c:axPos val="b"/>
        <c:numFmt formatCode="General" sourceLinked="1"/>
        <c:majorTickMark val="none"/>
        <c:minorTickMark val="none"/>
        <c:tickLblPos val="nextTo"/>
        <c:crossAx val="14084063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a:t>
            </a:r>
            <a:r>
              <a:rPr lang="en-CA" baseline="0"/>
              <a:t> 17: </a:t>
            </a:r>
            <a:r>
              <a:rPr lang="en-CA"/>
              <a:t>Mean Scores of Self</a:t>
            </a:r>
            <a:r>
              <a:rPr lang="en-CA" baseline="0"/>
              <a:t>-rated Capacity based on Country of Employement (0-2 Scale)</a:t>
            </a:r>
            <a:endParaRPr lang="en-C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Employer provides services in Canada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Sheet1!$B$2:$B$20</c:f>
              <c:numCache>
                <c:formatCode>General</c:formatCode>
                <c:ptCount val="19"/>
                <c:pt idx="0">
                  <c:v>1.1000000000000001</c:v>
                </c:pt>
                <c:pt idx="1">
                  <c:v>1.3</c:v>
                </c:pt>
                <c:pt idx="2">
                  <c:v>1.1000000000000001</c:v>
                </c:pt>
                <c:pt idx="3">
                  <c:v>1.1000000000000001</c:v>
                </c:pt>
                <c:pt idx="4">
                  <c:v>1.2</c:v>
                </c:pt>
                <c:pt idx="5">
                  <c:v>1.4</c:v>
                </c:pt>
                <c:pt idx="6">
                  <c:v>1.4</c:v>
                </c:pt>
                <c:pt idx="7">
                  <c:v>1.3</c:v>
                </c:pt>
                <c:pt idx="8">
                  <c:v>1.2</c:v>
                </c:pt>
                <c:pt idx="9">
                  <c:v>1.4</c:v>
                </c:pt>
                <c:pt idx="10">
                  <c:v>1.2</c:v>
                </c:pt>
                <c:pt idx="11">
                  <c:v>0.9</c:v>
                </c:pt>
                <c:pt idx="12">
                  <c:v>1.3</c:v>
                </c:pt>
                <c:pt idx="13">
                  <c:v>1.6</c:v>
                </c:pt>
                <c:pt idx="14">
                  <c:v>1.5</c:v>
                </c:pt>
                <c:pt idx="15">
                  <c:v>1.1000000000000001</c:v>
                </c:pt>
                <c:pt idx="16">
                  <c:v>1.3</c:v>
                </c:pt>
                <c:pt idx="17">
                  <c:v>1.2</c:v>
                </c:pt>
                <c:pt idx="18">
                  <c:v>1.3</c:v>
                </c:pt>
              </c:numCache>
            </c:numRef>
          </c:val>
          <c:extLst>
            <c:ext xmlns:c16="http://schemas.microsoft.com/office/drawing/2014/chart" uri="{C3380CC4-5D6E-409C-BE32-E72D297353CC}">
              <c16:uniqueId val="{00000000-933E-4D7B-B5B0-5453B1557339}"/>
            </c:ext>
          </c:extLst>
        </c:ser>
        <c:ser>
          <c:idx val="1"/>
          <c:order val="1"/>
          <c:tx>
            <c:strRef>
              <c:f>Sheet1!$C$1</c:f>
              <c:strCache>
                <c:ptCount val="1"/>
                <c:pt idx="0">
                  <c:v>Employer provides services in the UK</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Sheet1!$C$2:$C$20</c:f>
              <c:numCache>
                <c:formatCode>General</c:formatCode>
                <c:ptCount val="19"/>
                <c:pt idx="0">
                  <c:v>0.9</c:v>
                </c:pt>
                <c:pt idx="1">
                  <c:v>1.1000000000000001</c:v>
                </c:pt>
                <c:pt idx="2">
                  <c:v>0.9</c:v>
                </c:pt>
                <c:pt idx="3">
                  <c:v>1.2</c:v>
                </c:pt>
                <c:pt idx="4">
                  <c:v>1.2</c:v>
                </c:pt>
                <c:pt idx="5">
                  <c:v>1</c:v>
                </c:pt>
                <c:pt idx="6">
                  <c:v>1.2</c:v>
                </c:pt>
                <c:pt idx="7">
                  <c:v>1.1000000000000001</c:v>
                </c:pt>
                <c:pt idx="8">
                  <c:v>1</c:v>
                </c:pt>
                <c:pt idx="9">
                  <c:v>1.2</c:v>
                </c:pt>
                <c:pt idx="10">
                  <c:v>1.3</c:v>
                </c:pt>
                <c:pt idx="11">
                  <c:v>0.9</c:v>
                </c:pt>
                <c:pt idx="12">
                  <c:v>1.4</c:v>
                </c:pt>
                <c:pt idx="13">
                  <c:v>1.3</c:v>
                </c:pt>
                <c:pt idx="14">
                  <c:v>1.5</c:v>
                </c:pt>
                <c:pt idx="15">
                  <c:v>1.4</c:v>
                </c:pt>
                <c:pt idx="16">
                  <c:v>1.3</c:v>
                </c:pt>
                <c:pt idx="17">
                  <c:v>1.3</c:v>
                </c:pt>
                <c:pt idx="18">
                  <c:v>1.5</c:v>
                </c:pt>
              </c:numCache>
            </c:numRef>
          </c:val>
          <c:extLst>
            <c:ext xmlns:c16="http://schemas.microsoft.com/office/drawing/2014/chart" uri="{C3380CC4-5D6E-409C-BE32-E72D297353CC}">
              <c16:uniqueId val="{00000001-933E-4D7B-B5B0-5453B1557339}"/>
            </c:ext>
          </c:extLst>
        </c:ser>
        <c:dLbls>
          <c:showLegendKey val="0"/>
          <c:showVal val="1"/>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ctr"/>
        <c:lblOffset val="100"/>
        <c:noMultiLvlLbl val="0"/>
      </c:catAx>
      <c:valAx>
        <c:axId val="1408405391"/>
        <c:scaling>
          <c:orientation val="minMax"/>
        </c:scaling>
        <c:delete val="1"/>
        <c:axPos val="b"/>
        <c:numFmt formatCode="General" sourceLinked="1"/>
        <c:majorTickMark val="none"/>
        <c:minorTickMark val="none"/>
        <c:tickLblPos val="nextTo"/>
        <c:crossAx val="14084063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 18: Mean Scores of Self</a:t>
            </a:r>
            <a:r>
              <a:rPr lang="en-CA" baseline="0"/>
              <a:t>-rated Compentecies based on level of Seniority (0-5 Scale)</a:t>
            </a:r>
            <a:endParaRPr lang="en-CA"/>
          </a:p>
        </c:rich>
      </c:tx>
      <c:layout>
        <c:manualLayout>
          <c:xMode val="edge"/>
          <c:yMode val="edge"/>
          <c:x val="0.13324009628330138"/>
          <c:y val="1.47329650092081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Manager and Below</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Sheet1!$B$2:$B$20</c:f>
              <c:numCache>
                <c:formatCode>General</c:formatCode>
                <c:ptCount val="19"/>
                <c:pt idx="0">
                  <c:v>2.7</c:v>
                </c:pt>
                <c:pt idx="1">
                  <c:v>3</c:v>
                </c:pt>
                <c:pt idx="2">
                  <c:v>2.4</c:v>
                </c:pt>
                <c:pt idx="3">
                  <c:v>3.1</c:v>
                </c:pt>
                <c:pt idx="4">
                  <c:v>3.1</c:v>
                </c:pt>
                <c:pt idx="5">
                  <c:v>3.1</c:v>
                </c:pt>
                <c:pt idx="6">
                  <c:v>3.2</c:v>
                </c:pt>
                <c:pt idx="7">
                  <c:v>3.1</c:v>
                </c:pt>
                <c:pt idx="8">
                  <c:v>2.9</c:v>
                </c:pt>
                <c:pt idx="9">
                  <c:v>2.9</c:v>
                </c:pt>
                <c:pt idx="10">
                  <c:v>3.1</c:v>
                </c:pt>
                <c:pt idx="11">
                  <c:v>3.2</c:v>
                </c:pt>
                <c:pt idx="12">
                  <c:v>3.8</c:v>
                </c:pt>
                <c:pt idx="13">
                  <c:v>3.5</c:v>
                </c:pt>
                <c:pt idx="14">
                  <c:v>3.7</c:v>
                </c:pt>
                <c:pt idx="15">
                  <c:v>3.9</c:v>
                </c:pt>
                <c:pt idx="16">
                  <c:v>3.3</c:v>
                </c:pt>
                <c:pt idx="17">
                  <c:v>3.5</c:v>
                </c:pt>
                <c:pt idx="18">
                  <c:v>3.8</c:v>
                </c:pt>
              </c:numCache>
            </c:numRef>
          </c:val>
          <c:extLst>
            <c:ext xmlns:c16="http://schemas.microsoft.com/office/drawing/2014/chart" uri="{C3380CC4-5D6E-409C-BE32-E72D297353CC}">
              <c16:uniqueId val="{00000000-F445-43D0-B42B-48B40C9DB9A5}"/>
            </c:ext>
          </c:extLst>
        </c:ser>
        <c:ser>
          <c:idx val="1"/>
          <c:order val="1"/>
          <c:tx>
            <c:strRef>
              <c:f>Sheet1!$C$1</c:f>
              <c:strCache>
                <c:ptCount val="1"/>
                <c:pt idx="0">
                  <c:v>Director and Above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Sheet1!$C$2:$C$20</c:f>
              <c:numCache>
                <c:formatCode>General</c:formatCode>
                <c:ptCount val="19"/>
                <c:pt idx="0">
                  <c:v>2.6</c:v>
                </c:pt>
                <c:pt idx="1">
                  <c:v>3.2</c:v>
                </c:pt>
                <c:pt idx="2">
                  <c:v>3.1</c:v>
                </c:pt>
                <c:pt idx="3">
                  <c:v>2.8</c:v>
                </c:pt>
                <c:pt idx="4">
                  <c:v>3.2</c:v>
                </c:pt>
                <c:pt idx="5">
                  <c:v>3.3</c:v>
                </c:pt>
                <c:pt idx="6">
                  <c:v>3.1</c:v>
                </c:pt>
                <c:pt idx="7">
                  <c:v>2.6</c:v>
                </c:pt>
                <c:pt idx="8">
                  <c:v>2.6</c:v>
                </c:pt>
                <c:pt idx="9">
                  <c:v>2.9</c:v>
                </c:pt>
                <c:pt idx="10">
                  <c:v>3</c:v>
                </c:pt>
                <c:pt idx="11">
                  <c:v>2.7</c:v>
                </c:pt>
                <c:pt idx="12">
                  <c:v>3.4</c:v>
                </c:pt>
                <c:pt idx="13">
                  <c:v>3.6</c:v>
                </c:pt>
                <c:pt idx="14">
                  <c:v>3.4</c:v>
                </c:pt>
                <c:pt idx="15">
                  <c:v>3.2</c:v>
                </c:pt>
                <c:pt idx="16">
                  <c:v>3.2</c:v>
                </c:pt>
                <c:pt idx="17">
                  <c:v>3</c:v>
                </c:pt>
                <c:pt idx="18">
                  <c:v>3.3</c:v>
                </c:pt>
              </c:numCache>
            </c:numRef>
          </c:val>
          <c:extLst>
            <c:ext xmlns:c16="http://schemas.microsoft.com/office/drawing/2014/chart" uri="{C3380CC4-5D6E-409C-BE32-E72D297353CC}">
              <c16:uniqueId val="{00000001-F445-43D0-B42B-48B40C9DB9A5}"/>
            </c:ext>
          </c:extLst>
        </c:ser>
        <c:dLbls>
          <c:showLegendKey val="0"/>
          <c:showVal val="1"/>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ctr"/>
        <c:lblOffset val="100"/>
        <c:noMultiLvlLbl val="0"/>
      </c:catAx>
      <c:valAx>
        <c:axId val="1408405391"/>
        <c:scaling>
          <c:orientation val="minMax"/>
        </c:scaling>
        <c:delete val="1"/>
        <c:axPos val="b"/>
        <c:numFmt formatCode="General" sourceLinked="1"/>
        <c:majorTickMark val="none"/>
        <c:minorTickMark val="none"/>
        <c:tickLblPos val="nextTo"/>
        <c:crossAx val="14084063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 19: Mean Scores of Organisation and Climate</a:t>
            </a:r>
            <a:r>
              <a:rPr lang="en-CA" baseline="0"/>
              <a:t> Change Education and role setting (1-5 Scale)</a:t>
            </a:r>
            <a:endParaRPr lang="en-C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Hospital setting</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I am aware of climate influenced hazards within the geographical jurisdiction of where my duties are carried out</c:v>
                </c:pt>
                <c:pt idx="1">
                  <c:v>Climate and health topics I am educated on, or trained in, have included business continuity planning for climate influenced emergencies/disasters</c:v>
                </c:pt>
                <c:pt idx="2">
                  <c:v>Climate and health topics I am educated on, or trained in, have included management of climate influenced emergencies/disasters (e.g. extreme weather events such as heat, floods, etc).</c:v>
                </c:pt>
                <c:pt idx="3">
                  <c:v>I am actively involved in setting direction within my organization for education and/or training for climate change</c:v>
                </c:pt>
                <c:pt idx="4">
                  <c:v>Health and climate education and/or training applicable for executive, organizational or trust administrator level within the organisation</c:v>
                </c:pt>
                <c:pt idx="5">
                  <c:v>Health and climate education and/or training initiatives applicable for director or program administrator level within the organisation</c:v>
                </c:pt>
                <c:pt idx="6">
                  <c:v>Health and climate education and/or training applicable for managerial level within the organisation</c:v>
                </c:pt>
                <c:pt idx="7">
                  <c:v>Health and climate education and/or training initiatives applicable for below managerial level within the organisation</c:v>
                </c:pt>
                <c:pt idx="8">
                  <c:v>My organisation has been impacted by climate influenced emergencies in the last 2 years</c:v>
                </c:pt>
                <c:pt idx="9">
                  <c:v>My organisation promotes external health and climate education and/or training for health professionals within the organisation for climate change initiatives</c:v>
                </c:pt>
                <c:pt idx="10">
                  <c:v>My organisation has developed health and climate education and/or training for health professionals within the organisation for climate change initiatives.</c:v>
                </c:pt>
                <c:pt idx="11">
                  <c:v>My organisation has a dedicated person or team responsible for climate change education and/or training for climate change initiatives.</c:v>
                </c:pt>
              </c:strCache>
              <c:extLst/>
            </c:strRef>
          </c:cat>
          <c:val>
            <c:numRef>
              <c:f>Sheet1!$B$2:$B$14</c:f>
              <c:numCache>
                <c:formatCode>General</c:formatCode>
                <c:ptCount val="12"/>
                <c:pt idx="0">
                  <c:v>1.9</c:v>
                </c:pt>
                <c:pt idx="1">
                  <c:v>2.9</c:v>
                </c:pt>
                <c:pt idx="2">
                  <c:v>3.2</c:v>
                </c:pt>
                <c:pt idx="3">
                  <c:v>2.5</c:v>
                </c:pt>
                <c:pt idx="4">
                  <c:v>1.9</c:v>
                </c:pt>
                <c:pt idx="5">
                  <c:v>1.9</c:v>
                </c:pt>
                <c:pt idx="6">
                  <c:v>1.9</c:v>
                </c:pt>
                <c:pt idx="7">
                  <c:v>2</c:v>
                </c:pt>
                <c:pt idx="8">
                  <c:v>2.8</c:v>
                </c:pt>
                <c:pt idx="9">
                  <c:v>2.9</c:v>
                </c:pt>
                <c:pt idx="10">
                  <c:v>2.8</c:v>
                </c:pt>
                <c:pt idx="11">
                  <c:v>2.2999999999999998</c:v>
                </c:pt>
              </c:numCache>
              <c:extLst/>
            </c:numRef>
          </c:val>
          <c:extLst>
            <c:ext xmlns:c16="http://schemas.microsoft.com/office/drawing/2014/chart" uri="{C3380CC4-5D6E-409C-BE32-E72D297353CC}">
              <c16:uniqueId val="{00000000-AEF6-49D1-9532-B1536974C2C7}"/>
            </c:ext>
          </c:extLst>
        </c:ser>
        <c:ser>
          <c:idx val="1"/>
          <c:order val="1"/>
          <c:tx>
            <c:strRef>
              <c:f>Sheet1!$C$1</c:f>
              <c:strCache>
                <c:ptCount val="1"/>
                <c:pt idx="0">
                  <c:v>Community setting</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I am aware of climate influenced hazards within the geographical jurisdiction of where my duties are carried out</c:v>
                </c:pt>
                <c:pt idx="1">
                  <c:v>Climate and health topics I am educated on, or trained in, have included business continuity planning for climate influenced emergencies/disasters</c:v>
                </c:pt>
                <c:pt idx="2">
                  <c:v>Climate and health topics I am educated on, or trained in, have included management of climate influenced emergencies/disasters (e.g. extreme weather events such as heat, floods, etc).</c:v>
                </c:pt>
                <c:pt idx="3">
                  <c:v>I am actively involved in setting direction within my organization for education and/or training for climate change</c:v>
                </c:pt>
                <c:pt idx="4">
                  <c:v>Health and climate education and/or training applicable for executive, organizational or trust administrator level within the organisation</c:v>
                </c:pt>
                <c:pt idx="5">
                  <c:v>Health and climate education and/or training initiatives applicable for director or program administrator level within the organisation</c:v>
                </c:pt>
                <c:pt idx="6">
                  <c:v>Health and climate education and/or training applicable for managerial level within the organisation</c:v>
                </c:pt>
                <c:pt idx="7">
                  <c:v>Health and climate education and/or training initiatives applicable for below managerial level within the organisation</c:v>
                </c:pt>
                <c:pt idx="8">
                  <c:v>My organisation has been impacted by climate influenced emergencies in the last 2 years</c:v>
                </c:pt>
                <c:pt idx="9">
                  <c:v>My organisation promotes external health and climate education and/or training for health professionals within the organisation for climate change initiatives</c:v>
                </c:pt>
                <c:pt idx="10">
                  <c:v>My organisation has developed health and climate education and/or training for health professionals within the organisation for climate change initiatives.</c:v>
                </c:pt>
                <c:pt idx="11">
                  <c:v>My organisation has a dedicated person or team responsible for climate change education and/or training for climate change initiatives.</c:v>
                </c:pt>
              </c:strCache>
              <c:extLst/>
            </c:strRef>
          </c:cat>
          <c:val>
            <c:numRef>
              <c:f>Sheet1!$C$2:$C$14</c:f>
              <c:numCache>
                <c:formatCode>General</c:formatCode>
                <c:ptCount val="12"/>
                <c:pt idx="0">
                  <c:v>1.9</c:v>
                </c:pt>
                <c:pt idx="1">
                  <c:v>2.6</c:v>
                </c:pt>
                <c:pt idx="2">
                  <c:v>2.4</c:v>
                </c:pt>
                <c:pt idx="3">
                  <c:v>3.5</c:v>
                </c:pt>
                <c:pt idx="4">
                  <c:v>2.1</c:v>
                </c:pt>
                <c:pt idx="5">
                  <c:v>1.6</c:v>
                </c:pt>
                <c:pt idx="6">
                  <c:v>2.6</c:v>
                </c:pt>
                <c:pt idx="7">
                  <c:v>2.2999999999999998</c:v>
                </c:pt>
                <c:pt idx="8">
                  <c:v>1.9</c:v>
                </c:pt>
                <c:pt idx="9">
                  <c:v>3.3</c:v>
                </c:pt>
                <c:pt idx="10">
                  <c:v>3.1</c:v>
                </c:pt>
                <c:pt idx="11">
                  <c:v>3</c:v>
                </c:pt>
              </c:numCache>
              <c:extLst/>
            </c:numRef>
          </c:val>
          <c:extLst>
            <c:ext xmlns:c16="http://schemas.microsoft.com/office/drawing/2014/chart" uri="{C3380CC4-5D6E-409C-BE32-E72D297353CC}">
              <c16:uniqueId val="{00000001-AEF6-49D1-9532-B1536974C2C7}"/>
            </c:ext>
          </c:extLst>
        </c:ser>
        <c:ser>
          <c:idx val="2"/>
          <c:order val="2"/>
          <c:tx>
            <c:strRef>
              <c:f>Sheet1!$D$1</c:f>
              <c:strCache>
                <c:ptCount val="1"/>
                <c:pt idx="0">
                  <c:v>Corporate/Adminstrative setting</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I am aware of climate influenced hazards within the geographical jurisdiction of where my duties are carried out</c:v>
                </c:pt>
                <c:pt idx="1">
                  <c:v>Climate and health topics I am educated on, or trained in, have included business continuity planning for climate influenced emergencies/disasters</c:v>
                </c:pt>
                <c:pt idx="2">
                  <c:v>Climate and health topics I am educated on, or trained in, have included management of climate influenced emergencies/disasters (e.g. extreme weather events such as heat, floods, etc).</c:v>
                </c:pt>
                <c:pt idx="3">
                  <c:v>I am actively involved in setting direction within my organization for education and/or training for climate change</c:v>
                </c:pt>
                <c:pt idx="4">
                  <c:v>Health and climate education and/or training applicable for executive, organizational or trust administrator level within the organisation</c:v>
                </c:pt>
                <c:pt idx="5">
                  <c:v>Health and climate education and/or training initiatives applicable for director or program administrator level within the organisation</c:v>
                </c:pt>
                <c:pt idx="6">
                  <c:v>Health and climate education and/or training applicable for managerial level within the organisation</c:v>
                </c:pt>
                <c:pt idx="7">
                  <c:v>Health and climate education and/or training initiatives applicable for below managerial level within the organisation</c:v>
                </c:pt>
                <c:pt idx="8">
                  <c:v>My organisation has been impacted by climate influenced emergencies in the last 2 years</c:v>
                </c:pt>
                <c:pt idx="9">
                  <c:v>My organisation promotes external health and climate education and/or training for health professionals within the organisation for climate change initiatives</c:v>
                </c:pt>
                <c:pt idx="10">
                  <c:v>My organisation has developed health and climate education and/or training for health professionals within the organisation for climate change initiatives.</c:v>
                </c:pt>
                <c:pt idx="11">
                  <c:v>My organisation has a dedicated person or team responsible for climate change education and/or training for climate change initiatives.</c:v>
                </c:pt>
              </c:strCache>
              <c:extLst/>
            </c:strRef>
          </c:cat>
          <c:val>
            <c:numRef>
              <c:f>Sheet1!$D$2:$D$14</c:f>
              <c:numCache>
                <c:formatCode>General</c:formatCode>
                <c:ptCount val="12"/>
                <c:pt idx="0">
                  <c:v>1.5</c:v>
                </c:pt>
                <c:pt idx="1">
                  <c:v>2.4</c:v>
                </c:pt>
                <c:pt idx="2">
                  <c:v>2</c:v>
                </c:pt>
                <c:pt idx="3">
                  <c:v>1.8</c:v>
                </c:pt>
                <c:pt idx="4">
                  <c:v>1.3</c:v>
                </c:pt>
                <c:pt idx="5">
                  <c:v>1.4</c:v>
                </c:pt>
                <c:pt idx="6">
                  <c:v>1.5</c:v>
                </c:pt>
                <c:pt idx="7">
                  <c:v>1.6</c:v>
                </c:pt>
                <c:pt idx="8">
                  <c:v>1.5</c:v>
                </c:pt>
                <c:pt idx="9">
                  <c:v>2.5</c:v>
                </c:pt>
                <c:pt idx="10">
                  <c:v>2.4</c:v>
                </c:pt>
                <c:pt idx="11">
                  <c:v>2.2999999999999998</c:v>
                </c:pt>
              </c:numCache>
              <c:extLst/>
            </c:numRef>
          </c:val>
          <c:extLst>
            <c:ext xmlns:c16="http://schemas.microsoft.com/office/drawing/2014/chart" uri="{C3380CC4-5D6E-409C-BE32-E72D297353CC}">
              <c16:uniqueId val="{00000002-AEF6-49D1-9532-B1536974C2C7}"/>
            </c:ext>
          </c:extLst>
        </c:ser>
        <c:dLbls>
          <c:showLegendKey val="0"/>
          <c:showVal val="1"/>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ctr"/>
        <c:lblOffset val="100"/>
        <c:noMultiLvlLbl val="0"/>
      </c:catAx>
      <c:valAx>
        <c:axId val="1408405391"/>
        <c:scaling>
          <c:orientation val="minMax"/>
        </c:scaling>
        <c:delete val="1"/>
        <c:axPos val="b"/>
        <c:numFmt formatCode="General" sourceLinked="1"/>
        <c:majorTickMark val="none"/>
        <c:minorTickMark val="none"/>
        <c:tickLblPos val="nextTo"/>
        <c:crossAx val="14084063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a:t>
            </a:r>
            <a:r>
              <a:rPr lang="en-CA" baseline="0"/>
              <a:t> 20: </a:t>
            </a:r>
            <a:r>
              <a:rPr lang="en-CA"/>
              <a:t>Percentage of affirmative</a:t>
            </a:r>
            <a:r>
              <a:rPr lang="en-CA" baseline="0"/>
              <a:t> (yes) answers</a:t>
            </a:r>
            <a:endParaRPr lang="en-CA"/>
          </a:p>
        </c:rich>
      </c:tx>
      <c:layout>
        <c:manualLayout>
          <c:xMode val="edge"/>
          <c:yMode val="edge"/>
          <c:x val="0.2364238410596026"/>
          <c:y val="2.01005025125628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Hospital setting</c:v>
                </c:pt>
              </c:strCache>
            </c:strRef>
          </c:tx>
          <c:spPr>
            <a:solidFill>
              <a:schemeClr val="accent1"/>
            </a:solidFill>
            <a:ln>
              <a:noFill/>
            </a:ln>
            <a:effectLst/>
            <a:sp3d/>
          </c:spPr>
          <c:invertIfNegative val="0"/>
          <c:cat>
            <c:strRef>
              <c:f>Sheet1!$A$2:$A$3</c:f>
              <c:strCache>
                <c:ptCount val="2"/>
                <c:pt idx="0">
                  <c:v>I have received climate change education and/or training through my organisation.</c:v>
                </c:pt>
                <c:pt idx="1">
                  <c:v>I have received climate change education and/or training</c:v>
                </c:pt>
              </c:strCache>
            </c:strRef>
          </c:cat>
          <c:val>
            <c:numRef>
              <c:f>Sheet1!$B$2:$B$3</c:f>
              <c:numCache>
                <c:formatCode>0.00%</c:formatCode>
                <c:ptCount val="2"/>
                <c:pt idx="0">
                  <c:v>0.375</c:v>
                </c:pt>
                <c:pt idx="1">
                  <c:v>0.68799999999999994</c:v>
                </c:pt>
              </c:numCache>
            </c:numRef>
          </c:val>
          <c:extLst>
            <c:ext xmlns:c16="http://schemas.microsoft.com/office/drawing/2014/chart" uri="{C3380CC4-5D6E-409C-BE32-E72D297353CC}">
              <c16:uniqueId val="{00000000-C899-4B95-875F-43EAA5D31A2F}"/>
            </c:ext>
          </c:extLst>
        </c:ser>
        <c:ser>
          <c:idx val="1"/>
          <c:order val="1"/>
          <c:tx>
            <c:strRef>
              <c:f>Sheet1!$C$1</c:f>
              <c:strCache>
                <c:ptCount val="1"/>
                <c:pt idx="0">
                  <c:v>Community setting</c:v>
                </c:pt>
              </c:strCache>
            </c:strRef>
          </c:tx>
          <c:spPr>
            <a:solidFill>
              <a:schemeClr val="accent2"/>
            </a:solidFill>
            <a:ln>
              <a:noFill/>
            </a:ln>
            <a:effectLst/>
            <a:sp3d/>
          </c:spPr>
          <c:invertIfNegative val="0"/>
          <c:cat>
            <c:strRef>
              <c:f>Sheet1!$A$2:$A$3</c:f>
              <c:strCache>
                <c:ptCount val="2"/>
                <c:pt idx="0">
                  <c:v>I have received climate change education and/or training through my organisation.</c:v>
                </c:pt>
                <c:pt idx="1">
                  <c:v>I have received climate change education and/or training</c:v>
                </c:pt>
              </c:strCache>
            </c:strRef>
          </c:cat>
          <c:val>
            <c:numRef>
              <c:f>Sheet1!$C$2:$C$3</c:f>
              <c:numCache>
                <c:formatCode>0%</c:formatCode>
                <c:ptCount val="2"/>
                <c:pt idx="0">
                  <c:v>0.25</c:v>
                </c:pt>
                <c:pt idx="1">
                  <c:v>0.5</c:v>
                </c:pt>
              </c:numCache>
            </c:numRef>
          </c:val>
          <c:extLst>
            <c:ext xmlns:c16="http://schemas.microsoft.com/office/drawing/2014/chart" uri="{C3380CC4-5D6E-409C-BE32-E72D297353CC}">
              <c16:uniqueId val="{00000001-C899-4B95-875F-43EAA5D31A2F}"/>
            </c:ext>
          </c:extLst>
        </c:ser>
        <c:ser>
          <c:idx val="2"/>
          <c:order val="2"/>
          <c:tx>
            <c:strRef>
              <c:f>Sheet1!$D$1</c:f>
              <c:strCache>
                <c:ptCount val="1"/>
                <c:pt idx="0">
                  <c:v>Corporate/Adminstrative setting</c:v>
                </c:pt>
              </c:strCache>
            </c:strRef>
          </c:tx>
          <c:spPr>
            <a:solidFill>
              <a:schemeClr val="accent3"/>
            </a:solidFill>
            <a:ln>
              <a:noFill/>
            </a:ln>
            <a:effectLst/>
            <a:sp3d/>
          </c:spPr>
          <c:invertIfNegative val="0"/>
          <c:cat>
            <c:strRef>
              <c:f>Sheet1!$A$2:$A$3</c:f>
              <c:strCache>
                <c:ptCount val="2"/>
                <c:pt idx="0">
                  <c:v>I have received climate change education and/or training through my organisation.</c:v>
                </c:pt>
                <c:pt idx="1">
                  <c:v>I have received climate change education and/or training</c:v>
                </c:pt>
              </c:strCache>
            </c:strRef>
          </c:cat>
          <c:val>
            <c:numRef>
              <c:f>Sheet1!$D$2:$D$3</c:f>
              <c:numCache>
                <c:formatCode>0.00%</c:formatCode>
                <c:ptCount val="2"/>
                <c:pt idx="0">
                  <c:v>0.51400000000000001</c:v>
                </c:pt>
                <c:pt idx="1">
                  <c:v>0.88600000000000001</c:v>
                </c:pt>
              </c:numCache>
            </c:numRef>
          </c:val>
          <c:extLst>
            <c:ext xmlns:c16="http://schemas.microsoft.com/office/drawing/2014/chart" uri="{C3380CC4-5D6E-409C-BE32-E72D297353CC}">
              <c16:uniqueId val="{00000002-C899-4B95-875F-43EAA5D31A2F}"/>
            </c:ext>
          </c:extLst>
        </c:ser>
        <c:dLbls>
          <c:showLegendKey val="0"/>
          <c:showVal val="0"/>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ctr"/>
        <c:lblOffset val="100"/>
        <c:noMultiLvlLbl val="0"/>
      </c:catAx>
      <c:valAx>
        <c:axId val="140840539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6351"/>
        <c:crosses val="autoZero"/>
        <c:crossBetween val="between"/>
      </c:valAx>
      <c:dTable>
        <c:showHorzBorder val="1"/>
        <c:showVertBorder val="1"/>
        <c:showOutline val="1"/>
        <c:showKeys val="1"/>
        <c:spPr>
          <a:noFill/>
          <a:ln w="9525" cap="flat" cmpd="sng" algn="ctr">
            <a:no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K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a:t>
            </a:r>
            <a:r>
              <a:rPr lang="en-CA" baseline="0"/>
              <a:t> 21: </a:t>
            </a:r>
            <a:r>
              <a:rPr lang="en-CA"/>
              <a:t>Mean Scores of Self</a:t>
            </a:r>
            <a:r>
              <a:rPr lang="en-CA" baseline="0"/>
              <a:t>-rated Compentency based on Role Setting (0-5 Scale)</a:t>
            </a:r>
            <a:endParaRPr lang="en-C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Hospital setting</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Sheet1!$B$2:$B$20</c:f>
              <c:numCache>
                <c:formatCode>General</c:formatCode>
                <c:ptCount val="19"/>
                <c:pt idx="0">
                  <c:v>2.4</c:v>
                </c:pt>
                <c:pt idx="1">
                  <c:v>2.7</c:v>
                </c:pt>
                <c:pt idx="2">
                  <c:v>2.4</c:v>
                </c:pt>
                <c:pt idx="3">
                  <c:v>2.7</c:v>
                </c:pt>
                <c:pt idx="4">
                  <c:v>2.9</c:v>
                </c:pt>
                <c:pt idx="5">
                  <c:v>2.9</c:v>
                </c:pt>
                <c:pt idx="6">
                  <c:v>3</c:v>
                </c:pt>
                <c:pt idx="7">
                  <c:v>2.5</c:v>
                </c:pt>
                <c:pt idx="8">
                  <c:v>2.2999999999999998</c:v>
                </c:pt>
                <c:pt idx="9">
                  <c:v>2.6</c:v>
                </c:pt>
                <c:pt idx="10">
                  <c:v>2.9</c:v>
                </c:pt>
                <c:pt idx="11">
                  <c:v>2.9</c:v>
                </c:pt>
                <c:pt idx="12">
                  <c:v>3.6</c:v>
                </c:pt>
                <c:pt idx="13">
                  <c:v>3.1</c:v>
                </c:pt>
                <c:pt idx="14">
                  <c:v>3.2</c:v>
                </c:pt>
                <c:pt idx="15">
                  <c:v>3.4</c:v>
                </c:pt>
                <c:pt idx="16">
                  <c:v>2.6</c:v>
                </c:pt>
                <c:pt idx="17">
                  <c:v>3.1</c:v>
                </c:pt>
                <c:pt idx="18">
                  <c:v>3.2</c:v>
                </c:pt>
              </c:numCache>
            </c:numRef>
          </c:val>
          <c:extLst>
            <c:ext xmlns:c16="http://schemas.microsoft.com/office/drawing/2014/chart" uri="{C3380CC4-5D6E-409C-BE32-E72D297353CC}">
              <c16:uniqueId val="{00000000-0A85-4484-B299-2BF401AB8553}"/>
            </c:ext>
          </c:extLst>
        </c:ser>
        <c:ser>
          <c:idx val="1"/>
          <c:order val="1"/>
          <c:tx>
            <c:strRef>
              <c:f>Sheet1!$C$1</c:f>
              <c:strCache>
                <c:ptCount val="1"/>
                <c:pt idx="0">
                  <c:v>Community setting</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Sheet1!$C$2:$C$20</c:f>
              <c:numCache>
                <c:formatCode>General</c:formatCode>
                <c:ptCount val="19"/>
                <c:pt idx="0">
                  <c:v>3.2</c:v>
                </c:pt>
                <c:pt idx="1">
                  <c:v>2.7</c:v>
                </c:pt>
                <c:pt idx="2">
                  <c:v>2.2000000000000002</c:v>
                </c:pt>
                <c:pt idx="3">
                  <c:v>3</c:v>
                </c:pt>
                <c:pt idx="4">
                  <c:v>3.5</c:v>
                </c:pt>
                <c:pt idx="5">
                  <c:v>3.3</c:v>
                </c:pt>
                <c:pt idx="6">
                  <c:v>3.3</c:v>
                </c:pt>
                <c:pt idx="7">
                  <c:v>2.8</c:v>
                </c:pt>
                <c:pt idx="8">
                  <c:v>2.8</c:v>
                </c:pt>
                <c:pt idx="9">
                  <c:v>2.5</c:v>
                </c:pt>
                <c:pt idx="10">
                  <c:v>2.5</c:v>
                </c:pt>
                <c:pt idx="11">
                  <c:v>2.5</c:v>
                </c:pt>
                <c:pt idx="12">
                  <c:v>3</c:v>
                </c:pt>
                <c:pt idx="13">
                  <c:v>3.7</c:v>
                </c:pt>
                <c:pt idx="14">
                  <c:v>3.2</c:v>
                </c:pt>
                <c:pt idx="15">
                  <c:v>3.5</c:v>
                </c:pt>
                <c:pt idx="16">
                  <c:v>3.3</c:v>
                </c:pt>
                <c:pt idx="17">
                  <c:v>3</c:v>
                </c:pt>
                <c:pt idx="18">
                  <c:v>3.8</c:v>
                </c:pt>
              </c:numCache>
            </c:numRef>
          </c:val>
          <c:extLst>
            <c:ext xmlns:c16="http://schemas.microsoft.com/office/drawing/2014/chart" uri="{C3380CC4-5D6E-409C-BE32-E72D297353CC}">
              <c16:uniqueId val="{00000001-0A85-4484-B299-2BF401AB8553}"/>
            </c:ext>
          </c:extLst>
        </c:ser>
        <c:ser>
          <c:idx val="2"/>
          <c:order val="2"/>
          <c:tx>
            <c:strRef>
              <c:f>Sheet1!$D$1</c:f>
              <c:strCache>
                <c:ptCount val="1"/>
                <c:pt idx="0">
                  <c:v>Corporate/Admin setting</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Sheet1!$D$2:$D$20</c:f>
              <c:numCache>
                <c:formatCode>General</c:formatCode>
                <c:ptCount val="19"/>
                <c:pt idx="0">
                  <c:v>2.8</c:v>
                </c:pt>
                <c:pt idx="1">
                  <c:v>3.2</c:v>
                </c:pt>
                <c:pt idx="2">
                  <c:v>2.8</c:v>
                </c:pt>
                <c:pt idx="3">
                  <c:v>3.3</c:v>
                </c:pt>
                <c:pt idx="4">
                  <c:v>3.2</c:v>
                </c:pt>
                <c:pt idx="5">
                  <c:v>3.2</c:v>
                </c:pt>
                <c:pt idx="6">
                  <c:v>3.3</c:v>
                </c:pt>
                <c:pt idx="7">
                  <c:v>3</c:v>
                </c:pt>
                <c:pt idx="8">
                  <c:v>3</c:v>
                </c:pt>
                <c:pt idx="9">
                  <c:v>3.2</c:v>
                </c:pt>
                <c:pt idx="10">
                  <c:v>3.4</c:v>
                </c:pt>
                <c:pt idx="11">
                  <c:v>3.3</c:v>
                </c:pt>
                <c:pt idx="12">
                  <c:v>3.9</c:v>
                </c:pt>
                <c:pt idx="13">
                  <c:v>3.8</c:v>
                </c:pt>
                <c:pt idx="14">
                  <c:v>4</c:v>
                </c:pt>
                <c:pt idx="15">
                  <c:v>4.0999999999999996</c:v>
                </c:pt>
                <c:pt idx="16">
                  <c:v>3.6</c:v>
                </c:pt>
                <c:pt idx="17">
                  <c:v>3.6</c:v>
                </c:pt>
                <c:pt idx="18">
                  <c:v>3.9</c:v>
                </c:pt>
              </c:numCache>
            </c:numRef>
          </c:val>
          <c:extLst>
            <c:ext xmlns:c16="http://schemas.microsoft.com/office/drawing/2014/chart" uri="{C3380CC4-5D6E-409C-BE32-E72D297353CC}">
              <c16:uniqueId val="{00000002-0A85-4484-B299-2BF401AB8553}"/>
            </c:ext>
          </c:extLst>
        </c:ser>
        <c:dLbls>
          <c:showLegendKey val="0"/>
          <c:showVal val="1"/>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ctr"/>
        <c:lblOffset val="100"/>
        <c:noMultiLvlLbl val="0"/>
      </c:catAx>
      <c:valAx>
        <c:axId val="1408405391"/>
        <c:scaling>
          <c:orientation val="minMax"/>
        </c:scaling>
        <c:delete val="1"/>
        <c:axPos val="b"/>
        <c:numFmt formatCode="General" sourceLinked="1"/>
        <c:majorTickMark val="none"/>
        <c:minorTickMark val="none"/>
        <c:tickLblPos val="nextTo"/>
        <c:crossAx val="14084063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Figure</a:t>
            </a:r>
            <a:r>
              <a:rPr lang="en-CA" baseline="0"/>
              <a:t> 22: </a:t>
            </a:r>
            <a:r>
              <a:rPr lang="en-CA"/>
              <a:t>Mean Scores of Self</a:t>
            </a:r>
            <a:r>
              <a:rPr lang="en-CA" baseline="0"/>
              <a:t>-rated Capacity based on Role Setting (0-2 Scale)</a:t>
            </a:r>
            <a:endParaRPr lang="en-C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Hospital setting</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Sheet1!$B$2:$B$20</c:f>
              <c:numCache>
                <c:formatCode>General</c:formatCode>
                <c:ptCount val="19"/>
                <c:pt idx="0">
                  <c:v>0.8</c:v>
                </c:pt>
                <c:pt idx="1">
                  <c:v>1.2</c:v>
                </c:pt>
                <c:pt idx="2">
                  <c:v>1</c:v>
                </c:pt>
                <c:pt idx="3">
                  <c:v>1.1000000000000001</c:v>
                </c:pt>
                <c:pt idx="4">
                  <c:v>1.2</c:v>
                </c:pt>
                <c:pt idx="5">
                  <c:v>1.2</c:v>
                </c:pt>
                <c:pt idx="6">
                  <c:v>1.2</c:v>
                </c:pt>
                <c:pt idx="7">
                  <c:v>1.2</c:v>
                </c:pt>
                <c:pt idx="8">
                  <c:v>1</c:v>
                </c:pt>
                <c:pt idx="9">
                  <c:v>1.4</c:v>
                </c:pt>
                <c:pt idx="10">
                  <c:v>1.4</c:v>
                </c:pt>
                <c:pt idx="11">
                  <c:v>1.2</c:v>
                </c:pt>
                <c:pt idx="12">
                  <c:v>1.4</c:v>
                </c:pt>
                <c:pt idx="13">
                  <c:v>1.4</c:v>
                </c:pt>
                <c:pt idx="14">
                  <c:v>1.4</c:v>
                </c:pt>
                <c:pt idx="15">
                  <c:v>1.4</c:v>
                </c:pt>
                <c:pt idx="16">
                  <c:v>1.4</c:v>
                </c:pt>
                <c:pt idx="17">
                  <c:v>1.4</c:v>
                </c:pt>
                <c:pt idx="18">
                  <c:v>1.4</c:v>
                </c:pt>
              </c:numCache>
            </c:numRef>
          </c:val>
          <c:extLst>
            <c:ext xmlns:c16="http://schemas.microsoft.com/office/drawing/2014/chart" uri="{C3380CC4-5D6E-409C-BE32-E72D297353CC}">
              <c16:uniqueId val="{00000000-DAEE-46E4-A0BD-12BD3B1D8E32}"/>
            </c:ext>
          </c:extLst>
        </c:ser>
        <c:ser>
          <c:idx val="1"/>
          <c:order val="1"/>
          <c:tx>
            <c:strRef>
              <c:f>Sheet1!$C$1</c:f>
              <c:strCache>
                <c:ptCount val="1"/>
                <c:pt idx="0">
                  <c:v>Community setting</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Sheet1!$C$2:$C$20</c:f>
              <c:numCache>
                <c:formatCode>General</c:formatCode>
                <c:ptCount val="19"/>
                <c:pt idx="0">
                  <c:v>0.6</c:v>
                </c:pt>
                <c:pt idx="1">
                  <c:v>0.8</c:v>
                </c:pt>
                <c:pt idx="2">
                  <c:v>0.8</c:v>
                </c:pt>
                <c:pt idx="3">
                  <c:v>1.2</c:v>
                </c:pt>
                <c:pt idx="4">
                  <c:v>1.3</c:v>
                </c:pt>
                <c:pt idx="5">
                  <c:v>1.5</c:v>
                </c:pt>
                <c:pt idx="6">
                  <c:v>1.5</c:v>
                </c:pt>
                <c:pt idx="7">
                  <c:v>1</c:v>
                </c:pt>
                <c:pt idx="8">
                  <c:v>1.2</c:v>
                </c:pt>
                <c:pt idx="9">
                  <c:v>1</c:v>
                </c:pt>
                <c:pt idx="10">
                  <c:v>0.8</c:v>
                </c:pt>
                <c:pt idx="11">
                  <c:v>0.8</c:v>
                </c:pt>
                <c:pt idx="12">
                  <c:v>0.8</c:v>
                </c:pt>
                <c:pt idx="13">
                  <c:v>1.3</c:v>
                </c:pt>
                <c:pt idx="14">
                  <c:v>1.3</c:v>
                </c:pt>
                <c:pt idx="15">
                  <c:v>1.2</c:v>
                </c:pt>
                <c:pt idx="16">
                  <c:v>1.3</c:v>
                </c:pt>
                <c:pt idx="17">
                  <c:v>1</c:v>
                </c:pt>
                <c:pt idx="18">
                  <c:v>1.3</c:v>
                </c:pt>
              </c:numCache>
            </c:numRef>
          </c:val>
          <c:extLst>
            <c:ext xmlns:c16="http://schemas.microsoft.com/office/drawing/2014/chart" uri="{C3380CC4-5D6E-409C-BE32-E72D297353CC}">
              <c16:uniqueId val="{00000001-DAEE-46E4-A0BD-12BD3B1D8E32}"/>
            </c:ext>
          </c:extLst>
        </c:ser>
        <c:ser>
          <c:idx val="2"/>
          <c:order val="2"/>
          <c:tx>
            <c:strRef>
              <c:f>Sheet1!$D$1</c:f>
              <c:strCache>
                <c:ptCount val="1"/>
                <c:pt idx="0">
                  <c:v>Corporate/Admin setting</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Public health improvements and implementation strategies to increase resiliency within your specific jurisdictional boundaries</c:v>
                </c:pt>
                <c:pt idx="1">
                  <c:v>Share lessons learned from emergency responses within your specific jurisdictional boundaries</c:v>
                </c:pt>
                <c:pt idx="2">
                  <c:v>Manage extreme weather and climate emergencies</c:v>
                </c:pt>
                <c:pt idx="3">
                  <c:v>Guide climate change and health related policy that is evidence informed</c:v>
                </c:pt>
                <c:pt idx="4">
                  <c:v>Engage policy makers on current policy landscape on climate change and health topics in your specific jurisdictional boundaries</c:v>
                </c:pt>
                <c:pt idx="5">
                  <c:v>Build or participation in community partnerships related to climate change within your specific jurisdictional boundaries</c:v>
                </c:pt>
                <c:pt idx="6">
                  <c:v>Communication of health impacts and community advocacy within your specific jurisdictional boundaries.</c:v>
                </c:pt>
                <c:pt idx="7">
                  <c:v>Resilient health systems and practices</c:v>
                </c:pt>
                <c:pt idx="8">
                  <c:v>Community mitigation and adaptation strategies in specific jurisdictional boundaries</c:v>
                </c:pt>
                <c:pt idx="9">
                  <c:v>Assessing and addressing risk (collaboration, assess vulnerabilities, build resilience, conduct planning) to project risks and future trends</c:v>
                </c:pt>
                <c:pt idx="10">
                  <c:v>Assessing climate influenced risks to your organisation or jurisdiction</c:v>
                </c:pt>
                <c:pt idx="11">
                  <c:v>Conduct, synthesize and action evidence and research related to climate change</c:v>
                </c:pt>
                <c:pt idx="12">
                  <c:v>Health system mitigation and adaptation strategies (emissions and waste reduction)</c:v>
                </c:pt>
                <c:pt idx="13">
                  <c:v>Climate change vulnerabilities and hazards in your specific jurisdictional boundaries</c:v>
                </c:pt>
                <c:pt idx="14">
                  <c:v>Health system climate change vulnerabilities and hazards</c:v>
                </c:pt>
                <c:pt idx="15">
                  <c:v>Drivers and pressures of climate change</c:v>
                </c:pt>
                <c:pt idx="16">
                  <c:v>Population and individual climate change exposure and health outcomes specific to your jurisdictional boundaries</c:v>
                </c:pt>
                <c:pt idx="17">
                  <c:v>Climate change policy, frameworks, legislation at national and sub national levels</c:v>
                </c:pt>
                <c:pt idx="18">
                  <c:v>The effects of climate change on human health</c:v>
                </c:pt>
              </c:strCache>
            </c:strRef>
          </c:cat>
          <c:val>
            <c:numRef>
              <c:f>Sheet1!$D$2:$D$20</c:f>
              <c:numCache>
                <c:formatCode>General</c:formatCode>
                <c:ptCount val="19"/>
                <c:pt idx="0">
                  <c:v>1</c:v>
                </c:pt>
                <c:pt idx="1">
                  <c:v>1.2</c:v>
                </c:pt>
                <c:pt idx="2">
                  <c:v>1</c:v>
                </c:pt>
                <c:pt idx="3">
                  <c:v>1.2</c:v>
                </c:pt>
                <c:pt idx="4">
                  <c:v>1.2</c:v>
                </c:pt>
                <c:pt idx="5">
                  <c:v>1</c:v>
                </c:pt>
                <c:pt idx="6">
                  <c:v>1.2</c:v>
                </c:pt>
                <c:pt idx="7">
                  <c:v>1.1000000000000001</c:v>
                </c:pt>
                <c:pt idx="8">
                  <c:v>1.1000000000000001</c:v>
                </c:pt>
                <c:pt idx="9">
                  <c:v>1.3</c:v>
                </c:pt>
                <c:pt idx="10">
                  <c:v>1.3</c:v>
                </c:pt>
                <c:pt idx="11">
                  <c:v>0.9</c:v>
                </c:pt>
                <c:pt idx="12">
                  <c:v>1.5</c:v>
                </c:pt>
                <c:pt idx="13">
                  <c:v>1.4</c:v>
                </c:pt>
                <c:pt idx="14">
                  <c:v>1.5</c:v>
                </c:pt>
                <c:pt idx="15">
                  <c:v>1.3</c:v>
                </c:pt>
                <c:pt idx="16">
                  <c:v>1.3</c:v>
                </c:pt>
                <c:pt idx="17">
                  <c:v>1.3</c:v>
                </c:pt>
                <c:pt idx="18">
                  <c:v>1.5</c:v>
                </c:pt>
              </c:numCache>
            </c:numRef>
          </c:val>
          <c:extLst>
            <c:ext xmlns:c16="http://schemas.microsoft.com/office/drawing/2014/chart" uri="{C3380CC4-5D6E-409C-BE32-E72D297353CC}">
              <c16:uniqueId val="{00000002-DAEE-46E4-A0BD-12BD3B1D8E32}"/>
            </c:ext>
          </c:extLst>
        </c:ser>
        <c:dLbls>
          <c:showLegendKey val="0"/>
          <c:showVal val="1"/>
          <c:showCatName val="0"/>
          <c:showSerName val="0"/>
          <c:showPercent val="0"/>
          <c:showBubbleSize val="0"/>
        </c:dLbls>
        <c:gapWidth val="150"/>
        <c:shape val="box"/>
        <c:axId val="1408406351"/>
        <c:axId val="1408405391"/>
        <c:axId val="0"/>
      </c:bar3DChart>
      <c:catAx>
        <c:axId val="1408406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crossAx val="1408405391"/>
        <c:crosses val="autoZero"/>
        <c:auto val="1"/>
        <c:lblAlgn val="ctr"/>
        <c:lblOffset val="100"/>
        <c:noMultiLvlLbl val="0"/>
      </c:catAx>
      <c:valAx>
        <c:axId val="1408405391"/>
        <c:scaling>
          <c:orientation val="minMax"/>
        </c:scaling>
        <c:delete val="1"/>
        <c:axPos val="b"/>
        <c:numFmt formatCode="General" sourceLinked="1"/>
        <c:majorTickMark val="none"/>
        <c:minorTickMark val="none"/>
        <c:tickLblPos val="nextTo"/>
        <c:crossAx val="14084063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K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162</Pages>
  <Words>43621</Words>
  <Characters>248640</Characters>
  <Application>Microsoft Office Word</Application>
  <DocSecurity>0</DocSecurity>
  <Lines>2072</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Tochkin, Jeffrey [IH]</dc:creator>
  <cp:keywords/>
  <dc:description/>
  <cp:lastModifiedBy>Jeff Tochkin</cp:lastModifiedBy>
  <cp:revision>5</cp:revision>
  <dcterms:created xsi:type="dcterms:W3CDTF">2026-08-01T20:06:00Z</dcterms:created>
  <dcterms:modified xsi:type="dcterms:W3CDTF">2026-08-07T18:46:00Z</dcterms:modified>
</cp:coreProperties>
</file>