
<file path=[Content_Types].xml><?xml version="1.0" encoding="utf-8"?>
<Types xmlns="http://schemas.openxmlformats.org/package/2006/content-types">
  <Default Extension="gif" ContentType="image/gi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420E3" w:rsidRDefault="008E5528">
      <w:pPr>
        <w:widowControl w:val="0"/>
        <w:pBdr>
          <w:top w:val="nil"/>
          <w:left w:val="nil"/>
          <w:bottom w:val="nil"/>
          <w:right w:val="nil"/>
          <w:between w:val="nil"/>
        </w:pBdr>
        <w:spacing w:line="240" w:lineRule="auto"/>
        <w:ind w:right="416"/>
        <w:jc w:val="right"/>
        <w:rPr>
          <w:color w:val="000000"/>
        </w:rPr>
      </w:pPr>
      <w:r>
        <w:rPr>
          <w:noProof/>
          <w:color w:val="000000"/>
        </w:rPr>
        <w:drawing>
          <wp:inline distT="19050" distB="19050" distL="19050" distR="19050" wp14:anchorId="312E2754" wp14:editId="52A79CA1">
            <wp:extent cx="5730875" cy="1739773"/>
            <wp:effectExtent l="0" t="0" r="0" b="0"/>
            <wp:docPr id="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5730875" cy="1739773"/>
                    </a:xfrm>
                    <a:prstGeom prst="rect">
                      <a:avLst/>
                    </a:prstGeom>
                    <a:ln/>
                  </pic:spPr>
                </pic:pic>
              </a:graphicData>
            </a:graphic>
          </wp:inline>
        </w:drawing>
      </w:r>
    </w:p>
    <w:p w14:paraId="00000002" w14:textId="4106DBCB" w:rsidR="00E420E3" w:rsidRDefault="008E5528" w:rsidP="002E5535">
      <w:pPr>
        <w:widowControl w:val="0"/>
        <w:pBdr>
          <w:top w:val="nil"/>
          <w:left w:val="nil"/>
          <w:bottom w:val="nil"/>
          <w:right w:val="nil"/>
          <w:between w:val="nil"/>
        </w:pBdr>
        <w:spacing w:before="715" w:line="345" w:lineRule="auto"/>
        <w:ind w:right="-52"/>
        <w:jc w:val="center"/>
        <w:rPr>
          <w:rFonts w:eastAsia="Times New Roman" w:cs="Times New Roman"/>
          <w:b/>
          <w:bCs/>
          <w:color w:val="000000"/>
          <w:sz w:val="42"/>
          <w:szCs w:val="42"/>
        </w:rPr>
      </w:pPr>
      <w:r>
        <w:rPr>
          <w:rFonts w:eastAsia="Times New Roman" w:cs="Times New Roman"/>
          <w:b/>
          <w:bCs/>
          <w:color w:val="000000"/>
          <w:sz w:val="42"/>
          <w:szCs w:val="42"/>
        </w:rPr>
        <w:t>Genomic and transcriptomic bases of nutrient</w:t>
      </w:r>
      <w:r w:rsidR="002E5535">
        <w:rPr>
          <w:rFonts w:eastAsia="Times New Roman" w:cs="Times New Roman"/>
          <w:b/>
          <w:bCs/>
          <w:color w:val="000000"/>
          <w:sz w:val="42"/>
          <w:szCs w:val="42"/>
        </w:rPr>
        <w:t xml:space="preserve"> </w:t>
      </w:r>
      <w:r>
        <w:rPr>
          <w:rFonts w:eastAsia="Times New Roman" w:cs="Times New Roman"/>
          <w:b/>
          <w:bCs/>
          <w:color w:val="000000"/>
          <w:sz w:val="42"/>
          <w:szCs w:val="42"/>
        </w:rPr>
        <w:t>uptake in facultative and</w:t>
      </w:r>
      <w:r w:rsidR="002E5535">
        <w:rPr>
          <w:rFonts w:eastAsia="Times New Roman" w:cs="Times New Roman"/>
          <w:b/>
          <w:bCs/>
          <w:color w:val="000000"/>
          <w:sz w:val="42"/>
          <w:szCs w:val="42"/>
        </w:rPr>
        <w:t xml:space="preserve"> </w:t>
      </w:r>
      <w:r>
        <w:rPr>
          <w:rFonts w:eastAsia="Times New Roman" w:cs="Times New Roman"/>
          <w:b/>
          <w:bCs/>
          <w:color w:val="000000"/>
          <w:sz w:val="42"/>
          <w:szCs w:val="42"/>
        </w:rPr>
        <w:t xml:space="preserve">obligate </w:t>
      </w:r>
      <w:r w:rsidR="009F23E6">
        <w:rPr>
          <w:rFonts w:eastAsia="Times New Roman" w:cs="Times New Roman"/>
          <w:b/>
          <w:bCs/>
          <w:color w:val="000000"/>
          <w:sz w:val="42"/>
          <w:szCs w:val="42"/>
        </w:rPr>
        <w:t>ant-plant</w:t>
      </w:r>
      <w:r w:rsidR="002E5535">
        <w:rPr>
          <w:rFonts w:eastAsia="Times New Roman" w:cs="Times New Roman"/>
          <w:b/>
          <w:bCs/>
          <w:color w:val="000000"/>
          <w:sz w:val="42"/>
          <w:szCs w:val="42"/>
        </w:rPr>
        <w:t xml:space="preserve"> </w:t>
      </w:r>
      <w:r>
        <w:rPr>
          <w:rFonts w:eastAsia="Times New Roman" w:cs="Times New Roman"/>
          <w:b/>
          <w:bCs/>
          <w:color w:val="000000"/>
          <w:sz w:val="42"/>
          <w:szCs w:val="42"/>
        </w:rPr>
        <w:t xml:space="preserve">symbioses </w:t>
      </w:r>
    </w:p>
    <w:p w14:paraId="00000003" w14:textId="77777777" w:rsidR="00E420E3" w:rsidRDefault="008E5528">
      <w:pPr>
        <w:widowControl w:val="0"/>
        <w:pBdr>
          <w:top w:val="nil"/>
          <w:left w:val="nil"/>
          <w:bottom w:val="nil"/>
          <w:right w:val="nil"/>
          <w:between w:val="nil"/>
        </w:pBdr>
        <w:spacing w:before="350" w:line="240" w:lineRule="auto"/>
        <w:ind w:right="4778"/>
        <w:jc w:val="right"/>
        <w:rPr>
          <w:rFonts w:eastAsia="Times New Roman" w:cs="Times New Roman"/>
          <w:b/>
          <w:bCs/>
          <w:color w:val="000000"/>
          <w:sz w:val="28"/>
          <w:szCs w:val="28"/>
        </w:rPr>
      </w:pPr>
      <w:r>
        <w:rPr>
          <w:rFonts w:eastAsia="Times New Roman" w:cs="Times New Roman"/>
          <w:b/>
          <w:bCs/>
          <w:color w:val="000000"/>
          <w:sz w:val="28"/>
          <w:szCs w:val="28"/>
        </w:rPr>
        <w:t xml:space="preserve">by </w:t>
      </w:r>
    </w:p>
    <w:p w14:paraId="00000004" w14:textId="77777777" w:rsidR="00E420E3" w:rsidRDefault="008E5528">
      <w:pPr>
        <w:widowControl w:val="0"/>
        <w:pBdr>
          <w:top w:val="nil"/>
          <w:left w:val="nil"/>
          <w:bottom w:val="nil"/>
          <w:right w:val="nil"/>
          <w:between w:val="nil"/>
        </w:pBdr>
        <w:spacing w:before="1525" w:line="240" w:lineRule="auto"/>
        <w:ind w:right="2995"/>
        <w:jc w:val="right"/>
        <w:rPr>
          <w:rFonts w:eastAsia="Times New Roman" w:cs="Times New Roman"/>
          <w:b/>
          <w:bCs/>
          <w:color w:val="000000"/>
          <w:sz w:val="28"/>
          <w:szCs w:val="28"/>
        </w:rPr>
      </w:pPr>
      <w:r>
        <w:rPr>
          <w:rFonts w:eastAsia="Times New Roman" w:cs="Times New Roman"/>
          <w:b/>
          <w:bCs/>
          <w:color w:val="000000"/>
          <w:sz w:val="28"/>
          <w:szCs w:val="28"/>
        </w:rPr>
        <w:t xml:space="preserve">George William Hirons-Alecrim </w:t>
      </w:r>
    </w:p>
    <w:p w14:paraId="00000005" w14:textId="77777777" w:rsidR="00E420E3" w:rsidRDefault="008E5528">
      <w:pPr>
        <w:widowControl w:val="0"/>
        <w:pBdr>
          <w:top w:val="nil"/>
          <w:left w:val="nil"/>
          <w:bottom w:val="nil"/>
          <w:right w:val="nil"/>
          <w:between w:val="nil"/>
        </w:pBdr>
        <w:spacing w:before="1892" w:line="240" w:lineRule="auto"/>
        <w:ind w:right="3248"/>
        <w:jc w:val="right"/>
        <w:rPr>
          <w:rFonts w:eastAsia="Times New Roman" w:cs="Times New Roman"/>
          <w:b/>
          <w:bCs/>
          <w:color w:val="000000"/>
          <w:sz w:val="28"/>
          <w:szCs w:val="28"/>
        </w:rPr>
      </w:pPr>
      <w:r>
        <w:rPr>
          <w:rFonts w:eastAsia="Times New Roman" w:cs="Times New Roman"/>
          <w:b/>
          <w:bCs/>
          <w:color w:val="000000"/>
          <w:sz w:val="28"/>
          <w:szCs w:val="28"/>
        </w:rPr>
        <w:t xml:space="preserve">The University of Sheffield  </w:t>
      </w:r>
    </w:p>
    <w:p w14:paraId="00000006" w14:textId="77777777" w:rsidR="00E420E3" w:rsidRDefault="008E5528">
      <w:pPr>
        <w:widowControl w:val="0"/>
        <w:pBdr>
          <w:top w:val="nil"/>
          <w:left w:val="nil"/>
          <w:bottom w:val="nil"/>
          <w:right w:val="nil"/>
          <w:between w:val="nil"/>
        </w:pBdr>
        <w:spacing w:before="154" w:line="240" w:lineRule="auto"/>
        <w:ind w:right="3722"/>
        <w:jc w:val="right"/>
        <w:rPr>
          <w:rFonts w:eastAsia="Times New Roman" w:cs="Times New Roman"/>
          <w:b/>
          <w:bCs/>
          <w:color w:val="000000"/>
          <w:sz w:val="28"/>
          <w:szCs w:val="28"/>
        </w:rPr>
      </w:pPr>
      <w:r>
        <w:rPr>
          <w:rFonts w:eastAsia="Times New Roman" w:cs="Times New Roman"/>
          <w:b/>
          <w:bCs/>
          <w:color w:val="000000"/>
          <w:sz w:val="28"/>
          <w:szCs w:val="28"/>
        </w:rPr>
        <w:t xml:space="preserve">Faculty of Sciences  </w:t>
      </w:r>
    </w:p>
    <w:p w14:paraId="00000007" w14:textId="77777777" w:rsidR="00E420E3" w:rsidRDefault="008E5528">
      <w:pPr>
        <w:widowControl w:val="0"/>
        <w:pBdr>
          <w:top w:val="nil"/>
          <w:left w:val="nil"/>
          <w:bottom w:val="nil"/>
          <w:right w:val="nil"/>
          <w:between w:val="nil"/>
        </w:pBdr>
        <w:spacing w:before="157" w:line="240" w:lineRule="auto"/>
        <w:ind w:right="3666"/>
        <w:jc w:val="right"/>
        <w:rPr>
          <w:rFonts w:eastAsia="Times New Roman" w:cs="Times New Roman"/>
          <w:b/>
          <w:bCs/>
          <w:color w:val="000000"/>
          <w:sz w:val="28"/>
          <w:szCs w:val="28"/>
        </w:rPr>
      </w:pPr>
      <w:r>
        <w:rPr>
          <w:rFonts w:eastAsia="Times New Roman" w:cs="Times New Roman"/>
          <w:b/>
          <w:bCs/>
          <w:color w:val="000000"/>
          <w:sz w:val="28"/>
          <w:szCs w:val="28"/>
        </w:rPr>
        <w:t xml:space="preserve">School of Biosciences </w:t>
      </w:r>
    </w:p>
    <w:p w14:paraId="00000008" w14:textId="77777777" w:rsidR="00E420E3" w:rsidRDefault="008E5528">
      <w:pPr>
        <w:widowControl w:val="0"/>
        <w:pBdr>
          <w:top w:val="nil"/>
          <w:left w:val="nil"/>
          <w:bottom w:val="nil"/>
          <w:right w:val="nil"/>
          <w:between w:val="nil"/>
        </w:pBdr>
        <w:spacing w:before="1635" w:line="240" w:lineRule="auto"/>
        <w:ind w:right="4123"/>
        <w:jc w:val="right"/>
        <w:rPr>
          <w:rFonts w:eastAsia="Times New Roman" w:cs="Times New Roman"/>
          <w:b/>
          <w:bCs/>
          <w:color w:val="000000"/>
          <w:sz w:val="28"/>
          <w:szCs w:val="28"/>
        </w:rPr>
      </w:pPr>
      <w:r>
        <w:rPr>
          <w:rFonts w:eastAsia="Times New Roman" w:cs="Times New Roman"/>
          <w:b/>
          <w:bCs/>
          <w:color w:val="000000"/>
          <w:sz w:val="28"/>
          <w:szCs w:val="28"/>
        </w:rPr>
        <w:t>January 2026</w:t>
      </w:r>
    </w:p>
    <w:p w14:paraId="41152FE1" w14:textId="77777777" w:rsidR="00076F40" w:rsidRDefault="00076F40">
      <w:pPr>
        <w:widowControl w:val="0"/>
        <w:pBdr>
          <w:top w:val="nil"/>
          <w:left w:val="nil"/>
          <w:bottom w:val="nil"/>
          <w:right w:val="nil"/>
          <w:between w:val="nil"/>
        </w:pBdr>
        <w:spacing w:line="240" w:lineRule="auto"/>
        <w:ind w:left="1453"/>
        <w:rPr>
          <w:rFonts w:eastAsia="Times New Roman" w:cs="Times New Roman"/>
          <w:b/>
          <w:bCs/>
          <w:color w:val="000000"/>
          <w:sz w:val="36"/>
          <w:szCs w:val="36"/>
        </w:rPr>
        <w:sectPr w:rsidR="00076F40" w:rsidSect="00913490">
          <w:headerReference w:type="even" r:id="rId9"/>
          <w:headerReference w:type="default" r:id="rId10"/>
          <w:footerReference w:type="even" r:id="rId11"/>
          <w:footerReference w:type="default" r:id="rId12"/>
          <w:headerReference w:type="first" r:id="rId13"/>
          <w:footerReference w:type="first" r:id="rId14"/>
          <w:pgSz w:w="11900" w:h="16820"/>
          <w:pgMar w:top="1440" w:right="1440" w:bottom="1440" w:left="1440" w:header="0" w:footer="720" w:gutter="0"/>
          <w:pgNumType w:fmt="lowerRoman" w:start="1"/>
          <w:cols w:space="720"/>
          <w:docGrid w:linePitch="299"/>
        </w:sectPr>
      </w:pPr>
    </w:p>
    <w:p w14:paraId="0E5D3CC5" w14:textId="77777777" w:rsidR="00946883" w:rsidRPr="00DE520C" w:rsidRDefault="00946883" w:rsidP="00946883">
      <w:pPr>
        <w:rPr>
          <w:rFonts w:eastAsia="Times New Roman" w:cs="Times New Roman"/>
          <w:b/>
          <w:bCs/>
          <w:sz w:val="36"/>
          <w:szCs w:val="36"/>
        </w:rPr>
      </w:pPr>
      <w:r w:rsidRPr="00DE520C">
        <w:rPr>
          <w:rFonts w:eastAsia="Times New Roman" w:cs="Times New Roman"/>
          <w:b/>
          <w:bCs/>
          <w:sz w:val="36"/>
          <w:szCs w:val="36"/>
        </w:rPr>
        <w:lastRenderedPageBreak/>
        <w:t>Table of Contents</w:t>
      </w:r>
    </w:p>
    <w:p w14:paraId="79FC996A" w14:textId="77492D66" w:rsidR="00946883" w:rsidRDefault="00946883" w:rsidP="00946883">
      <w:pPr>
        <w:pStyle w:val="TOC2"/>
        <w:tabs>
          <w:tab w:val="right" w:leader="dot" w:pos="9010"/>
        </w:tabs>
        <w:spacing w:after="120" w:line="240" w:lineRule="auto"/>
        <w:rPr>
          <w:rFonts w:eastAsiaTheme="minorEastAsia" w:cstheme="minorBidi"/>
          <w:i w:val="0"/>
          <w:noProof/>
          <w:kern w:val="2"/>
          <w:sz w:val="24"/>
          <w:szCs w:val="24"/>
          <w14:ligatures w14:val="standardContextual"/>
        </w:rPr>
      </w:pPr>
      <w:r>
        <w:rPr>
          <w:rFonts w:ascii="Times New Roman" w:hAnsi="Times New Roman" w:cs="Times New Roman"/>
          <w:b/>
          <w:bCs/>
          <w:sz w:val="36"/>
          <w:szCs w:val="36"/>
        </w:rPr>
        <w:fldChar w:fldCharType="begin"/>
      </w:r>
      <w:r>
        <w:rPr>
          <w:rFonts w:ascii="Times New Roman" w:hAnsi="Times New Roman" w:cs="Times New Roman"/>
          <w:b/>
          <w:bCs/>
          <w:sz w:val="36"/>
          <w:szCs w:val="36"/>
        </w:rPr>
        <w:instrText xml:space="preserve"> TOC \o "1-4" \h \z </w:instrText>
      </w:r>
      <w:r>
        <w:rPr>
          <w:rFonts w:ascii="Times New Roman" w:hAnsi="Times New Roman" w:cs="Times New Roman"/>
          <w:b/>
          <w:bCs/>
          <w:sz w:val="36"/>
          <w:szCs w:val="36"/>
        </w:rPr>
        <w:fldChar w:fldCharType="separate"/>
      </w:r>
      <w:hyperlink w:anchor="_Toc235392949" w:history="1">
        <w:r w:rsidRPr="00271501">
          <w:rPr>
            <w:rStyle w:val="Hyperlink"/>
            <w:noProof/>
          </w:rPr>
          <w:t>Acknowledgments</w:t>
        </w:r>
        <w:r>
          <w:rPr>
            <w:noProof/>
            <w:webHidden/>
          </w:rPr>
          <w:tab/>
        </w:r>
        <w:r>
          <w:rPr>
            <w:noProof/>
            <w:webHidden/>
          </w:rPr>
          <w:fldChar w:fldCharType="begin"/>
        </w:r>
        <w:r>
          <w:rPr>
            <w:noProof/>
            <w:webHidden/>
          </w:rPr>
          <w:instrText xml:space="preserve"> PAGEREF _Toc235392949 \h </w:instrText>
        </w:r>
        <w:r>
          <w:rPr>
            <w:noProof/>
            <w:webHidden/>
          </w:rPr>
        </w:r>
        <w:r>
          <w:rPr>
            <w:noProof/>
            <w:webHidden/>
          </w:rPr>
          <w:fldChar w:fldCharType="separate"/>
        </w:r>
        <w:r w:rsidR="00B60374">
          <w:rPr>
            <w:noProof/>
            <w:webHidden/>
          </w:rPr>
          <w:t>v</w:t>
        </w:r>
        <w:r>
          <w:rPr>
            <w:noProof/>
            <w:webHidden/>
          </w:rPr>
          <w:fldChar w:fldCharType="end"/>
        </w:r>
      </w:hyperlink>
    </w:p>
    <w:p w14:paraId="6A966341" w14:textId="36A8CBF6" w:rsidR="00946883" w:rsidRDefault="00946883" w:rsidP="00946883">
      <w:pPr>
        <w:pStyle w:val="TOC2"/>
        <w:tabs>
          <w:tab w:val="right" w:leader="dot" w:pos="9010"/>
        </w:tabs>
        <w:spacing w:after="120" w:line="240" w:lineRule="auto"/>
        <w:rPr>
          <w:rFonts w:eastAsiaTheme="minorEastAsia" w:cstheme="minorBidi"/>
          <w:i w:val="0"/>
          <w:noProof/>
          <w:kern w:val="2"/>
          <w:sz w:val="24"/>
          <w:szCs w:val="24"/>
          <w14:ligatures w14:val="standardContextual"/>
        </w:rPr>
      </w:pPr>
      <w:hyperlink w:anchor="_Toc235392950" w:history="1">
        <w:r w:rsidRPr="00271501">
          <w:rPr>
            <w:rStyle w:val="Hyperlink"/>
            <w:noProof/>
          </w:rPr>
          <w:t>Thesis abstract</w:t>
        </w:r>
        <w:r>
          <w:rPr>
            <w:noProof/>
            <w:webHidden/>
          </w:rPr>
          <w:tab/>
        </w:r>
        <w:r>
          <w:rPr>
            <w:noProof/>
            <w:webHidden/>
          </w:rPr>
          <w:fldChar w:fldCharType="begin"/>
        </w:r>
        <w:r>
          <w:rPr>
            <w:noProof/>
            <w:webHidden/>
          </w:rPr>
          <w:instrText xml:space="preserve"> PAGEREF _Toc235392950 \h </w:instrText>
        </w:r>
        <w:r>
          <w:rPr>
            <w:noProof/>
            <w:webHidden/>
          </w:rPr>
        </w:r>
        <w:r>
          <w:rPr>
            <w:noProof/>
            <w:webHidden/>
          </w:rPr>
          <w:fldChar w:fldCharType="separate"/>
        </w:r>
        <w:r w:rsidR="00B60374">
          <w:rPr>
            <w:noProof/>
            <w:webHidden/>
          </w:rPr>
          <w:t>vi</w:t>
        </w:r>
        <w:r>
          <w:rPr>
            <w:noProof/>
            <w:webHidden/>
          </w:rPr>
          <w:fldChar w:fldCharType="end"/>
        </w:r>
      </w:hyperlink>
    </w:p>
    <w:p w14:paraId="266A963F" w14:textId="3D62BDE6" w:rsidR="00946883" w:rsidRDefault="00946883" w:rsidP="00946883">
      <w:pPr>
        <w:pStyle w:val="TOC1"/>
        <w:spacing w:after="120" w:line="240" w:lineRule="auto"/>
        <w:rPr>
          <w:rFonts w:eastAsiaTheme="minorEastAsia" w:cstheme="minorBidi"/>
          <w:b w:val="0"/>
          <w:bCs w:val="0"/>
          <w:kern w:val="2"/>
          <w:sz w:val="24"/>
          <w:szCs w:val="24"/>
          <w14:ligatures w14:val="standardContextual"/>
        </w:rPr>
      </w:pPr>
      <w:hyperlink w:anchor="_Toc235392951" w:history="1">
        <w:r w:rsidRPr="00271501">
          <w:rPr>
            <w:rStyle w:val="Hyperlink"/>
          </w:rPr>
          <w:t>Chapter 1. General Introduction</w:t>
        </w:r>
        <w:r>
          <w:rPr>
            <w:webHidden/>
          </w:rPr>
          <w:tab/>
        </w:r>
        <w:r>
          <w:rPr>
            <w:webHidden/>
          </w:rPr>
          <w:fldChar w:fldCharType="begin"/>
        </w:r>
        <w:r>
          <w:rPr>
            <w:webHidden/>
          </w:rPr>
          <w:instrText xml:space="preserve"> PAGEREF _Toc235392951 \h </w:instrText>
        </w:r>
        <w:r>
          <w:rPr>
            <w:webHidden/>
          </w:rPr>
        </w:r>
        <w:r>
          <w:rPr>
            <w:webHidden/>
          </w:rPr>
          <w:fldChar w:fldCharType="separate"/>
        </w:r>
        <w:r w:rsidR="00B60374">
          <w:rPr>
            <w:webHidden/>
          </w:rPr>
          <w:t>1</w:t>
        </w:r>
        <w:r>
          <w:rPr>
            <w:webHidden/>
          </w:rPr>
          <w:fldChar w:fldCharType="end"/>
        </w:r>
      </w:hyperlink>
    </w:p>
    <w:p w14:paraId="6212BC5C" w14:textId="7CBB3DD1" w:rsidR="00946883" w:rsidRDefault="00946883" w:rsidP="00946883">
      <w:pPr>
        <w:pStyle w:val="TOC2"/>
        <w:tabs>
          <w:tab w:val="right" w:leader="dot" w:pos="9010"/>
        </w:tabs>
        <w:spacing w:after="120" w:line="240" w:lineRule="auto"/>
        <w:rPr>
          <w:rFonts w:eastAsiaTheme="minorEastAsia" w:cstheme="minorBidi"/>
          <w:i w:val="0"/>
          <w:noProof/>
          <w:kern w:val="2"/>
          <w:sz w:val="24"/>
          <w:szCs w:val="24"/>
          <w14:ligatures w14:val="standardContextual"/>
        </w:rPr>
      </w:pPr>
      <w:hyperlink w:anchor="_Toc235392952" w:history="1">
        <w:r w:rsidRPr="00271501">
          <w:rPr>
            <w:rStyle w:val="Hyperlink"/>
            <w:noProof/>
          </w:rPr>
          <w:t>1. General Introduction</w:t>
        </w:r>
        <w:r>
          <w:rPr>
            <w:noProof/>
            <w:webHidden/>
          </w:rPr>
          <w:tab/>
        </w:r>
        <w:r>
          <w:rPr>
            <w:noProof/>
            <w:webHidden/>
          </w:rPr>
          <w:fldChar w:fldCharType="begin"/>
        </w:r>
        <w:r>
          <w:rPr>
            <w:noProof/>
            <w:webHidden/>
          </w:rPr>
          <w:instrText xml:space="preserve"> PAGEREF _Toc235392952 \h </w:instrText>
        </w:r>
        <w:r>
          <w:rPr>
            <w:noProof/>
            <w:webHidden/>
          </w:rPr>
        </w:r>
        <w:r>
          <w:rPr>
            <w:noProof/>
            <w:webHidden/>
          </w:rPr>
          <w:fldChar w:fldCharType="separate"/>
        </w:r>
        <w:r w:rsidR="00B60374">
          <w:rPr>
            <w:noProof/>
            <w:webHidden/>
          </w:rPr>
          <w:t>2</w:t>
        </w:r>
        <w:r>
          <w:rPr>
            <w:noProof/>
            <w:webHidden/>
          </w:rPr>
          <w:fldChar w:fldCharType="end"/>
        </w:r>
      </w:hyperlink>
    </w:p>
    <w:p w14:paraId="03D10E96" w14:textId="713A1974"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53" w:history="1">
        <w:r w:rsidRPr="00271501">
          <w:rPr>
            <w:rStyle w:val="Hyperlink"/>
            <w:noProof/>
          </w:rPr>
          <w:t>1.1 Mutualisms</w:t>
        </w:r>
        <w:r>
          <w:rPr>
            <w:noProof/>
            <w:webHidden/>
          </w:rPr>
          <w:tab/>
        </w:r>
        <w:r>
          <w:rPr>
            <w:noProof/>
            <w:webHidden/>
          </w:rPr>
          <w:fldChar w:fldCharType="begin"/>
        </w:r>
        <w:r>
          <w:rPr>
            <w:noProof/>
            <w:webHidden/>
          </w:rPr>
          <w:instrText xml:space="preserve"> PAGEREF _Toc235392953 \h </w:instrText>
        </w:r>
        <w:r>
          <w:rPr>
            <w:noProof/>
            <w:webHidden/>
          </w:rPr>
        </w:r>
        <w:r>
          <w:rPr>
            <w:noProof/>
            <w:webHidden/>
          </w:rPr>
          <w:fldChar w:fldCharType="separate"/>
        </w:r>
        <w:r w:rsidR="00B60374">
          <w:rPr>
            <w:noProof/>
            <w:webHidden/>
          </w:rPr>
          <w:t>2</w:t>
        </w:r>
        <w:r>
          <w:rPr>
            <w:noProof/>
            <w:webHidden/>
          </w:rPr>
          <w:fldChar w:fldCharType="end"/>
        </w:r>
      </w:hyperlink>
    </w:p>
    <w:p w14:paraId="062938F5" w14:textId="5F56D5BF"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54" w:history="1">
        <w:r w:rsidRPr="00271501">
          <w:rPr>
            <w:rStyle w:val="Hyperlink"/>
            <w:noProof/>
          </w:rPr>
          <w:t>1.2 The importance and diversity of ant-plant mutualisms</w:t>
        </w:r>
        <w:r>
          <w:rPr>
            <w:noProof/>
            <w:webHidden/>
          </w:rPr>
          <w:tab/>
        </w:r>
        <w:r>
          <w:rPr>
            <w:noProof/>
            <w:webHidden/>
          </w:rPr>
          <w:fldChar w:fldCharType="begin"/>
        </w:r>
        <w:r>
          <w:rPr>
            <w:noProof/>
            <w:webHidden/>
          </w:rPr>
          <w:instrText xml:space="preserve"> PAGEREF _Toc235392954 \h </w:instrText>
        </w:r>
        <w:r>
          <w:rPr>
            <w:noProof/>
            <w:webHidden/>
          </w:rPr>
        </w:r>
        <w:r>
          <w:rPr>
            <w:noProof/>
            <w:webHidden/>
          </w:rPr>
          <w:fldChar w:fldCharType="separate"/>
        </w:r>
        <w:r w:rsidR="00B60374">
          <w:rPr>
            <w:noProof/>
            <w:webHidden/>
          </w:rPr>
          <w:t>3</w:t>
        </w:r>
        <w:r>
          <w:rPr>
            <w:noProof/>
            <w:webHidden/>
          </w:rPr>
          <w:fldChar w:fldCharType="end"/>
        </w:r>
      </w:hyperlink>
    </w:p>
    <w:p w14:paraId="767AC5C6" w14:textId="2B250379"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55" w:history="1">
        <w:r w:rsidRPr="00271501">
          <w:rPr>
            <w:rStyle w:val="Hyperlink"/>
            <w:noProof/>
          </w:rPr>
          <w:t>1.3 Mutualistic dependence</w:t>
        </w:r>
        <w:r>
          <w:rPr>
            <w:noProof/>
            <w:webHidden/>
          </w:rPr>
          <w:tab/>
        </w:r>
        <w:r>
          <w:rPr>
            <w:noProof/>
            <w:webHidden/>
          </w:rPr>
          <w:fldChar w:fldCharType="begin"/>
        </w:r>
        <w:r>
          <w:rPr>
            <w:noProof/>
            <w:webHidden/>
          </w:rPr>
          <w:instrText xml:space="preserve"> PAGEREF _Toc235392955 \h </w:instrText>
        </w:r>
        <w:r>
          <w:rPr>
            <w:noProof/>
            <w:webHidden/>
          </w:rPr>
        </w:r>
        <w:r>
          <w:rPr>
            <w:noProof/>
            <w:webHidden/>
          </w:rPr>
          <w:fldChar w:fldCharType="separate"/>
        </w:r>
        <w:r w:rsidR="00B60374">
          <w:rPr>
            <w:noProof/>
            <w:webHidden/>
          </w:rPr>
          <w:t>6</w:t>
        </w:r>
        <w:r>
          <w:rPr>
            <w:noProof/>
            <w:webHidden/>
          </w:rPr>
          <w:fldChar w:fldCharType="end"/>
        </w:r>
      </w:hyperlink>
    </w:p>
    <w:p w14:paraId="5F0234AA" w14:textId="73D5F718"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56" w:history="1">
        <w:r w:rsidRPr="00271501">
          <w:rPr>
            <w:rStyle w:val="Hyperlink"/>
            <w:noProof/>
          </w:rPr>
          <w:t>1.4 Genomic studies of mutualism</w:t>
        </w:r>
        <w:r>
          <w:rPr>
            <w:noProof/>
            <w:webHidden/>
          </w:rPr>
          <w:tab/>
        </w:r>
        <w:r>
          <w:rPr>
            <w:noProof/>
            <w:webHidden/>
          </w:rPr>
          <w:fldChar w:fldCharType="begin"/>
        </w:r>
        <w:r>
          <w:rPr>
            <w:noProof/>
            <w:webHidden/>
          </w:rPr>
          <w:instrText xml:space="preserve"> PAGEREF _Toc235392956 \h </w:instrText>
        </w:r>
        <w:r>
          <w:rPr>
            <w:noProof/>
            <w:webHidden/>
          </w:rPr>
        </w:r>
        <w:r>
          <w:rPr>
            <w:noProof/>
            <w:webHidden/>
          </w:rPr>
          <w:fldChar w:fldCharType="separate"/>
        </w:r>
        <w:r w:rsidR="00B60374">
          <w:rPr>
            <w:noProof/>
            <w:webHidden/>
          </w:rPr>
          <w:t>7</w:t>
        </w:r>
        <w:r>
          <w:rPr>
            <w:noProof/>
            <w:webHidden/>
          </w:rPr>
          <w:fldChar w:fldCharType="end"/>
        </w:r>
      </w:hyperlink>
    </w:p>
    <w:p w14:paraId="72AB41C9" w14:textId="774E2DF0"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57" w:history="1">
        <w:r w:rsidRPr="00271501">
          <w:rPr>
            <w:rStyle w:val="Hyperlink"/>
            <w:noProof/>
          </w:rPr>
          <w:t>1.5 Hydnophytinae</w:t>
        </w:r>
        <w:r>
          <w:rPr>
            <w:noProof/>
            <w:webHidden/>
          </w:rPr>
          <w:tab/>
        </w:r>
        <w:r>
          <w:rPr>
            <w:noProof/>
            <w:webHidden/>
          </w:rPr>
          <w:fldChar w:fldCharType="begin"/>
        </w:r>
        <w:r>
          <w:rPr>
            <w:noProof/>
            <w:webHidden/>
          </w:rPr>
          <w:instrText xml:space="preserve"> PAGEREF _Toc235392957 \h </w:instrText>
        </w:r>
        <w:r>
          <w:rPr>
            <w:noProof/>
            <w:webHidden/>
          </w:rPr>
        </w:r>
        <w:r>
          <w:rPr>
            <w:noProof/>
            <w:webHidden/>
          </w:rPr>
          <w:fldChar w:fldCharType="separate"/>
        </w:r>
        <w:r w:rsidR="00B60374">
          <w:rPr>
            <w:noProof/>
            <w:webHidden/>
          </w:rPr>
          <w:t>10</w:t>
        </w:r>
        <w:r>
          <w:rPr>
            <w:noProof/>
            <w:webHidden/>
          </w:rPr>
          <w:fldChar w:fldCharType="end"/>
        </w:r>
      </w:hyperlink>
    </w:p>
    <w:p w14:paraId="2F07A8AB" w14:textId="5A50C3F1"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58" w:history="1">
        <w:r w:rsidRPr="00271501">
          <w:rPr>
            <w:rStyle w:val="Hyperlink"/>
            <w:noProof/>
          </w:rPr>
          <w:t>1.6 Thesis aims</w:t>
        </w:r>
        <w:r>
          <w:rPr>
            <w:noProof/>
            <w:webHidden/>
          </w:rPr>
          <w:tab/>
        </w:r>
        <w:r>
          <w:rPr>
            <w:noProof/>
            <w:webHidden/>
          </w:rPr>
          <w:fldChar w:fldCharType="begin"/>
        </w:r>
        <w:r>
          <w:rPr>
            <w:noProof/>
            <w:webHidden/>
          </w:rPr>
          <w:instrText xml:space="preserve"> PAGEREF _Toc235392958 \h </w:instrText>
        </w:r>
        <w:r>
          <w:rPr>
            <w:noProof/>
            <w:webHidden/>
          </w:rPr>
        </w:r>
        <w:r>
          <w:rPr>
            <w:noProof/>
            <w:webHidden/>
          </w:rPr>
          <w:fldChar w:fldCharType="separate"/>
        </w:r>
        <w:r w:rsidR="00B60374">
          <w:rPr>
            <w:noProof/>
            <w:webHidden/>
          </w:rPr>
          <w:t>12</w:t>
        </w:r>
        <w:r>
          <w:rPr>
            <w:noProof/>
            <w:webHidden/>
          </w:rPr>
          <w:fldChar w:fldCharType="end"/>
        </w:r>
      </w:hyperlink>
    </w:p>
    <w:p w14:paraId="53DE6A48" w14:textId="0F421F80"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59" w:history="1">
        <w:r w:rsidRPr="00271501">
          <w:rPr>
            <w:rStyle w:val="Hyperlink"/>
            <w:noProof/>
          </w:rPr>
          <w:t>1.7 References</w:t>
        </w:r>
        <w:r>
          <w:rPr>
            <w:noProof/>
            <w:webHidden/>
          </w:rPr>
          <w:tab/>
        </w:r>
        <w:r>
          <w:rPr>
            <w:noProof/>
            <w:webHidden/>
          </w:rPr>
          <w:fldChar w:fldCharType="begin"/>
        </w:r>
        <w:r>
          <w:rPr>
            <w:noProof/>
            <w:webHidden/>
          </w:rPr>
          <w:instrText xml:space="preserve"> PAGEREF _Toc235392959 \h </w:instrText>
        </w:r>
        <w:r>
          <w:rPr>
            <w:noProof/>
            <w:webHidden/>
          </w:rPr>
        </w:r>
        <w:r>
          <w:rPr>
            <w:noProof/>
            <w:webHidden/>
          </w:rPr>
          <w:fldChar w:fldCharType="separate"/>
        </w:r>
        <w:r w:rsidR="00B60374">
          <w:rPr>
            <w:noProof/>
            <w:webHidden/>
          </w:rPr>
          <w:t>14</w:t>
        </w:r>
        <w:r>
          <w:rPr>
            <w:noProof/>
            <w:webHidden/>
          </w:rPr>
          <w:fldChar w:fldCharType="end"/>
        </w:r>
      </w:hyperlink>
    </w:p>
    <w:p w14:paraId="16A034E9" w14:textId="466B34E3" w:rsidR="00946883" w:rsidRDefault="00946883" w:rsidP="00946883">
      <w:pPr>
        <w:pStyle w:val="TOC1"/>
        <w:spacing w:after="120" w:line="240" w:lineRule="auto"/>
        <w:rPr>
          <w:rFonts w:eastAsiaTheme="minorEastAsia" w:cstheme="minorBidi"/>
          <w:b w:val="0"/>
          <w:bCs w:val="0"/>
          <w:kern w:val="2"/>
          <w:sz w:val="24"/>
          <w:szCs w:val="24"/>
          <w14:ligatures w14:val="standardContextual"/>
        </w:rPr>
      </w:pPr>
      <w:hyperlink w:anchor="_Toc235392960" w:history="1">
        <w:r w:rsidRPr="00271501">
          <w:rPr>
            <w:rStyle w:val="Hyperlink"/>
            <w:rFonts w:eastAsia="Times New Roman" w:cs="Times New Roman"/>
          </w:rPr>
          <w:t>Chapter 2. Building the whole genome framework for the study of experimental ant-plant symbioses</w:t>
        </w:r>
        <w:r>
          <w:rPr>
            <w:webHidden/>
          </w:rPr>
          <w:tab/>
        </w:r>
        <w:r>
          <w:rPr>
            <w:webHidden/>
          </w:rPr>
          <w:fldChar w:fldCharType="begin"/>
        </w:r>
        <w:r>
          <w:rPr>
            <w:webHidden/>
          </w:rPr>
          <w:instrText xml:space="preserve"> PAGEREF _Toc235392960 \h </w:instrText>
        </w:r>
        <w:r>
          <w:rPr>
            <w:webHidden/>
          </w:rPr>
        </w:r>
        <w:r>
          <w:rPr>
            <w:webHidden/>
          </w:rPr>
          <w:fldChar w:fldCharType="separate"/>
        </w:r>
        <w:r w:rsidR="00B60374">
          <w:rPr>
            <w:webHidden/>
          </w:rPr>
          <w:t>21</w:t>
        </w:r>
        <w:r>
          <w:rPr>
            <w:webHidden/>
          </w:rPr>
          <w:fldChar w:fldCharType="end"/>
        </w:r>
      </w:hyperlink>
    </w:p>
    <w:p w14:paraId="1B1A7F93" w14:textId="0A85FF46"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61" w:history="1">
        <w:r w:rsidRPr="00271501">
          <w:rPr>
            <w:rStyle w:val="Hyperlink"/>
            <w:noProof/>
          </w:rPr>
          <w:t>2.1 Abstract</w:t>
        </w:r>
        <w:r>
          <w:rPr>
            <w:noProof/>
            <w:webHidden/>
          </w:rPr>
          <w:tab/>
        </w:r>
        <w:r>
          <w:rPr>
            <w:noProof/>
            <w:webHidden/>
          </w:rPr>
          <w:fldChar w:fldCharType="begin"/>
        </w:r>
        <w:r>
          <w:rPr>
            <w:noProof/>
            <w:webHidden/>
          </w:rPr>
          <w:instrText xml:space="preserve"> PAGEREF _Toc235392961 \h </w:instrText>
        </w:r>
        <w:r>
          <w:rPr>
            <w:noProof/>
            <w:webHidden/>
          </w:rPr>
        </w:r>
        <w:r>
          <w:rPr>
            <w:noProof/>
            <w:webHidden/>
          </w:rPr>
          <w:fldChar w:fldCharType="separate"/>
        </w:r>
        <w:r w:rsidR="00B60374">
          <w:rPr>
            <w:noProof/>
            <w:webHidden/>
          </w:rPr>
          <w:t>23</w:t>
        </w:r>
        <w:r>
          <w:rPr>
            <w:noProof/>
            <w:webHidden/>
          </w:rPr>
          <w:fldChar w:fldCharType="end"/>
        </w:r>
      </w:hyperlink>
    </w:p>
    <w:p w14:paraId="629CF554" w14:textId="16668EFD"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62" w:history="1">
        <w:r w:rsidRPr="00271501">
          <w:rPr>
            <w:rStyle w:val="Hyperlink"/>
            <w:noProof/>
          </w:rPr>
          <w:t>2.2 Introduction</w:t>
        </w:r>
        <w:r>
          <w:rPr>
            <w:noProof/>
            <w:webHidden/>
          </w:rPr>
          <w:tab/>
        </w:r>
        <w:r>
          <w:rPr>
            <w:noProof/>
            <w:webHidden/>
          </w:rPr>
          <w:fldChar w:fldCharType="begin"/>
        </w:r>
        <w:r>
          <w:rPr>
            <w:noProof/>
            <w:webHidden/>
          </w:rPr>
          <w:instrText xml:space="preserve"> PAGEREF _Toc235392962 \h </w:instrText>
        </w:r>
        <w:r>
          <w:rPr>
            <w:noProof/>
            <w:webHidden/>
          </w:rPr>
        </w:r>
        <w:r>
          <w:rPr>
            <w:noProof/>
            <w:webHidden/>
          </w:rPr>
          <w:fldChar w:fldCharType="separate"/>
        </w:r>
        <w:r w:rsidR="00B60374">
          <w:rPr>
            <w:noProof/>
            <w:webHidden/>
          </w:rPr>
          <w:t>24</w:t>
        </w:r>
        <w:r>
          <w:rPr>
            <w:noProof/>
            <w:webHidden/>
          </w:rPr>
          <w:fldChar w:fldCharType="end"/>
        </w:r>
      </w:hyperlink>
    </w:p>
    <w:p w14:paraId="3A7C89EF" w14:textId="5DD55108"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63" w:history="1">
        <w:r w:rsidRPr="00271501">
          <w:rPr>
            <w:rStyle w:val="Hyperlink"/>
            <w:noProof/>
          </w:rPr>
          <w:t>2.3 Materials and methods</w:t>
        </w:r>
        <w:r>
          <w:rPr>
            <w:noProof/>
            <w:webHidden/>
          </w:rPr>
          <w:tab/>
        </w:r>
        <w:r>
          <w:rPr>
            <w:noProof/>
            <w:webHidden/>
          </w:rPr>
          <w:fldChar w:fldCharType="begin"/>
        </w:r>
        <w:r>
          <w:rPr>
            <w:noProof/>
            <w:webHidden/>
          </w:rPr>
          <w:instrText xml:space="preserve"> PAGEREF _Toc235392963 \h </w:instrText>
        </w:r>
        <w:r>
          <w:rPr>
            <w:noProof/>
            <w:webHidden/>
          </w:rPr>
        </w:r>
        <w:r>
          <w:rPr>
            <w:noProof/>
            <w:webHidden/>
          </w:rPr>
          <w:fldChar w:fldCharType="separate"/>
        </w:r>
        <w:r w:rsidR="00B60374">
          <w:rPr>
            <w:noProof/>
            <w:webHidden/>
          </w:rPr>
          <w:t>26</w:t>
        </w:r>
        <w:r>
          <w:rPr>
            <w:noProof/>
            <w:webHidden/>
          </w:rPr>
          <w:fldChar w:fldCharType="end"/>
        </w:r>
      </w:hyperlink>
    </w:p>
    <w:p w14:paraId="56C4574F" w14:textId="1C49A893"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64" w:history="1">
        <w:r w:rsidRPr="00271501">
          <w:rPr>
            <w:rStyle w:val="Hyperlink"/>
            <w:noProof/>
          </w:rPr>
          <w:t>2.3.1 Sampling and high molecular weight DNA extraction</w:t>
        </w:r>
        <w:r>
          <w:rPr>
            <w:noProof/>
            <w:webHidden/>
          </w:rPr>
          <w:tab/>
        </w:r>
        <w:r>
          <w:rPr>
            <w:noProof/>
            <w:webHidden/>
          </w:rPr>
          <w:fldChar w:fldCharType="begin"/>
        </w:r>
        <w:r>
          <w:rPr>
            <w:noProof/>
            <w:webHidden/>
          </w:rPr>
          <w:instrText xml:space="preserve"> PAGEREF _Toc235392964 \h </w:instrText>
        </w:r>
        <w:r>
          <w:rPr>
            <w:noProof/>
            <w:webHidden/>
          </w:rPr>
        </w:r>
        <w:r>
          <w:rPr>
            <w:noProof/>
            <w:webHidden/>
          </w:rPr>
          <w:fldChar w:fldCharType="separate"/>
        </w:r>
        <w:r w:rsidR="00B60374">
          <w:rPr>
            <w:noProof/>
            <w:webHidden/>
          </w:rPr>
          <w:t>26</w:t>
        </w:r>
        <w:r>
          <w:rPr>
            <w:noProof/>
            <w:webHidden/>
          </w:rPr>
          <w:fldChar w:fldCharType="end"/>
        </w:r>
      </w:hyperlink>
    </w:p>
    <w:p w14:paraId="45566876" w14:textId="0C118DF1"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65" w:history="1">
        <w:r w:rsidRPr="00271501">
          <w:rPr>
            <w:rStyle w:val="Hyperlink"/>
            <w:noProof/>
          </w:rPr>
          <w:t>2.3.2 Genome sequencing</w:t>
        </w:r>
        <w:r>
          <w:rPr>
            <w:noProof/>
            <w:webHidden/>
          </w:rPr>
          <w:tab/>
        </w:r>
        <w:r>
          <w:rPr>
            <w:noProof/>
            <w:webHidden/>
          </w:rPr>
          <w:fldChar w:fldCharType="begin"/>
        </w:r>
        <w:r>
          <w:rPr>
            <w:noProof/>
            <w:webHidden/>
          </w:rPr>
          <w:instrText xml:space="preserve"> PAGEREF _Toc235392965 \h </w:instrText>
        </w:r>
        <w:r>
          <w:rPr>
            <w:noProof/>
            <w:webHidden/>
          </w:rPr>
        </w:r>
        <w:r>
          <w:rPr>
            <w:noProof/>
            <w:webHidden/>
          </w:rPr>
          <w:fldChar w:fldCharType="separate"/>
        </w:r>
        <w:r w:rsidR="00B60374">
          <w:rPr>
            <w:noProof/>
            <w:webHidden/>
          </w:rPr>
          <w:t>26</w:t>
        </w:r>
        <w:r>
          <w:rPr>
            <w:noProof/>
            <w:webHidden/>
          </w:rPr>
          <w:fldChar w:fldCharType="end"/>
        </w:r>
      </w:hyperlink>
    </w:p>
    <w:p w14:paraId="1EF24CE3" w14:textId="3FCE1667"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66" w:history="1">
        <w:r w:rsidRPr="00271501">
          <w:rPr>
            <w:rStyle w:val="Hyperlink"/>
            <w:noProof/>
          </w:rPr>
          <w:t>2.3.3 Genome assembly</w:t>
        </w:r>
        <w:r>
          <w:rPr>
            <w:noProof/>
            <w:webHidden/>
          </w:rPr>
          <w:tab/>
        </w:r>
        <w:r>
          <w:rPr>
            <w:noProof/>
            <w:webHidden/>
          </w:rPr>
          <w:fldChar w:fldCharType="begin"/>
        </w:r>
        <w:r>
          <w:rPr>
            <w:noProof/>
            <w:webHidden/>
          </w:rPr>
          <w:instrText xml:space="preserve"> PAGEREF _Toc235392966 \h </w:instrText>
        </w:r>
        <w:r>
          <w:rPr>
            <w:noProof/>
            <w:webHidden/>
          </w:rPr>
        </w:r>
        <w:r>
          <w:rPr>
            <w:noProof/>
            <w:webHidden/>
          </w:rPr>
          <w:fldChar w:fldCharType="separate"/>
        </w:r>
        <w:r w:rsidR="00B60374">
          <w:rPr>
            <w:noProof/>
            <w:webHidden/>
          </w:rPr>
          <w:t>27</w:t>
        </w:r>
        <w:r>
          <w:rPr>
            <w:noProof/>
            <w:webHidden/>
          </w:rPr>
          <w:fldChar w:fldCharType="end"/>
        </w:r>
      </w:hyperlink>
    </w:p>
    <w:p w14:paraId="507C6805" w14:textId="11A64687"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67" w:history="1">
        <w:r w:rsidRPr="00271501">
          <w:rPr>
            <w:rStyle w:val="Hyperlink"/>
            <w:noProof/>
          </w:rPr>
          <w:t>2.3.4 Flow Cytometry Analysis</w:t>
        </w:r>
        <w:r>
          <w:rPr>
            <w:noProof/>
            <w:webHidden/>
          </w:rPr>
          <w:tab/>
        </w:r>
        <w:r>
          <w:rPr>
            <w:noProof/>
            <w:webHidden/>
          </w:rPr>
          <w:fldChar w:fldCharType="begin"/>
        </w:r>
        <w:r>
          <w:rPr>
            <w:noProof/>
            <w:webHidden/>
          </w:rPr>
          <w:instrText xml:space="preserve"> PAGEREF _Toc235392967 \h </w:instrText>
        </w:r>
        <w:r>
          <w:rPr>
            <w:noProof/>
            <w:webHidden/>
          </w:rPr>
        </w:r>
        <w:r>
          <w:rPr>
            <w:noProof/>
            <w:webHidden/>
          </w:rPr>
          <w:fldChar w:fldCharType="separate"/>
        </w:r>
        <w:r w:rsidR="00B60374">
          <w:rPr>
            <w:noProof/>
            <w:webHidden/>
          </w:rPr>
          <w:t>27</w:t>
        </w:r>
        <w:r>
          <w:rPr>
            <w:noProof/>
            <w:webHidden/>
          </w:rPr>
          <w:fldChar w:fldCharType="end"/>
        </w:r>
      </w:hyperlink>
    </w:p>
    <w:p w14:paraId="4FAF7390" w14:textId="598B9781"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68" w:history="1">
        <w:r w:rsidRPr="00271501">
          <w:rPr>
            <w:rStyle w:val="Hyperlink"/>
            <w:noProof/>
          </w:rPr>
          <w:t>2.3.5 GenomeScope Analysis</w:t>
        </w:r>
        <w:r>
          <w:rPr>
            <w:noProof/>
            <w:webHidden/>
          </w:rPr>
          <w:tab/>
        </w:r>
        <w:r>
          <w:rPr>
            <w:noProof/>
            <w:webHidden/>
          </w:rPr>
          <w:fldChar w:fldCharType="begin"/>
        </w:r>
        <w:r>
          <w:rPr>
            <w:noProof/>
            <w:webHidden/>
          </w:rPr>
          <w:instrText xml:space="preserve"> PAGEREF _Toc235392968 \h </w:instrText>
        </w:r>
        <w:r>
          <w:rPr>
            <w:noProof/>
            <w:webHidden/>
          </w:rPr>
        </w:r>
        <w:r>
          <w:rPr>
            <w:noProof/>
            <w:webHidden/>
          </w:rPr>
          <w:fldChar w:fldCharType="separate"/>
        </w:r>
        <w:r w:rsidR="00B60374">
          <w:rPr>
            <w:noProof/>
            <w:webHidden/>
          </w:rPr>
          <w:t>27</w:t>
        </w:r>
        <w:r>
          <w:rPr>
            <w:noProof/>
            <w:webHidden/>
          </w:rPr>
          <w:fldChar w:fldCharType="end"/>
        </w:r>
      </w:hyperlink>
    </w:p>
    <w:p w14:paraId="18F13CCC" w14:textId="7AA5192A"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69" w:history="1">
        <w:r w:rsidRPr="00271501">
          <w:rPr>
            <w:rStyle w:val="Hyperlink"/>
            <w:noProof/>
          </w:rPr>
          <w:t>2.3.6 Reducing Genome Redundancy</w:t>
        </w:r>
        <w:r>
          <w:rPr>
            <w:noProof/>
            <w:webHidden/>
          </w:rPr>
          <w:tab/>
        </w:r>
        <w:r>
          <w:rPr>
            <w:noProof/>
            <w:webHidden/>
          </w:rPr>
          <w:fldChar w:fldCharType="begin"/>
        </w:r>
        <w:r>
          <w:rPr>
            <w:noProof/>
            <w:webHidden/>
          </w:rPr>
          <w:instrText xml:space="preserve"> PAGEREF _Toc235392969 \h </w:instrText>
        </w:r>
        <w:r>
          <w:rPr>
            <w:noProof/>
            <w:webHidden/>
          </w:rPr>
        </w:r>
        <w:r>
          <w:rPr>
            <w:noProof/>
            <w:webHidden/>
          </w:rPr>
          <w:fldChar w:fldCharType="separate"/>
        </w:r>
        <w:r w:rsidR="00B60374">
          <w:rPr>
            <w:noProof/>
            <w:webHidden/>
          </w:rPr>
          <w:t>27</w:t>
        </w:r>
        <w:r>
          <w:rPr>
            <w:noProof/>
            <w:webHidden/>
          </w:rPr>
          <w:fldChar w:fldCharType="end"/>
        </w:r>
      </w:hyperlink>
    </w:p>
    <w:p w14:paraId="79B61DA5" w14:textId="20BA9DD8"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70" w:history="1">
        <w:r w:rsidRPr="00271501">
          <w:rPr>
            <w:rStyle w:val="Hyperlink"/>
            <w:noProof/>
          </w:rPr>
          <w:t>2.3.7 Candidate Nitrogen gene confirmation</w:t>
        </w:r>
        <w:r>
          <w:rPr>
            <w:noProof/>
            <w:webHidden/>
          </w:rPr>
          <w:tab/>
        </w:r>
        <w:r>
          <w:rPr>
            <w:noProof/>
            <w:webHidden/>
          </w:rPr>
          <w:fldChar w:fldCharType="begin"/>
        </w:r>
        <w:r>
          <w:rPr>
            <w:noProof/>
            <w:webHidden/>
          </w:rPr>
          <w:instrText xml:space="preserve"> PAGEREF _Toc235392970 \h </w:instrText>
        </w:r>
        <w:r>
          <w:rPr>
            <w:noProof/>
            <w:webHidden/>
          </w:rPr>
        </w:r>
        <w:r>
          <w:rPr>
            <w:noProof/>
            <w:webHidden/>
          </w:rPr>
          <w:fldChar w:fldCharType="separate"/>
        </w:r>
        <w:r w:rsidR="00B60374">
          <w:rPr>
            <w:noProof/>
            <w:webHidden/>
          </w:rPr>
          <w:t>28</w:t>
        </w:r>
        <w:r>
          <w:rPr>
            <w:noProof/>
            <w:webHidden/>
          </w:rPr>
          <w:fldChar w:fldCharType="end"/>
        </w:r>
      </w:hyperlink>
    </w:p>
    <w:p w14:paraId="5A9C4457" w14:textId="3AF9CB15"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71" w:history="1">
        <w:r w:rsidRPr="00271501">
          <w:rPr>
            <w:rStyle w:val="Hyperlink"/>
            <w:noProof/>
          </w:rPr>
          <w:t>2.3.8 Gene Prediction</w:t>
        </w:r>
        <w:r>
          <w:rPr>
            <w:noProof/>
            <w:webHidden/>
          </w:rPr>
          <w:tab/>
        </w:r>
        <w:r>
          <w:rPr>
            <w:noProof/>
            <w:webHidden/>
          </w:rPr>
          <w:fldChar w:fldCharType="begin"/>
        </w:r>
        <w:r>
          <w:rPr>
            <w:noProof/>
            <w:webHidden/>
          </w:rPr>
          <w:instrText xml:space="preserve"> PAGEREF _Toc235392971 \h </w:instrText>
        </w:r>
        <w:r>
          <w:rPr>
            <w:noProof/>
            <w:webHidden/>
          </w:rPr>
        </w:r>
        <w:r>
          <w:rPr>
            <w:noProof/>
            <w:webHidden/>
          </w:rPr>
          <w:fldChar w:fldCharType="separate"/>
        </w:r>
        <w:r w:rsidR="00B60374">
          <w:rPr>
            <w:noProof/>
            <w:webHidden/>
          </w:rPr>
          <w:t>28</w:t>
        </w:r>
        <w:r>
          <w:rPr>
            <w:noProof/>
            <w:webHidden/>
          </w:rPr>
          <w:fldChar w:fldCharType="end"/>
        </w:r>
      </w:hyperlink>
    </w:p>
    <w:p w14:paraId="37F6B21F" w14:textId="499C2714"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72" w:history="1">
        <w:r w:rsidRPr="00271501">
          <w:rPr>
            <w:rStyle w:val="Hyperlink"/>
            <w:noProof/>
          </w:rPr>
          <w:t>2.3.9 Functional Annotation</w:t>
        </w:r>
        <w:r>
          <w:rPr>
            <w:noProof/>
            <w:webHidden/>
          </w:rPr>
          <w:tab/>
        </w:r>
        <w:r>
          <w:rPr>
            <w:noProof/>
            <w:webHidden/>
          </w:rPr>
          <w:fldChar w:fldCharType="begin"/>
        </w:r>
        <w:r>
          <w:rPr>
            <w:noProof/>
            <w:webHidden/>
          </w:rPr>
          <w:instrText xml:space="preserve"> PAGEREF _Toc235392972 \h </w:instrText>
        </w:r>
        <w:r>
          <w:rPr>
            <w:noProof/>
            <w:webHidden/>
          </w:rPr>
        </w:r>
        <w:r>
          <w:rPr>
            <w:noProof/>
            <w:webHidden/>
          </w:rPr>
          <w:fldChar w:fldCharType="separate"/>
        </w:r>
        <w:r w:rsidR="00B60374">
          <w:rPr>
            <w:noProof/>
            <w:webHidden/>
          </w:rPr>
          <w:t>28</w:t>
        </w:r>
        <w:r>
          <w:rPr>
            <w:noProof/>
            <w:webHidden/>
          </w:rPr>
          <w:fldChar w:fldCharType="end"/>
        </w:r>
      </w:hyperlink>
    </w:p>
    <w:p w14:paraId="0E1C140D" w14:textId="7D257BAA"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73" w:history="1">
        <w:r w:rsidRPr="00271501">
          <w:rPr>
            <w:rStyle w:val="Hyperlink"/>
            <w:noProof/>
          </w:rPr>
          <w:t>2.3.10 Characterisation of Gene Duplication</w:t>
        </w:r>
        <w:r>
          <w:rPr>
            <w:noProof/>
            <w:webHidden/>
          </w:rPr>
          <w:tab/>
        </w:r>
        <w:r>
          <w:rPr>
            <w:noProof/>
            <w:webHidden/>
          </w:rPr>
          <w:fldChar w:fldCharType="begin"/>
        </w:r>
        <w:r>
          <w:rPr>
            <w:noProof/>
            <w:webHidden/>
          </w:rPr>
          <w:instrText xml:space="preserve"> PAGEREF _Toc235392973 \h </w:instrText>
        </w:r>
        <w:r>
          <w:rPr>
            <w:noProof/>
            <w:webHidden/>
          </w:rPr>
        </w:r>
        <w:r>
          <w:rPr>
            <w:noProof/>
            <w:webHidden/>
          </w:rPr>
          <w:fldChar w:fldCharType="separate"/>
        </w:r>
        <w:r w:rsidR="00B60374">
          <w:rPr>
            <w:noProof/>
            <w:webHidden/>
          </w:rPr>
          <w:t>29</w:t>
        </w:r>
        <w:r>
          <w:rPr>
            <w:noProof/>
            <w:webHidden/>
          </w:rPr>
          <w:fldChar w:fldCharType="end"/>
        </w:r>
      </w:hyperlink>
    </w:p>
    <w:p w14:paraId="6639E075" w14:textId="1E5A889C"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74" w:history="1">
        <w:r w:rsidRPr="00271501">
          <w:rPr>
            <w:rStyle w:val="Hyperlink"/>
            <w:noProof/>
          </w:rPr>
          <w:t>2.4 Results</w:t>
        </w:r>
        <w:r>
          <w:rPr>
            <w:noProof/>
            <w:webHidden/>
          </w:rPr>
          <w:tab/>
        </w:r>
        <w:r>
          <w:rPr>
            <w:noProof/>
            <w:webHidden/>
          </w:rPr>
          <w:fldChar w:fldCharType="begin"/>
        </w:r>
        <w:r>
          <w:rPr>
            <w:noProof/>
            <w:webHidden/>
          </w:rPr>
          <w:instrText xml:space="preserve"> PAGEREF _Toc235392974 \h </w:instrText>
        </w:r>
        <w:r>
          <w:rPr>
            <w:noProof/>
            <w:webHidden/>
          </w:rPr>
        </w:r>
        <w:r>
          <w:rPr>
            <w:noProof/>
            <w:webHidden/>
          </w:rPr>
          <w:fldChar w:fldCharType="separate"/>
        </w:r>
        <w:r w:rsidR="00B60374">
          <w:rPr>
            <w:noProof/>
            <w:webHidden/>
          </w:rPr>
          <w:t>29</w:t>
        </w:r>
        <w:r>
          <w:rPr>
            <w:noProof/>
            <w:webHidden/>
          </w:rPr>
          <w:fldChar w:fldCharType="end"/>
        </w:r>
      </w:hyperlink>
    </w:p>
    <w:p w14:paraId="5564C903" w14:textId="372520A9"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75" w:history="1">
        <w:r w:rsidRPr="00271501">
          <w:rPr>
            <w:rStyle w:val="Hyperlink"/>
            <w:noProof/>
          </w:rPr>
          <w:t>2.4.1 Genome size estimation and ploidy</w:t>
        </w:r>
        <w:r>
          <w:rPr>
            <w:noProof/>
            <w:webHidden/>
          </w:rPr>
          <w:tab/>
        </w:r>
        <w:r>
          <w:rPr>
            <w:noProof/>
            <w:webHidden/>
          </w:rPr>
          <w:fldChar w:fldCharType="begin"/>
        </w:r>
        <w:r>
          <w:rPr>
            <w:noProof/>
            <w:webHidden/>
          </w:rPr>
          <w:instrText xml:space="preserve"> PAGEREF _Toc235392975 \h </w:instrText>
        </w:r>
        <w:r>
          <w:rPr>
            <w:noProof/>
            <w:webHidden/>
          </w:rPr>
        </w:r>
        <w:r>
          <w:rPr>
            <w:noProof/>
            <w:webHidden/>
          </w:rPr>
          <w:fldChar w:fldCharType="separate"/>
        </w:r>
        <w:r w:rsidR="00B60374">
          <w:rPr>
            <w:noProof/>
            <w:webHidden/>
          </w:rPr>
          <w:t>29</w:t>
        </w:r>
        <w:r>
          <w:rPr>
            <w:noProof/>
            <w:webHidden/>
          </w:rPr>
          <w:fldChar w:fldCharType="end"/>
        </w:r>
      </w:hyperlink>
    </w:p>
    <w:p w14:paraId="16805022" w14:textId="6604E0F5"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76" w:history="1">
        <w:r w:rsidRPr="00271501">
          <w:rPr>
            <w:rStyle w:val="Hyperlink"/>
            <w:noProof/>
          </w:rPr>
          <w:t>2.4.2 Genome assembly of Hydnophytum moseleyanum and Myrmecodia beccarii</w:t>
        </w:r>
        <w:r>
          <w:rPr>
            <w:noProof/>
            <w:webHidden/>
          </w:rPr>
          <w:tab/>
        </w:r>
        <w:r>
          <w:rPr>
            <w:noProof/>
            <w:webHidden/>
          </w:rPr>
          <w:fldChar w:fldCharType="begin"/>
        </w:r>
        <w:r>
          <w:rPr>
            <w:noProof/>
            <w:webHidden/>
          </w:rPr>
          <w:instrText xml:space="preserve"> PAGEREF _Toc235392976 \h </w:instrText>
        </w:r>
        <w:r>
          <w:rPr>
            <w:noProof/>
            <w:webHidden/>
          </w:rPr>
        </w:r>
        <w:r>
          <w:rPr>
            <w:noProof/>
            <w:webHidden/>
          </w:rPr>
          <w:fldChar w:fldCharType="separate"/>
        </w:r>
        <w:r w:rsidR="00B60374">
          <w:rPr>
            <w:noProof/>
            <w:webHidden/>
          </w:rPr>
          <w:t>31</w:t>
        </w:r>
        <w:r>
          <w:rPr>
            <w:noProof/>
            <w:webHidden/>
          </w:rPr>
          <w:fldChar w:fldCharType="end"/>
        </w:r>
      </w:hyperlink>
    </w:p>
    <w:p w14:paraId="538EEC3C" w14:textId="6AD83F52"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77" w:history="1">
        <w:r w:rsidRPr="00271501">
          <w:rPr>
            <w:rStyle w:val="Hyperlink"/>
            <w:noProof/>
          </w:rPr>
          <w:t>2.4.3 Hydnophytum moseleyanum and Myrmecodia beccarii genome completeness</w:t>
        </w:r>
        <w:r>
          <w:rPr>
            <w:noProof/>
            <w:webHidden/>
          </w:rPr>
          <w:tab/>
        </w:r>
        <w:r>
          <w:rPr>
            <w:noProof/>
            <w:webHidden/>
          </w:rPr>
          <w:fldChar w:fldCharType="begin"/>
        </w:r>
        <w:r>
          <w:rPr>
            <w:noProof/>
            <w:webHidden/>
          </w:rPr>
          <w:instrText xml:space="preserve"> PAGEREF _Toc235392977 \h </w:instrText>
        </w:r>
        <w:r>
          <w:rPr>
            <w:noProof/>
            <w:webHidden/>
          </w:rPr>
        </w:r>
        <w:r>
          <w:rPr>
            <w:noProof/>
            <w:webHidden/>
          </w:rPr>
          <w:fldChar w:fldCharType="separate"/>
        </w:r>
        <w:r w:rsidR="00B60374">
          <w:rPr>
            <w:noProof/>
            <w:webHidden/>
          </w:rPr>
          <w:t>32</w:t>
        </w:r>
        <w:r>
          <w:rPr>
            <w:noProof/>
            <w:webHidden/>
          </w:rPr>
          <w:fldChar w:fldCharType="end"/>
        </w:r>
      </w:hyperlink>
    </w:p>
    <w:p w14:paraId="2D09A95E" w14:textId="012891B1"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78" w:history="1">
        <w:r w:rsidRPr="00271501">
          <w:rPr>
            <w:rStyle w:val="Hyperlink"/>
            <w:noProof/>
          </w:rPr>
          <w:t>2.4.4. Genome duplication purge</w:t>
        </w:r>
        <w:r>
          <w:rPr>
            <w:noProof/>
            <w:webHidden/>
          </w:rPr>
          <w:tab/>
        </w:r>
        <w:r>
          <w:rPr>
            <w:noProof/>
            <w:webHidden/>
          </w:rPr>
          <w:fldChar w:fldCharType="begin"/>
        </w:r>
        <w:r>
          <w:rPr>
            <w:noProof/>
            <w:webHidden/>
          </w:rPr>
          <w:instrText xml:space="preserve"> PAGEREF _Toc235392978 \h </w:instrText>
        </w:r>
        <w:r>
          <w:rPr>
            <w:noProof/>
            <w:webHidden/>
          </w:rPr>
        </w:r>
        <w:r>
          <w:rPr>
            <w:noProof/>
            <w:webHidden/>
          </w:rPr>
          <w:fldChar w:fldCharType="separate"/>
        </w:r>
        <w:r w:rsidR="00B60374">
          <w:rPr>
            <w:noProof/>
            <w:webHidden/>
          </w:rPr>
          <w:t>33</w:t>
        </w:r>
        <w:r>
          <w:rPr>
            <w:noProof/>
            <w:webHidden/>
          </w:rPr>
          <w:fldChar w:fldCharType="end"/>
        </w:r>
      </w:hyperlink>
    </w:p>
    <w:p w14:paraId="66B34061" w14:textId="79F7436B"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79" w:history="1">
        <w:r w:rsidRPr="00271501">
          <w:rPr>
            <w:rStyle w:val="Hyperlink"/>
            <w:noProof/>
          </w:rPr>
          <w:t>2.4.5 Gene Prediction Results Using Helixer</w:t>
        </w:r>
        <w:r>
          <w:rPr>
            <w:noProof/>
            <w:webHidden/>
          </w:rPr>
          <w:tab/>
        </w:r>
        <w:r>
          <w:rPr>
            <w:noProof/>
            <w:webHidden/>
          </w:rPr>
          <w:fldChar w:fldCharType="begin"/>
        </w:r>
        <w:r>
          <w:rPr>
            <w:noProof/>
            <w:webHidden/>
          </w:rPr>
          <w:instrText xml:space="preserve"> PAGEREF _Toc235392979 \h </w:instrText>
        </w:r>
        <w:r>
          <w:rPr>
            <w:noProof/>
            <w:webHidden/>
          </w:rPr>
        </w:r>
        <w:r>
          <w:rPr>
            <w:noProof/>
            <w:webHidden/>
          </w:rPr>
          <w:fldChar w:fldCharType="separate"/>
        </w:r>
        <w:r w:rsidR="00B60374">
          <w:rPr>
            <w:noProof/>
            <w:webHidden/>
          </w:rPr>
          <w:t>35</w:t>
        </w:r>
        <w:r>
          <w:rPr>
            <w:noProof/>
            <w:webHidden/>
          </w:rPr>
          <w:fldChar w:fldCharType="end"/>
        </w:r>
      </w:hyperlink>
    </w:p>
    <w:p w14:paraId="05B9C327" w14:textId="472BB562"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80" w:history="1">
        <w:r w:rsidRPr="00271501">
          <w:rPr>
            <w:rStyle w:val="Hyperlink"/>
            <w:noProof/>
          </w:rPr>
          <w:t>2.4.6 Duplication types in Hydnophytum moseleyanum and Myrmecodia beccarii</w:t>
        </w:r>
        <w:r>
          <w:rPr>
            <w:noProof/>
            <w:webHidden/>
          </w:rPr>
          <w:tab/>
        </w:r>
        <w:r>
          <w:rPr>
            <w:noProof/>
            <w:webHidden/>
          </w:rPr>
          <w:fldChar w:fldCharType="begin"/>
        </w:r>
        <w:r>
          <w:rPr>
            <w:noProof/>
            <w:webHidden/>
          </w:rPr>
          <w:instrText xml:space="preserve"> PAGEREF _Toc235392980 \h </w:instrText>
        </w:r>
        <w:r>
          <w:rPr>
            <w:noProof/>
            <w:webHidden/>
          </w:rPr>
        </w:r>
        <w:r>
          <w:rPr>
            <w:noProof/>
            <w:webHidden/>
          </w:rPr>
          <w:fldChar w:fldCharType="separate"/>
        </w:r>
        <w:r w:rsidR="00B60374">
          <w:rPr>
            <w:noProof/>
            <w:webHidden/>
          </w:rPr>
          <w:t>35</w:t>
        </w:r>
        <w:r>
          <w:rPr>
            <w:noProof/>
            <w:webHidden/>
          </w:rPr>
          <w:fldChar w:fldCharType="end"/>
        </w:r>
      </w:hyperlink>
    </w:p>
    <w:p w14:paraId="42805096" w14:textId="3F235767"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81" w:history="1">
        <w:r w:rsidRPr="00271501">
          <w:rPr>
            <w:rStyle w:val="Hyperlink"/>
            <w:noProof/>
          </w:rPr>
          <w:t>2.5 Discussion</w:t>
        </w:r>
        <w:r>
          <w:rPr>
            <w:noProof/>
            <w:webHidden/>
          </w:rPr>
          <w:tab/>
        </w:r>
        <w:r>
          <w:rPr>
            <w:noProof/>
            <w:webHidden/>
          </w:rPr>
          <w:fldChar w:fldCharType="begin"/>
        </w:r>
        <w:r>
          <w:rPr>
            <w:noProof/>
            <w:webHidden/>
          </w:rPr>
          <w:instrText xml:space="preserve"> PAGEREF _Toc235392981 \h </w:instrText>
        </w:r>
        <w:r>
          <w:rPr>
            <w:noProof/>
            <w:webHidden/>
          </w:rPr>
        </w:r>
        <w:r>
          <w:rPr>
            <w:noProof/>
            <w:webHidden/>
          </w:rPr>
          <w:fldChar w:fldCharType="separate"/>
        </w:r>
        <w:r w:rsidR="00B60374">
          <w:rPr>
            <w:noProof/>
            <w:webHidden/>
          </w:rPr>
          <w:t>37</w:t>
        </w:r>
        <w:r>
          <w:rPr>
            <w:noProof/>
            <w:webHidden/>
          </w:rPr>
          <w:fldChar w:fldCharType="end"/>
        </w:r>
      </w:hyperlink>
    </w:p>
    <w:p w14:paraId="4FA064C8" w14:textId="5E31CDD4"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82" w:history="1">
        <w:r w:rsidRPr="00271501">
          <w:rPr>
            <w:rStyle w:val="Hyperlink"/>
            <w:noProof/>
          </w:rPr>
          <w:t>2.5.1 A genomic framework to analyse mutualistic dependence in Hydnophytinae ant-plants</w:t>
        </w:r>
        <w:r>
          <w:rPr>
            <w:noProof/>
            <w:webHidden/>
          </w:rPr>
          <w:tab/>
        </w:r>
        <w:r>
          <w:rPr>
            <w:noProof/>
            <w:webHidden/>
          </w:rPr>
          <w:fldChar w:fldCharType="begin"/>
        </w:r>
        <w:r>
          <w:rPr>
            <w:noProof/>
            <w:webHidden/>
          </w:rPr>
          <w:instrText xml:space="preserve"> PAGEREF _Toc235392982 \h </w:instrText>
        </w:r>
        <w:r>
          <w:rPr>
            <w:noProof/>
            <w:webHidden/>
          </w:rPr>
        </w:r>
        <w:r>
          <w:rPr>
            <w:noProof/>
            <w:webHidden/>
          </w:rPr>
          <w:fldChar w:fldCharType="separate"/>
        </w:r>
        <w:r w:rsidR="00B60374">
          <w:rPr>
            <w:noProof/>
            <w:webHidden/>
          </w:rPr>
          <w:t>37</w:t>
        </w:r>
        <w:r>
          <w:rPr>
            <w:noProof/>
            <w:webHidden/>
          </w:rPr>
          <w:fldChar w:fldCharType="end"/>
        </w:r>
      </w:hyperlink>
    </w:p>
    <w:p w14:paraId="574721C6" w14:textId="752EC27B"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83" w:history="1">
        <w:r w:rsidRPr="00271501">
          <w:rPr>
            <w:rStyle w:val="Hyperlink"/>
            <w:noProof/>
          </w:rPr>
          <w:t>2.5.2 Nitrogen-related candidate genes in a duplication-aware comparative framework</w:t>
        </w:r>
        <w:r>
          <w:rPr>
            <w:noProof/>
            <w:webHidden/>
          </w:rPr>
          <w:tab/>
        </w:r>
        <w:r>
          <w:rPr>
            <w:noProof/>
            <w:webHidden/>
          </w:rPr>
          <w:fldChar w:fldCharType="begin"/>
        </w:r>
        <w:r>
          <w:rPr>
            <w:noProof/>
            <w:webHidden/>
          </w:rPr>
          <w:instrText xml:space="preserve"> PAGEREF _Toc235392983 \h </w:instrText>
        </w:r>
        <w:r>
          <w:rPr>
            <w:noProof/>
            <w:webHidden/>
          </w:rPr>
        </w:r>
        <w:r>
          <w:rPr>
            <w:noProof/>
            <w:webHidden/>
          </w:rPr>
          <w:fldChar w:fldCharType="separate"/>
        </w:r>
        <w:r w:rsidR="00B60374">
          <w:rPr>
            <w:noProof/>
            <w:webHidden/>
          </w:rPr>
          <w:t>38</w:t>
        </w:r>
        <w:r>
          <w:rPr>
            <w:noProof/>
            <w:webHidden/>
          </w:rPr>
          <w:fldChar w:fldCharType="end"/>
        </w:r>
      </w:hyperlink>
    </w:p>
    <w:p w14:paraId="5EE78FF4" w14:textId="457FAA7C"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84" w:history="1">
        <w:r w:rsidRPr="00271501">
          <w:rPr>
            <w:rStyle w:val="Hyperlink"/>
            <w:noProof/>
          </w:rPr>
          <w:t>2.6 References</w:t>
        </w:r>
        <w:r>
          <w:rPr>
            <w:noProof/>
            <w:webHidden/>
          </w:rPr>
          <w:tab/>
        </w:r>
        <w:r>
          <w:rPr>
            <w:noProof/>
            <w:webHidden/>
          </w:rPr>
          <w:fldChar w:fldCharType="begin"/>
        </w:r>
        <w:r>
          <w:rPr>
            <w:noProof/>
            <w:webHidden/>
          </w:rPr>
          <w:instrText xml:space="preserve"> PAGEREF _Toc235392984 \h </w:instrText>
        </w:r>
        <w:r>
          <w:rPr>
            <w:noProof/>
            <w:webHidden/>
          </w:rPr>
        </w:r>
        <w:r>
          <w:rPr>
            <w:noProof/>
            <w:webHidden/>
          </w:rPr>
          <w:fldChar w:fldCharType="separate"/>
        </w:r>
        <w:r w:rsidR="00B60374">
          <w:rPr>
            <w:noProof/>
            <w:webHidden/>
          </w:rPr>
          <w:t>40</w:t>
        </w:r>
        <w:r>
          <w:rPr>
            <w:noProof/>
            <w:webHidden/>
          </w:rPr>
          <w:fldChar w:fldCharType="end"/>
        </w:r>
      </w:hyperlink>
    </w:p>
    <w:p w14:paraId="748A7A79" w14:textId="1C9FF49C" w:rsidR="00946883" w:rsidRDefault="00946883" w:rsidP="00946883">
      <w:pPr>
        <w:pStyle w:val="TOC1"/>
        <w:spacing w:after="120" w:line="240" w:lineRule="auto"/>
        <w:rPr>
          <w:rFonts w:eastAsiaTheme="minorEastAsia" w:cstheme="minorBidi"/>
          <w:b w:val="0"/>
          <w:bCs w:val="0"/>
          <w:kern w:val="2"/>
          <w:sz w:val="24"/>
          <w:szCs w:val="24"/>
          <w14:ligatures w14:val="standardContextual"/>
        </w:rPr>
      </w:pPr>
      <w:hyperlink w:anchor="_Toc235392985" w:history="1">
        <w:r w:rsidRPr="00271501">
          <w:rPr>
            <w:rStyle w:val="Hyperlink"/>
            <w:rFonts w:eastAsia="Times New Roman" w:cs="Times New Roman"/>
          </w:rPr>
          <w:t>Chapter 3. Validating nutritional uptake in ant plant symbiotic relationships</w:t>
        </w:r>
        <w:r>
          <w:rPr>
            <w:webHidden/>
          </w:rPr>
          <w:tab/>
        </w:r>
        <w:r>
          <w:rPr>
            <w:webHidden/>
          </w:rPr>
          <w:fldChar w:fldCharType="begin"/>
        </w:r>
        <w:r>
          <w:rPr>
            <w:webHidden/>
          </w:rPr>
          <w:instrText xml:space="preserve"> PAGEREF _Toc235392985 \h </w:instrText>
        </w:r>
        <w:r>
          <w:rPr>
            <w:webHidden/>
          </w:rPr>
        </w:r>
        <w:r>
          <w:rPr>
            <w:webHidden/>
          </w:rPr>
          <w:fldChar w:fldCharType="separate"/>
        </w:r>
        <w:r w:rsidR="00B60374">
          <w:rPr>
            <w:webHidden/>
          </w:rPr>
          <w:t>43</w:t>
        </w:r>
        <w:r>
          <w:rPr>
            <w:webHidden/>
          </w:rPr>
          <w:fldChar w:fldCharType="end"/>
        </w:r>
      </w:hyperlink>
    </w:p>
    <w:p w14:paraId="7F89774E" w14:textId="4E5ABEBD"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86" w:history="1">
        <w:r w:rsidRPr="00271501">
          <w:rPr>
            <w:rStyle w:val="Hyperlink"/>
            <w:noProof/>
          </w:rPr>
          <w:t>3.1 Abstract</w:t>
        </w:r>
        <w:r>
          <w:rPr>
            <w:noProof/>
            <w:webHidden/>
          </w:rPr>
          <w:tab/>
        </w:r>
        <w:r>
          <w:rPr>
            <w:noProof/>
            <w:webHidden/>
          </w:rPr>
          <w:fldChar w:fldCharType="begin"/>
        </w:r>
        <w:r>
          <w:rPr>
            <w:noProof/>
            <w:webHidden/>
          </w:rPr>
          <w:instrText xml:space="preserve"> PAGEREF _Toc235392986 \h </w:instrText>
        </w:r>
        <w:r>
          <w:rPr>
            <w:noProof/>
            <w:webHidden/>
          </w:rPr>
        </w:r>
        <w:r>
          <w:rPr>
            <w:noProof/>
            <w:webHidden/>
          </w:rPr>
          <w:fldChar w:fldCharType="separate"/>
        </w:r>
        <w:r w:rsidR="00B60374">
          <w:rPr>
            <w:noProof/>
            <w:webHidden/>
          </w:rPr>
          <w:t>45</w:t>
        </w:r>
        <w:r>
          <w:rPr>
            <w:noProof/>
            <w:webHidden/>
          </w:rPr>
          <w:fldChar w:fldCharType="end"/>
        </w:r>
      </w:hyperlink>
    </w:p>
    <w:p w14:paraId="57B2D535" w14:textId="7A7FF00B"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87" w:history="1">
        <w:r w:rsidRPr="00271501">
          <w:rPr>
            <w:rStyle w:val="Hyperlink"/>
            <w:noProof/>
          </w:rPr>
          <w:t>3.2 Introduction</w:t>
        </w:r>
        <w:r>
          <w:rPr>
            <w:noProof/>
            <w:webHidden/>
          </w:rPr>
          <w:tab/>
        </w:r>
        <w:r>
          <w:rPr>
            <w:noProof/>
            <w:webHidden/>
          </w:rPr>
          <w:fldChar w:fldCharType="begin"/>
        </w:r>
        <w:r>
          <w:rPr>
            <w:noProof/>
            <w:webHidden/>
          </w:rPr>
          <w:instrText xml:space="preserve"> PAGEREF _Toc235392987 \h </w:instrText>
        </w:r>
        <w:r>
          <w:rPr>
            <w:noProof/>
            <w:webHidden/>
          </w:rPr>
        </w:r>
        <w:r>
          <w:rPr>
            <w:noProof/>
            <w:webHidden/>
          </w:rPr>
          <w:fldChar w:fldCharType="separate"/>
        </w:r>
        <w:r w:rsidR="00B60374">
          <w:rPr>
            <w:noProof/>
            <w:webHidden/>
          </w:rPr>
          <w:t>46</w:t>
        </w:r>
        <w:r>
          <w:rPr>
            <w:noProof/>
            <w:webHidden/>
          </w:rPr>
          <w:fldChar w:fldCharType="end"/>
        </w:r>
      </w:hyperlink>
    </w:p>
    <w:p w14:paraId="02AA456C" w14:textId="317DE3C2"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88" w:history="1">
        <w:r w:rsidRPr="00271501">
          <w:rPr>
            <w:rStyle w:val="Hyperlink"/>
            <w:noProof/>
          </w:rPr>
          <w:t>3.3. Materials and methods</w:t>
        </w:r>
        <w:r>
          <w:rPr>
            <w:noProof/>
            <w:webHidden/>
          </w:rPr>
          <w:tab/>
        </w:r>
        <w:r>
          <w:rPr>
            <w:noProof/>
            <w:webHidden/>
          </w:rPr>
          <w:fldChar w:fldCharType="begin"/>
        </w:r>
        <w:r>
          <w:rPr>
            <w:noProof/>
            <w:webHidden/>
          </w:rPr>
          <w:instrText xml:space="preserve"> PAGEREF _Toc235392988 \h </w:instrText>
        </w:r>
        <w:r>
          <w:rPr>
            <w:noProof/>
            <w:webHidden/>
          </w:rPr>
        </w:r>
        <w:r>
          <w:rPr>
            <w:noProof/>
            <w:webHidden/>
          </w:rPr>
          <w:fldChar w:fldCharType="separate"/>
        </w:r>
        <w:r w:rsidR="00B60374">
          <w:rPr>
            <w:noProof/>
            <w:webHidden/>
          </w:rPr>
          <w:t>48</w:t>
        </w:r>
        <w:r>
          <w:rPr>
            <w:noProof/>
            <w:webHidden/>
          </w:rPr>
          <w:fldChar w:fldCharType="end"/>
        </w:r>
      </w:hyperlink>
    </w:p>
    <w:p w14:paraId="5935FAAD" w14:textId="0DBE735B"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89" w:history="1">
        <w:r w:rsidRPr="00271501">
          <w:rPr>
            <w:rStyle w:val="Hyperlink"/>
            <w:noProof/>
          </w:rPr>
          <w:t>3.3.1 Formation of experimental symbioses with ghost ants</w:t>
        </w:r>
        <w:r>
          <w:rPr>
            <w:noProof/>
            <w:webHidden/>
          </w:rPr>
          <w:tab/>
        </w:r>
        <w:r>
          <w:rPr>
            <w:noProof/>
            <w:webHidden/>
          </w:rPr>
          <w:fldChar w:fldCharType="begin"/>
        </w:r>
        <w:r>
          <w:rPr>
            <w:noProof/>
            <w:webHidden/>
          </w:rPr>
          <w:instrText xml:space="preserve"> PAGEREF _Toc235392989 \h </w:instrText>
        </w:r>
        <w:r>
          <w:rPr>
            <w:noProof/>
            <w:webHidden/>
          </w:rPr>
        </w:r>
        <w:r>
          <w:rPr>
            <w:noProof/>
            <w:webHidden/>
          </w:rPr>
          <w:fldChar w:fldCharType="separate"/>
        </w:r>
        <w:r w:rsidR="00B60374">
          <w:rPr>
            <w:noProof/>
            <w:webHidden/>
          </w:rPr>
          <w:t>48</w:t>
        </w:r>
        <w:r>
          <w:rPr>
            <w:noProof/>
            <w:webHidden/>
          </w:rPr>
          <w:fldChar w:fldCharType="end"/>
        </w:r>
      </w:hyperlink>
    </w:p>
    <w:p w14:paraId="06DEB2C5" w14:textId="126C4170"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90" w:history="1">
        <w:r w:rsidRPr="00271501">
          <w:rPr>
            <w:rStyle w:val="Hyperlink"/>
            <w:noProof/>
          </w:rPr>
          <w:t>3.3.2 Testing whether the symbioses with ghost ants are mutualistic</w:t>
        </w:r>
        <w:r>
          <w:rPr>
            <w:noProof/>
            <w:webHidden/>
          </w:rPr>
          <w:tab/>
        </w:r>
        <w:r>
          <w:rPr>
            <w:noProof/>
            <w:webHidden/>
          </w:rPr>
          <w:fldChar w:fldCharType="begin"/>
        </w:r>
        <w:r>
          <w:rPr>
            <w:noProof/>
            <w:webHidden/>
          </w:rPr>
          <w:instrText xml:space="preserve"> PAGEREF _Toc235392990 \h </w:instrText>
        </w:r>
        <w:r>
          <w:rPr>
            <w:noProof/>
            <w:webHidden/>
          </w:rPr>
        </w:r>
        <w:r>
          <w:rPr>
            <w:noProof/>
            <w:webHidden/>
          </w:rPr>
          <w:fldChar w:fldCharType="separate"/>
        </w:r>
        <w:r w:rsidR="00B60374">
          <w:rPr>
            <w:noProof/>
            <w:webHidden/>
          </w:rPr>
          <w:t>52</w:t>
        </w:r>
        <w:r>
          <w:rPr>
            <w:noProof/>
            <w:webHidden/>
          </w:rPr>
          <w:fldChar w:fldCharType="end"/>
        </w:r>
      </w:hyperlink>
    </w:p>
    <w:p w14:paraId="287CD39C" w14:textId="0D0203BA"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91" w:history="1">
        <w:r w:rsidRPr="00271501">
          <w:rPr>
            <w:rStyle w:val="Hyperlink"/>
            <w:noProof/>
          </w:rPr>
          <w:t>3.3.3 Tissue sampling and preparation for isotope analysis</w:t>
        </w:r>
        <w:r>
          <w:rPr>
            <w:noProof/>
            <w:webHidden/>
          </w:rPr>
          <w:tab/>
        </w:r>
        <w:r>
          <w:rPr>
            <w:noProof/>
            <w:webHidden/>
          </w:rPr>
          <w:fldChar w:fldCharType="begin"/>
        </w:r>
        <w:r>
          <w:rPr>
            <w:noProof/>
            <w:webHidden/>
          </w:rPr>
          <w:instrText xml:space="preserve"> PAGEREF _Toc235392991 \h </w:instrText>
        </w:r>
        <w:r>
          <w:rPr>
            <w:noProof/>
            <w:webHidden/>
          </w:rPr>
        </w:r>
        <w:r>
          <w:rPr>
            <w:noProof/>
            <w:webHidden/>
          </w:rPr>
          <w:fldChar w:fldCharType="separate"/>
        </w:r>
        <w:r w:rsidR="00B60374">
          <w:rPr>
            <w:noProof/>
            <w:webHidden/>
          </w:rPr>
          <w:t>53</w:t>
        </w:r>
        <w:r>
          <w:rPr>
            <w:noProof/>
            <w:webHidden/>
          </w:rPr>
          <w:fldChar w:fldCharType="end"/>
        </w:r>
      </w:hyperlink>
    </w:p>
    <w:p w14:paraId="57CEC94F" w14:textId="220BED3B"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92" w:history="1">
        <w:r w:rsidRPr="00271501">
          <w:rPr>
            <w:rStyle w:val="Hyperlink"/>
            <w:noProof/>
          </w:rPr>
          <w:t>3.3.4 Isotope-Ratio Mass Spectrometry (IR-MS)</w:t>
        </w:r>
        <w:r>
          <w:rPr>
            <w:noProof/>
            <w:webHidden/>
          </w:rPr>
          <w:tab/>
        </w:r>
        <w:r>
          <w:rPr>
            <w:noProof/>
            <w:webHidden/>
          </w:rPr>
          <w:fldChar w:fldCharType="begin"/>
        </w:r>
        <w:r>
          <w:rPr>
            <w:noProof/>
            <w:webHidden/>
          </w:rPr>
          <w:instrText xml:space="preserve"> PAGEREF _Toc235392992 \h </w:instrText>
        </w:r>
        <w:r>
          <w:rPr>
            <w:noProof/>
            <w:webHidden/>
          </w:rPr>
        </w:r>
        <w:r>
          <w:rPr>
            <w:noProof/>
            <w:webHidden/>
          </w:rPr>
          <w:fldChar w:fldCharType="separate"/>
        </w:r>
        <w:r w:rsidR="00B60374">
          <w:rPr>
            <w:noProof/>
            <w:webHidden/>
          </w:rPr>
          <w:t>53</w:t>
        </w:r>
        <w:r>
          <w:rPr>
            <w:noProof/>
            <w:webHidden/>
          </w:rPr>
          <w:fldChar w:fldCharType="end"/>
        </w:r>
      </w:hyperlink>
    </w:p>
    <w:p w14:paraId="330DBA09" w14:textId="55F6E636"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93" w:history="1">
        <w:r w:rsidRPr="00271501">
          <w:rPr>
            <w:rStyle w:val="Hyperlink"/>
            <w:noProof/>
          </w:rPr>
          <w:t>3.3.5 Statistical analyses and visualisation</w:t>
        </w:r>
        <w:r>
          <w:rPr>
            <w:noProof/>
            <w:webHidden/>
          </w:rPr>
          <w:tab/>
        </w:r>
        <w:r>
          <w:rPr>
            <w:noProof/>
            <w:webHidden/>
          </w:rPr>
          <w:fldChar w:fldCharType="begin"/>
        </w:r>
        <w:r>
          <w:rPr>
            <w:noProof/>
            <w:webHidden/>
          </w:rPr>
          <w:instrText xml:space="preserve"> PAGEREF _Toc235392993 \h </w:instrText>
        </w:r>
        <w:r>
          <w:rPr>
            <w:noProof/>
            <w:webHidden/>
          </w:rPr>
        </w:r>
        <w:r>
          <w:rPr>
            <w:noProof/>
            <w:webHidden/>
          </w:rPr>
          <w:fldChar w:fldCharType="separate"/>
        </w:r>
        <w:r w:rsidR="00B60374">
          <w:rPr>
            <w:noProof/>
            <w:webHidden/>
          </w:rPr>
          <w:t>54</w:t>
        </w:r>
        <w:r>
          <w:rPr>
            <w:noProof/>
            <w:webHidden/>
          </w:rPr>
          <w:fldChar w:fldCharType="end"/>
        </w:r>
      </w:hyperlink>
    </w:p>
    <w:p w14:paraId="30A6B90C" w14:textId="0FE7A9A0"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94" w:history="1">
        <w:r w:rsidRPr="00271501">
          <w:rPr>
            <w:rStyle w:val="Hyperlink"/>
            <w:noProof/>
          </w:rPr>
          <w:t>3.4 Results</w:t>
        </w:r>
        <w:r>
          <w:rPr>
            <w:noProof/>
            <w:webHidden/>
          </w:rPr>
          <w:tab/>
        </w:r>
        <w:r>
          <w:rPr>
            <w:noProof/>
            <w:webHidden/>
          </w:rPr>
          <w:fldChar w:fldCharType="begin"/>
        </w:r>
        <w:r>
          <w:rPr>
            <w:noProof/>
            <w:webHidden/>
          </w:rPr>
          <w:instrText xml:space="preserve"> PAGEREF _Toc235392994 \h </w:instrText>
        </w:r>
        <w:r>
          <w:rPr>
            <w:noProof/>
            <w:webHidden/>
          </w:rPr>
        </w:r>
        <w:r>
          <w:rPr>
            <w:noProof/>
            <w:webHidden/>
          </w:rPr>
          <w:fldChar w:fldCharType="separate"/>
        </w:r>
        <w:r w:rsidR="00B60374">
          <w:rPr>
            <w:noProof/>
            <w:webHidden/>
          </w:rPr>
          <w:t>55</w:t>
        </w:r>
        <w:r>
          <w:rPr>
            <w:noProof/>
            <w:webHidden/>
          </w:rPr>
          <w:fldChar w:fldCharType="end"/>
        </w:r>
      </w:hyperlink>
    </w:p>
    <w:p w14:paraId="0715C9AB" w14:textId="5720D2CD"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95" w:history="1">
        <w:r w:rsidRPr="00271501">
          <w:rPr>
            <w:rStyle w:val="Hyperlink"/>
            <w:noProof/>
          </w:rPr>
          <w:t>3.4.1 Ghost ants enrich domatium tissues in δ¹⁵N in both H. moseleyanum and M. beccarii</w:t>
        </w:r>
        <w:r>
          <w:rPr>
            <w:noProof/>
            <w:webHidden/>
          </w:rPr>
          <w:tab/>
        </w:r>
        <w:r>
          <w:rPr>
            <w:noProof/>
            <w:webHidden/>
          </w:rPr>
          <w:fldChar w:fldCharType="begin"/>
        </w:r>
        <w:r>
          <w:rPr>
            <w:noProof/>
            <w:webHidden/>
          </w:rPr>
          <w:instrText xml:space="preserve"> PAGEREF _Toc235392995 \h </w:instrText>
        </w:r>
        <w:r>
          <w:rPr>
            <w:noProof/>
            <w:webHidden/>
          </w:rPr>
        </w:r>
        <w:r>
          <w:rPr>
            <w:noProof/>
            <w:webHidden/>
          </w:rPr>
          <w:fldChar w:fldCharType="separate"/>
        </w:r>
        <w:r w:rsidR="00B60374">
          <w:rPr>
            <w:noProof/>
            <w:webHidden/>
          </w:rPr>
          <w:t>55</w:t>
        </w:r>
        <w:r>
          <w:rPr>
            <w:noProof/>
            <w:webHidden/>
          </w:rPr>
          <w:fldChar w:fldCharType="end"/>
        </w:r>
      </w:hyperlink>
    </w:p>
    <w:p w14:paraId="69E66376" w14:textId="3EAD672C"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2996" w:history="1">
        <w:r w:rsidRPr="00271501">
          <w:rPr>
            <w:rStyle w:val="Hyperlink"/>
            <w:noProof/>
          </w:rPr>
          <w:t>3.5 Discussion</w:t>
        </w:r>
        <w:r>
          <w:rPr>
            <w:noProof/>
            <w:webHidden/>
          </w:rPr>
          <w:tab/>
        </w:r>
        <w:r>
          <w:rPr>
            <w:noProof/>
            <w:webHidden/>
          </w:rPr>
          <w:fldChar w:fldCharType="begin"/>
        </w:r>
        <w:r>
          <w:rPr>
            <w:noProof/>
            <w:webHidden/>
          </w:rPr>
          <w:instrText xml:space="preserve"> PAGEREF _Toc235392996 \h </w:instrText>
        </w:r>
        <w:r>
          <w:rPr>
            <w:noProof/>
            <w:webHidden/>
          </w:rPr>
        </w:r>
        <w:r>
          <w:rPr>
            <w:noProof/>
            <w:webHidden/>
          </w:rPr>
          <w:fldChar w:fldCharType="separate"/>
        </w:r>
        <w:r w:rsidR="00B60374">
          <w:rPr>
            <w:noProof/>
            <w:webHidden/>
          </w:rPr>
          <w:t>59</w:t>
        </w:r>
        <w:r>
          <w:rPr>
            <w:noProof/>
            <w:webHidden/>
          </w:rPr>
          <w:fldChar w:fldCharType="end"/>
        </w:r>
      </w:hyperlink>
    </w:p>
    <w:p w14:paraId="46828480" w14:textId="628DE896"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97" w:history="1">
        <w:r w:rsidRPr="00271501">
          <w:rPr>
            <w:rStyle w:val="Hyperlink"/>
            <w:noProof/>
          </w:rPr>
          <w:t>3.5.1 Developing experimental symbioses in the Hydnophytinae</w:t>
        </w:r>
        <w:r>
          <w:rPr>
            <w:noProof/>
            <w:webHidden/>
          </w:rPr>
          <w:tab/>
        </w:r>
        <w:r>
          <w:rPr>
            <w:noProof/>
            <w:webHidden/>
          </w:rPr>
          <w:fldChar w:fldCharType="begin"/>
        </w:r>
        <w:r>
          <w:rPr>
            <w:noProof/>
            <w:webHidden/>
          </w:rPr>
          <w:instrText xml:space="preserve"> PAGEREF _Toc235392997 \h </w:instrText>
        </w:r>
        <w:r>
          <w:rPr>
            <w:noProof/>
            <w:webHidden/>
          </w:rPr>
        </w:r>
        <w:r>
          <w:rPr>
            <w:noProof/>
            <w:webHidden/>
          </w:rPr>
          <w:fldChar w:fldCharType="separate"/>
        </w:r>
        <w:r w:rsidR="00B60374">
          <w:rPr>
            <w:noProof/>
            <w:webHidden/>
          </w:rPr>
          <w:t>59</w:t>
        </w:r>
        <w:r>
          <w:rPr>
            <w:noProof/>
            <w:webHidden/>
          </w:rPr>
          <w:fldChar w:fldCharType="end"/>
        </w:r>
      </w:hyperlink>
    </w:p>
    <w:p w14:paraId="18220C27" w14:textId="599C5DAF"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98" w:history="1">
        <w:r w:rsidRPr="00271501">
          <w:rPr>
            <w:rStyle w:val="Hyperlink"/>
            <w:noProof/>
          </w:rPr>
          <w:t>3.5.1 Developing experimental symbioses in the Hydnophytinae</w:t>
        </w:r>
        <w:r>
          <w:rPr>
            <w:noProof/>
            <w:webHidden/>
          </w:rPr>
          <w:tab/>
        </w:r>
        <w:r>
          <w:rPr>
            <w:noProof/>
            <w:webHidden/>
          </w:rPr>
          <w:fldChar w:fldCharType="begin"/>
        </w:r>
        <w:r>
          <w:rPr>
            <w:noProof/>
            <w:webHidden/>
          </w:rPr>
          <w:instrText xml:space="preserve"> PAGEREF _Toc235392998 \h </w:instrText>
        </w:r>
        <w:r>
          <w:rPr>
            <w:noProof/>
            <w:webHidden/>
          </w:rPr>
        </w:r>
        <w:r>
          <w:rPr>
            <w:noProof/>
            <w:webHidden/>
          </w:rPr>
          <w:fldChar w:fldCharType="separate"/>
        </w:r>
        <w:r w:rsidR="00B60374">
          <w:rPr>
            <w:noProof/>
            <w:webHidden/>
          </w:rPr>
          <w:t>60</w:t>
        </w:r>
        <w:r>
          <w:rPr>
            <w:noProof/>
            <w:webHidden/>
          </w:rPr>
          <w:fldChar w:fldCharType="end"/>
        </w:r>
      </w:hyperlink>
    </w:p>
    <w:p w14:paraId="6D38EBFD" w14:textId="3A4133A5"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2999" w:history="1">
        <w:r w:rsidRPr="00271501">
          <w:rPr>
            <w:rStyle w:val="Hyperlink"/>
            <w:noProof/>
          </w:rPr>
          <w:t>3.5.2 Experimental nutrition between Hydnophytinae and ghost ants recapitulate natural interactions</w:t>
        </w:r>
        <w:r>
          <w:rPr>
            <w:noProof/>
            <w:webHidden/>
          </w:rPr>
          <w:tab/>
        </w:r>
        <w:r>
          <w:rPr>
            <w:noProof/>
            <w:webHidden/>
          </w:rPr>
          <w:fldChar w:fldCharType="begin"/>
        </w:r>
        <w:r>
          <w:rPr>
            <w:noProof/>
            <w:webHidden/>
          </w:rPr>
          <w:instrText xml:space="preserve"> PAGEREF _Toc235392999 \h </w:instrText>
        </w:r>
        <w:r>
          <w:rPr>
            <w:noProof/>
            <w:webHidden/>
          </w:rPr>
        </w:r>
        <w:r>
          <w:rPr>
            <w:noProof/>
            <w:webHidden/>
          </w:rPr>
          <w:fldChar w:fldCharType="separate"/>
        </w:r>
        <w:r w:rsidR="00B60374">
          <w:rPr>
            <w:noProof/>
            <w:webHidden/>
          </w:rPr>
          <w:t>62</w:t>
        </w:r>
        <w:r>
          <w:rPr>
            <w:noProof/>
            <w:webHidden/>
          </w:rPr>
          <w:fldChar w:fldCharType="end"/>
        </w:r>
      </w:hyperlink>
    </w:p>
    <w:p w14:paraId="3BC22F1D" w14:textId="22A0AB22"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00" w:history="1">
        <w:r w:rsidRPr="00271501">
          <w:rPr>
            <w:rStyle w:val="Hyperlink"/>
            <w:noProof/>
          </w:rPr>
          <w:t>3.5.3 Invasive ants forming mutualisms with specialised plants</w:t>
        </w:r>
        <w:r>
          <w:rPr>
            <w:noProof/>
            <w:webHidden/>
          </w:rPr>
          <w:tab/>
        </w:r>
        <w:r>
          <w:rPr>
            <w:noProof/>
            <w:webHidden/>
          </w:rPr>
          <w:fldChar w:fldCharType="begin"/>
        </w:r>
        <w:r>
          <w:rPr>
            <w:noProof/>
            <w:webHidden/>
          </w:rPr>
          <w:instrText xml:space="preserve"> PAGEREF _Toc235393000 \h </w:instrText>
        </w:r>
        <w:r>
          <w:rPr>
            <w:noProof/>
            <w:webHidden/>
          </w:rPr>
        </w:r>
        <w:r>
          <w:rPr>
            <w:noProof/>
            <w:webHidden/>
          </w:rPr>
          <w:fldChar w:fldCharType="separate"/>
        </w:r>
        <w:r w:rsidR="00B60374">
          <w:rPr>
            <w:noProof/>
            <w:webHidden/>
          </w:rPr>
          <w:t>64</w:t>
        </w:r>
        <w:r>
          <w:rPr>
            <w:noProof/>
            <w:webHidden/>
          </w:rPr>
          <w:fldChar w:fldCharType="end"/>
        </w:r>
      </w:hyperlink>
    </w:p>
    <w:p w14:paraId="23963C16" w14:textId="5E1D87C5"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01" w:history="1">
        <w:r w:rsidRPr="00271501">
          <w:rPr>
            <w:rStyle w:val="Hyperlink"/>
            <w:noProof/>
          </w:rPr>
          <w:t>3.5.4 Tuber function in nitrogen retention</w:t>
        </w:r>
        <w:r>
          <w:rPr>
            <w:noProof/>
            <w:webHidden/>
          </w:rPr>
          <w:tab/>
        </w:r>
        <w:r>
          <w:rPr>
            <w:noProof/>
            <w:webHidden/>
          </w:rPr>
          <w:fldChar w:fldCharType="begin"/>
        </w:r>
        <w:r>
          <w:rPr>
            <w:noProof/>
            <w:webHidden/>
          </w:rPr>
          <w:instrText xml:space="preserve"> PAGEREF _Toc235393001 \h </w:instrText>
        </w:r>
        <w:r>
          <w:rPr>
            <w:noProof/>
            <w:webHidden/>
          </w:rPr>
        </w:r>
        <w:r>
          <w:rPr>
            <w:noProof/>
            <w:webHidden/>
          </w:rPr>
          <w:fldChar w:fldCharType="separate"/>
        </w:r>
        <w:r w:rsidR="00B60374">
          <w:rPr>
            <w:noProof/>
            <w:webHidden/>
          </w:rPr>
          <w:t>65</w:t>
        </w:r>
        <w:r>
          <w:rPr>
            <w:noProof/>
            <w:webHidden/>
          </w:rPr>
          <w:fldChar w:fldCharType="end"/>
        </w:r>
      </w:hyperlink>
    </w:p>
    <w:p w14:paraId="558BD595" w14:textId="46A8224E"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3002" w:history="1">
        <w:r w:rsidRPr="00271501">
          <w:rPr>
            <w:rStyle w:val="Hyperlink"/>
            <w:noProof/>
          </w:rPr>
          <w:t>3.6 Conclusion</w:t>
        </w:r>
        <w:r>
          <w:rPr>
            <w:noProof/>
            <w:webHidden/>
          </w:rPr>
          <w:tab/>
        </w:r>
        <w:r>
          <w:rPr>
            <w:noProof/>
            <w:webHidden/>
          </w:rPr>
          <w:fldChar w:fldCharType="begin"/>
        </w:r>
        <w:r>
          <w:rPr>
            <w:noProof/>
            <w:webHidden/>
          </w:rPr>
          <w:instrText xml:space="preserve"> PAGEREF _Toc235393002 \h </w:instrText>
        </w:r>
        <w:r>
          <w:rPr>
            <w:noProof/>
            <w:webHidden/>
          </w:rPr>
        </w:r>
        <w:r>
          <w:rPr>
            <w:noProof/>
            <w:webHidden/>
          </w:rPr>
          <w:fldChar w:fldCharType="separate"/>
        </w:r>
        <w:r w:rsidR="00B60374">
          <w:rPr>
            <w:noProof/>
            <w:webHidden/>
          </w:rPr>
          <w:t>65</w:t>
        </w:r>
        <w:r>
          <w:rPr>
            <w:noProof/>
            <w:webHidden/>
          </w:rPr>
          <w:fldChar w:fldCharType="end"/>
        </w:r>
      </w:hyperlink>
    </w:p>
    <w:p w14:paraId="708D9ACE" w14:textId="3419D1FE"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3003" w:history="1">
        <w:r w:rsidRPr="00271501">
          <w:rPr>
            <w:rStyle w:val="Hyperlink"/>
            <w:noProof/>
            <w:lang w:val="pt-BR"/>
          </w:rPr>
          <w:t>3.7 References</w:t>
        </w:r>
        <w:r>
          <w:rPr>
            <w:noProof/>
            <w:webHidden/>
          </w:rPr>
          <w:tab/>
        </w:r>
        <w:r>
          <w:rPr>
            <w:noProof/>
            <w:webHidden/>
          </w:rPr>
          <w:fldChar w:fldCharType="begin"/>
        </w:r>
        <w:r>
          <w:rPr>
            <w:noProof/>
            <w:webHidden/>
          </w:rPr>
          <w:instrText xml:space="preserve"> PAGEREF _Toc235393003 \h </w:instrText>
        </w:r>
        <w:r>
          <w:rPr>
            <w:noProof/>
            <w:webHidden/>
          </w:rPr>
        </w:r>
        <w:r>
          <w:rPr>
            <w:noProof/>
            <w:webHidden/>
          </w:rPr>
          <w:fldChar w:fldCharType="separate"/>
        </w:r>
        <w:r w:rsidR="00B60374">
          <w:rPr>
            <w:noProof/>
            <w:webHidden/>
          </w:rPr>
          <w:t>67</w:t>
        </w:r>
        <w:r>
          <w:rPr>
            <w:noProof/>
            <w:webHidden/>
          </w:rPr>
          <w:fldChar w:fldCharType="end"/>
        </w:r>
      </w:hyperlink>
    </w:p>
    <w:p w14:paraId="0378BD56" w14:textId="2D8F2AA2" w:rsidR="00946883" w:rsidRDefault="00946883" w:rsidP="00946883">
      <w:pPr>
        <w:pStyle w:val="TOC1"/>
        <w:spacing w:after="120" w:line="240" w:lineRule="auto"/>
        <w:rPr>
          <w:rFonts w:eastAsiaTheme="minorEastAsia" w:cstheme="minorBidi"/>
          <w:b w:val="0"/>
          <w:bCs w:val="0"/>
          <w:kern w:val="2"/>
          <w:sz w:val="24"/>
          <w:szCs w:val="24"/>
          <w14:ligatures w14:val="standardContextual"/>
        </w:rPr>
      </w:pPr>
      <w:hyperlink w:anchor="_Toc235393004" w:history="1">
        <w:r w:rsidRPr="00271501">
          <w:rPr>
            <w:rStyle w:val="Hyperlink"/>
          </w:rPr>
          <w:t>Chapter 4. Mutualistic dependency modulates the transcriptomic responses underlying nutrition in ant-plant symbioses.</w:t>
        </w:r>
        <w:r>
          <w:rPr>
            <w:webHidden/>
          </w:rPr>
          <w:tab/>
        </w:r>
        <w:r>
          <w:rPr>
            <w:webHidden/>
          </w:rPr>
          <w:fldChar w:fldCharType="begin"/>
        </w:r>
        <w:r>
          <w:rPr>
            <w:webHidden/>
          </w:rPr>
          <w:instrText xml:space="preserve"> PAGEREF _Toc235393004 \h </w:instrText>
        </w:r>
        <w:r>
          <w:rPr>
            <w:webHidden/>
          </w:rPr>
        </w:r>
        <w:r>
          <w:rPr>
            <w:webHidden/>
          </w:rPr>
          <w:fldChar w:fldCharType="separate"/>
        </w:r>
        <w:r w:rsidR="00B60374">
          <w:rPr>
            <w:webHidden/>
          </w:rPr>
          <w:t>74</w:t>
        </w:r>
        <w:r>
          <w:rPr>
            <w:webHidden/>
          </w:rPr>
          <w:fldChar w:fldCharType="end"/>
        </w:r>
      </w:hyperlink>
    </w:p>
    <w:p w14:paraId="4A044051" w14:textId="39990212"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3005" w:history="1">
        <w:r w:rsidRPr="00271501">
          <w:rPr>
            <w:rStyle w:val="Hyperlink"/>
            <w:noProof/>
          </w:rPr>
          <w:t>4.1 Abstract</w:t>
        </w:r>
        <w:r>
          <w:rPr>
            <w:noProof/>
            <w:webHidden/>
          </w:rPr>
          <w:tab/>
        </w:r>
        <w:r>
          <w:rPr>
            <w:noProof/>
            <w:webHidden/>
          </w:rPr>
          <w:fldChar w:fldCharType="begin"/>
        </w:r>
        <w:r>
          <w:rPr>
            <w:noProof/>
            <w:webHidden/>
          </w:rPr>
          <w:instrText xml:space="preserve"> PAGEREF _Toc235393005 \h </w:instrText>
        </w:r>
        <w:r>
          <w:rPr>
            <w:noProof/>
            <w:webHidden/>
          </w:rPr>
        </w:r>
        <w:r>
          <w:rPr>
            <w:noProof/>
            <w:webHidden/>
          </w:rPr>
          <w:fldChar w:fldCharType="separate"/>
        </w:r>
        <w:r w:rsidR="00B60374">
          <w:rPr>
            <w:noProof/>
            <w:webHidden/>
          </w:rPr>
          <w:t>76</w:t>
        </w:r>
        <w:r>
          <w:rPr>
            <w:noProof/>
            <w:webHidden/>
          </w:rPr>
          <w:fldChar w:fldCharType="end"/>
        </w:r>
      </w:hyperlink>
    </w:p>
    <w:p w14:paraId="2024467C" w14:textId="3E5A45B1"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3006" w:history="1">
        <w:r w:rsidRPr="00271501">
          <w:rPr>
            <w:rStyle w:val="Hyperlink"/>
            <w:noProof/>
          </w:rPr>
          <w:t>4.2 Introduction</w:t>
        </w:r>
        <w:r>
          <w:rPr>
            <w:noProof/>
            <w:webHidden/>
          </w:rPr>
          <w:tab/>
        </w:r>
        <w:r>
          <w:rPr>
            <w:noProof/>
            <w:webHidden/>
          </w:rPr>
          <w:fldChar w:fldCharType="begin"/>
        </w:r>
        <w:r>
          <w:rPr>
            <w:noProof/>
            <w:webHidden/>
          </w:rPr>
          <w:instrText xml:space="preserve"> PAGEREF _Toc235393006 \h </w:instrText>
        </w:r>
        <w:r>
          <w:rPr>
            <w:noProof/>
            <w:webHidden/>
          </w:rPr>
        </w:r>
        <w:r>
          <w:rPr>
            <w:noProof/>
            <w:webHidden/>
          </w:rPr>
          <w:fldChar w:fldCharType="separate"/>
        </w:r>
        <w:r w:rsidR="00B60374">
          <w:rPr>
            <w:noProof/>
            <w:webHidden/>
          </w:rPr>
          <w:t>77</w:t>
        </w:r>
        <w:r>
          <w:rPr>
            <w:noProof/>
            <w:webHidden/>
          </w:rPr>
          <w:fldChar w:fldCharType="end"/>
        </w:r>
      </w:hyperlink>
    </w:p>
    <w:p w14:paraId="2AB0BB78" w14:textId="42A7AF42"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3007" w:history="1">
        <w:r w:rsidRPr="00271501">
          <w:rPr>
            <w:rStyle w:val="Hyperlink"/>
            <w:noProof/>
          </w:rPr>
          <w:t>4.3 Materials and methods</w:t>
        </w:r>
        <w:r>
          <w:rPr>
            <w:noProof/>
            <w:webHidden/>
          </w:rPr>
          <w:tab/>
        </w:r>
        <w:r>
          <w:rPr>
            <w:noProof/>
            <w:webHidden/>
          </w:rPr>
          <w:fldChar w:fldCharType="begin"/>
        </w:r>
        <w:r>
          <w:rPr>
            <w:noProof/>
            <w:webHidden/>
          </w:rPr>
          <w:instrText xml:space="preserve"> PAGEREF _Toc235393007 \h </w:instrText>
        </w:r>
        <w:r>
          <w:rPr>
            <w:noProof/>
            <w:webHidden/>
          </w:rPr>
        </w:r>
        <w:r>
          <w:rPr>
            <w:noProof/>
            <w:webHidden/>
          </w:rPr>
          <w:fldChar w:fldCharType="separate"/>
        </w:r>
        <w:r w:rsidR="00B60374">
          <w:rPr>
            <w:noProof/>
            <w:webHidden/>
          </w:rPr>
          <w:t>80</w:t>
        </w:r>
        <w:r>
          <w:rPr>
            <w:noProof/>
            <w:webHidden/>
          </w:rPr>
          <w:fldChar w:fldCharType="end"/>
        </w:r>
      </w:hyperlink>
    </w:p>
    <w:p w14:paraId="5914BBD1" w14:textId="59ACC367"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08" w:history="1">
        <w:r w:rsidRPr="00271501">
          <w:rPr>
            <w:rStyle w:val="Hyperlink"/>
            <w:noProof/>
          </w:rPr>
          <w:t>4.3.1 Experimental design</w:t>
        </w:r>
        <w:r>
          <w:rPr>
            <w:noProof/>
            <w:webHidden/>
          </w:rPr>
          <w:tab/>
        </w:r>
        <w:r>
          <w:rPr>
            <w:noProof/>
            <w:webHidden/>
          </w:rPr>
          <w:fldChar w:fldCharType="begin"/>
        </w:r>
        <w:r>
          <w:rPr>
            <w:noProof/>
            <w:webHidden/>
          </w:rPr>
          <w:instrText xml:space="preserve"> PAGEREF _Toc235393008 \h </w:instrText>
        </w:r>
        <w:r>
          <w:rPr>
            <w:noProof/>
            <w:webHidden/>
          </w:rPr>
        </w:r>
        <w:r>
          <w:rPr>
            <w:noProof/>
            <w:webHidden/>
          </w:rPr>
          <w:fldChar w:fldCharType="separate"/>
        </w:r>
        <w:r w:rsidR="00B60374">
          <w:rPr>
            <w:noProof/>
            <w:webHidden/>
          </w:rPr>
          <w:t>80</w:t>
        </w:r>
        <w:r>
          <w:rPr>
            <w:noProof/>
            <w:webHidden/>
          </w:rPr>
          <w:fldChar w:fldCharType="end"/>
        </w:r>
      </w:hyperlink>
    </w:p>
    <w:p w14:paraId="0B7616DF" w14:textId="64DEC13D"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09" w:history="1">
        <w:r w:rsidRPr="00271501">
          <w:rPr>
            <w:rStyle w:val="Hyperlink"/>
            <w:noProof/>
          </w:rPr>
          <w:t>4.3.2 RNA extraction and sequencing</w:t>
        </w:r>
        <w:r>
          <w:rPr>
            <w:noProof/>
            <w:webHidden/>
          </w:rPr>
          <w:tab/>
        </w:r>
        <w:r>
          <w:rPr>
            <w:noProof/>
            <w:webHidden/>
          </w:rPr>
          <w:fldChar w:fldCharType="begin"/>
        </w:r>
        <w:r>
          <w:rPr>
            <w:noProof/>
            <w:webHidden/>
          </w:rPr>
          <w:instrText xml:space="preserve"> PAGEREF _Toc235393009 \h </w:instrText>
        </w:r>
        <w:r>
          <w:rPr>
            <w:noProof/>
            <w:webHidden/>
          </w:rPr>
        </w:r>
        <w:r>
          <w:rPr>
            <w:noProof/>
            <w:webHidden/>
          </w:rPr>
          <w:fldChar w:fldCharType="separate"/>
        </w:r>
        <w:r w:rsidR="00B60374">
          <w:rPr>
            <w:noProof/>
            <w:webHidden/>
          </w:rPr>
          <w:t>81</w:t>
        </w:r>
        <w:r>
          <w:rPr>
            <w:noProof/>
            <w:webHidden/>
          </w:rPr>
          <w:fldChar w:fldCharType="end"/>
        </w:r>
      </w:hyperlink>
    </w:p>
    <w:p w14:paraId="4C582999" w14:textId="6F8530D4"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10" w:history="1">
        <w:r w:rsidRPr="00271501">
          <w:rPr>
            <w:rStyle w:val="Hyperlink"/>
            <w:noProof/>
          </w:rPr>
          <w:t>4.3.3 Transcriptome assembly and analysis</w:t>
        </w:r>
        <w:r>
          <w:rPr>
            <w:noProof/>
            <w:webHidden/>
          </w:rPr>
          <w:tab/>
        </w:r>
        <w:r>
          <w:rPr>
            <w:noProof/>
            <w:webHidden/>
          </w:rPr>
          <w:fldChar w:fldCharType="begin"/>
        </w:r>
        <w:r>
          <w:rPr>
            <w:noProof/>
            <w:webHidden/>
          </w:rPr>
          <w:instrText xml:space="preserve"> PAGEREF _Toc235393010 \h </w:instrText>
        </w:r>
        <w:r>
          <w:rPr>
            <w:noProof/>
            <w:webHidden/>
          </w:rPr>
        </w:r>
        <w:r>
          <w:rPr>
            <w:noProof/>
            <w:webHidden/>
          </w:rPr>
          <w:fldChar w:fldCharType="separate"/>
        </w:r>
        <w:r w:rsidR="00B60374">
          <w:rPr>
            <w:noProof/>
            <w:webHidden/>
          </w:rPr>
          <w:t>82</w:t>
        </w:r>
        <w:r>
          <w:rPr>
            <w:noProof/>
            <w:webHidden/>
          </w:rPr>
          <w:fldChar w:fldCharType="end"/>
        </w:r>
      </w:hyperlink>
    </w:p>
    <w:p w14:paraId="6D40C273" w14:textId="204BD0C4"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11" w:history="1">
        <w:r w:rsidRPr="00271501">
          <w:rPr>
            <w:rStyle w:val="Hyperlink"/>
            <w:noProof/>
          </w:rPr>
          <w:t>4.3.4 Identification of nitrogen-related genes</w:t>
        </w:r>
        <w:r>
          <w:rPr>
            <w:noProof/>
            <w:webHidden/>
          </w:rPr>
          <w:tab/>
        </w:r>
        <w:r>
          <w:rPr>
            <w:noProof/>
            <w:webHidden/>
          </w:rPr>
          <w:fldChar w:fldCharType="begin"/>
        </w:r>
        <w:r>
          <w:rPr>
            <w:noProof/>
            <w:webHidden/>
          </w:rPr>
          <w:instrText xml:space="preserve"> PAGEREF _Toc235393011 \h </w:instrText>
        </w:r>
        <w:r>
          <w:rPr>
            <w:noProof/>
            <w:webHidden/>
          </w:rPr>
        </w:r>
        <w:r>
          <w:rPr>
            <w:noProof/>
            <w:webHidden/>
          </w:rPr>
          <w:fldChar w:fldCharType="separate"/>
        </w:r>
        <w:r w:rsidR="00B60374">
          <w:rPr>
            <w:noProof/>
            <w:webHidden/>
          </w:rPr>
          <w:t>83</w:t>
        </w:r>
        <w:r>
          <w:rPr>
            <w:noProof/>
            <w:webHidden/>
          </w:rPr>
          <w:fldChar w:fldCharType="end"/>
        </w:r>
      </w:hyperlink>
    </w:p>
    <w:p w14:paraId="687096E2" w14:textId="1681E6D8"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3012" w:history="1">
        <w:r w:rsidRPr="00271501">
          <w:rPr>
            <w:rStyle w:val="Hyperlink"/>
            <w:noProof/>
          </w:rPr>
          <w:t>4.4 Results</w:t>
        </w:r>
        <w:r>
          <w:rPr>
            <w:noProof/>
            <w:webHidden/>
          </w:rPr>
          <w:tab/>
        </w:r>
        <w:r>
          <w:rPr>
            <w:noProof/>
            <w:webHidden/>
          </w:rPr>
          <w:fldChar w:fldCharType="begin"/>
        </w:r>
        <w:r>
          <w:rPr>
            <w:noProof/>
            <w:webHidden/>
          </w:rPr>
          <w:instrText xml:space="preserve"> PAGEREF _Toc235393012 \h </w:instrText>
        </w:r>
        <w:r>
          <w:rPr>
            <w:noProof/>
            <w:webHidden/>
          </w:rPr>
        </w:r>
        <w:r>
          <w:rPr>
            <w:noProof/>
            <w:webHidden/>
          </w:rPr>
          <w:fldChar w:fldCharType="separate"/>
        </w:r>
        <w:r w:rsidR="00B60374">
          <w:rPr>
            <w:noProof/>
            <w:webHidden/>
          </w:rPr>
          <w:t>83</w:t>
        </w:r>
        <w:r>
          <w:rPr>
            <w:noProof/>
            <w:webHidden/>
          </w:rPr>
          <w:fldChar w:fldCharType="end"/>
        </w:r>
      </w:hyperlink>
    </w:p>
    <w:p w14:paraId="42594587" w14:textId="4A023D3A"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13" w:history="1">
        <w:r w:rsidRPr="00271501">
          <w:rPr>
            <w:rStyle w:val="Hyperlink"/>
            <w:noProof/>
          </w:rPr>
          <w:t>4.4.1 Ant-induced regulation of defence-related genes in warty tissues</w:t>
        </w:r>
        <w:r>
          <w:rPr>
            <w:noProof/>
            <w:webHidden/>
          </w:rPr>
          <w:tab/>
        </w:r>
        <w:r>
          <w:rPr>
            <w:noProof/>
            <w:webHidden/>
          </w:rPr>
          <w:fldChar w:fldCharType="begin"/>
        </w:r>
        <w:r>
          <w:rPr>
            <w:noProof/>
            <w:webHidden/>
          </w:rPr>
          <w:instrText xml:space="preserve"> PAGEREF _Toc235393013 \h </w:instrText>
        </w:r>
        <w:r>
          <w:rPr>
            <w:noProof/>
            <w:webHidden/>
          </w:rPr>
        </w:r>
        <w:r>
          <w:rPr>
            <w:noProof/>
            <w:webHidden/>
          </w:rPr>
          <w:fldChar w:fldCharType="separate"/>
        </w:r>
        <w:r w:rsidR="00B60374">
          <w:rPr>
            <w:noProof/>
            <w:webHidden/>
          </w:rPr>
          <w:t>84</w:t>
        </w:r>
        <w:r>
          <w:rPr>
            <w:noProof/>
            <w:webHidden/>
          </w:rPr>
          <w:fldChar w:fldCharType="end"/>
        </w:r>
      </w:hyperlink>
    </w:p>
    <w:p w14:paraId="75CD1552" w14:textId="3AD48244"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14" w:history="1">
        <w:r w:rsidRPr="00271501">
          <w:rPr>
            <w:rStyle w:val="Hyperlink"/>
            <w:noProof/>
          </w:rPr>
          <w:t>4.4.2 Tissue-specific regulation of ammonium transporter genes in H. moseleyanum</w:t>
        </w:r>
        <w:r>
          <w:rPr>
            <w:noProof/>
            <w:webHidden/>
          </w:rPr>
          <w:tab/>
        </w:r>
        <w:r>
          <w:rPr>
            <w:noProof/>
            <w:webHidden/>
          </w:rPr>
          <w:fldChar w:fldCharType="begin"/>
        </w:r>
        <w:r>
          <w:rPr>
            <w:noProof/>
            <w:webHidden/>
          </w:rPr>
          <w:instrText xml:space="preserve"> PAGEREF _Toc235393014 \h </w:instrText>
        </w:r>
        <w:r>
          <w:rPr>
            <w:noProof/>
            <w:webHidden/>
          </w:rPr>
        </w:r>
        <w:r>
          <w:rPr>
            <w:noProof/>
            <w:webHidden/>
          </w:rPr>
          <w:fldChar w:fldCharType="separate"/>
        </w:r>
        <w:r w:rsidR="00B60374">
          <w:rPr>
            <w:noProof/>
            <w:webHidden/>
          </w:rPr>
          <w:t>86</w:t>
        </w:r>
        <w:r>
          <w:rPr>
            <w:noProof/>
            <w:webHidden/>
          </w:rPr>
          <w:fldChar w:fldCharType="end"/>
        </w:r>
      </w:hyperlink>
    </w:p>
    <w:p w14:paraId="57B7DD5A" w14:textId="6EA44396"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15" w:history="1">
        <w:r w:rsidRPr="00271501">
          <w:rPr>
            <w:rStyle w:val="Hyperlink"/>
            <w:noProof/>
          </w:rPr>
          <w:t>4.4.3 Urease-related gene expression patterns in H. moseleyanum</w:t>
        </w:r>
        <w:r>
          <w:rPr>
            <w:noProof/>
            <w:webHidden/>
          </w:rPr>
          <w:tab/>
        </w:r>
        <w:r>
          <w:rPr>
            <w:noProof/>
            <w:webHidden/>
          </w:rPr>
          <w:fldChar w:fldCharType="begin"/>
        </w:r>
        <w:r>
          <w:rPr>
            <w:noProof/>
            <w:webHidden/>
          </w:rPr>
          <w:instrText xml:space="preserve"> PAGEREF _Toc235393015 \h </w:instrText>
        </w:r>
        <w:r>
          <w:rPr>
            <w:noProof/>
            <w:webHidden/>
          </w:rPr>
        </w:r>
        <w:r>
          <w:rPr>
            <w:noProof/>
            <w:webHidden/>
          </w:rPr>
          <w:fldChar w:fldCharType="separate"/>
        </w:r>
        <w:r w:rsidR="00B60374">
          <w:rPr>
            <w:noProof/>
            <w:webHidden/>
          </w:rPr>
          <w:t>90</w:t>
        </w:r>
        <w:r>
          <w:rPr>
            <w:noProof/>
            <w:webHidden/>
          </w:rPr>
          <w:fldChar w:fldCharType="end"/>
        </w:r>
      </w:hyperlink>
    </w:p>
    <w:p w14:paraId="43B3BB8F" w14:textId="527A99DE"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16" w:history="1">
        <w:r w:rsidRPr="00271501">
          <w:rPr>
            <w:rStyle w:val="Hyperlink"/>
            <w:noProof/>
          </w:rPr>
          <w:t>4.4.4 Cytochrome C biogenesis genes expression patterns in H. moseleyanum</w:t>
        </w:r>
        <w:r>
          <w:rPr>
            <w:noProof/>
            <w:webHidden/>
          </w:rPr>
          <w:tab/>
        </w:r>
        <w:r>
          <w:rPr>
            <w:noProof/>
            <w:webHidden/>
          </w:rPr>
          <w:fldChar w:fldCharType="begin"/>
        </w:r>
        <w:r>
          <w:rPr>
            <w:noProof/>
            <w:webHidden/>
          </w:rPr>
          <w:instrText xml:space="preserve"> PAGEREF _Toc235393016 \h </w:instrText>
        </w:r>
        <w:r>
          <w:rPr>
            <w:noProof/>
            <w:webHidden/>
          </w:rPr>
        </w:r>
        <w:r>
          <w:rPr>
            <w:noProof/>
            <w:webHidden/>
          </w:rPr>
          <w:fldChar w:fldCharType="separate"/>
        </w:r>
        <w:r w:rsidR="00B60374">
          <w:rPr>
            <w:noProof/>
            <w:webHidden/>
          </w:rPr>
          <w:t>91</w:t>
        </w:r>
        <w:r>
          <w:rPr>
            <w:noProof/>
            <w:webHidden/>
          </w:rPr>
          <w:fldChar w:fldCharType="end"/>
        </w:r>
      </w:hyperlink>
    </w:p>
    <w:p w14:paraId="612F2C12" w14:textId="157C33A0"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17" w:history="1">
        <w:r w:rsidRPr="00271501">
          <w:rPr>
            <w:rStyle w:val="Hyperlink"/>
            <w:noProof/>
          </w:rPr>
          <w:t>4.4.5 Regulation of nitrite and nitrate transporter genes in response to ant presence in H. moseleyanum</w:t>
        </w:r>
        <w:r>
          <w:rPr>
            <w:noProof/>
            <w:webHidden/>
          </w:rPr>
          <w:tab/>
        </w:r>
        <w:r>
          <w:rPr>
            <w:noProof/>
            <w:webHidden/>
          </w:rPr>
          <w:fldChar w:fldCharType="begin"/>
        </w:r>
        <w:r>
          <w:rPr>
            <w:noProof/>
            <w:webHidden/>
          </w:rPr>
          <w:instrText xml:space="preserve"> PAGEREF _Toc235393017 \h </w:instrText>
        </w:r>
        <w:r>
          <w:rPr>
            <w:noProof/>
            <w:webHidden/>
          </w:rPr>
        </w:r>
        <w:r>
          <w:rPr>
            <w:noProof/>
            <w:webHidden/>
          </w:rPr>
          <w:fldChar w:fldCharType="separate"/>
        </w:r>
        <w:r w:rsidR="00B60374">
          <w:rPr>
            <w:noProof/>
            <w:webHidden/>
          </w:rPr>
          <w:t>92</w:t>
        </w:r>
        <w:r>
          <w:rPr>
            <w:noProof/>
            <w:webHidden/>
          </w:rPr>
          <w:fldChar w:fldCharType="end"/>
        </w:r>
      </w:hyperlink>
    </w:p>
    <w:p w14:paraId="69BAA78C" w14:textId="0765BF34"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18" w:history="1">
        <w:r w:rsidRPr="00271501">
          <w:rPr>
            <w:rStyle w:val="Hyperlink"/>
            <w:noProof/>
          </w:rPr>
          <w:t>4.4.6 Expression pattern of nitrogen-related genes in M. beccarii</w:t>
        </w:r>
        <w:r>
          <w:rPr>
            <w:noProof/>
            <w:webHidden/>
          </w:rPr>
          <w:tab/>
        </w:r>
        <w:r>
          <w:rPr>
            <w:noProof/>
            <w:webHidden/>
          </w:rPr>
          <w:fldChar w:fldCharType="begin"/>
        </w:r>
        <w:r>
          <w:rPr>
            <w:noProof/>
            <w:webHidden/>
          </w:rPr>
          <w:instrText xml:space="preserve"> PAGEREF _Toc235393018 \h </w:instrText>
        </w:r>
        <w:r>
          <w:rPr>
            <w:noProof/>
            <w:webHidden/>
          </w:rPr>
        </w:r>
        <w:r>
          <w:rPr>
            <w:noProof/>
            <w:webHidden/>
          </w:rPr>
          <w:fldChar w:fldCharType="separate"/>
        </w:r>
        <w:r w:rsidR="00B60374">
          <w:rPr>
            <w:noProof/>
            <w:webHidden/>
          </w:rPr>
          <w:t>95</w:t>
        </w:r>
        <w:r>
          <w:rPr>
            <w:noProof/>
            <w:webHidden/>
          </w:rPr>
          <w:fldChar w:fldCharType="end"/>
        </w:r>
      </w:hyperlink>
    </w:p>
    <w:p w14:paraId="38BA8D1D" w14:textId="40979266"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3019" w:history="1">
        <w:r w:rsidRPr="00271501">
          <w:rPr>
            <w:rStyle w:val="Hyperlink"/>
            <w:noProof/>
          </w:rPr>
          <w:t>4.5 Discussion</w:t>
        </w:r>
        <w:r>
          <w:rPr>
            <w:noProof/>
            <w:webHidden/>
          </w:rPr>
          <w:tab/>
        </w:r>
        <w:r>
          <w:rPr>
            <w:noProof/>
            <w:webHidden/>
          </w:rPr>
          <w:fldChar w:fldCharType="begin"/>
        </w:r>
        <w:r>
          <w:rPr>
            <w:noProof/>
            <w:webHidden/>
          </w:rPr>
          <w:instrText xml:space="preserve"> PAGEREF _Toc235393019 \h </w:instrText>
        </w:r>
        <w:r>
          <w:rPr>
            <w:noProof/>
            <w:webHidden/>
          </w:rPr>
        </w:r>
        <w:r>
          <w:rPr>
            <w:noProof/>
            <w:webHidden/>
          </w:rPr>
          <w:fldChar w:fldCharType="separate"/>
        </w:r>
        <w:r w:rsidR="00B60374">
          <w:rPr>
            <w:noProof/>
            <w:webHidden/>
          </w:rPr>
          <w:t>98</w:t>
        </w:r>
        <w:r>
          <w:rPr>
            <w:noProof/>
            <w:webHidden/>
          </w:rPr>
          <w:fldChar w:fldCharType="end"/>
        </w:r>
      </w:hyperlink>
    </w:p>
    <w:p w14:paraId="67C4508C" w14:textId="3615F244"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20" w:history="1">
        <w:r w:rsidRPr="00271501">
          <w:rPr>
            <w:rStyle w:val="Hyperlink"/>
            <w:noProof/>
          </w:rPr>
          <w:t>4.5.1 Ant-induced versus constitutive nitrogen-uptake gene expression in facultative and obligate ant-plants</w:t>
        </w:r>
        <w:r>
          <w:rPr>
            <w:noProof/>
            <w:webHidden/>
          </w:rPr>
          <w:tab/>
        </w:r>
        <w:r>
          <w:rPr>
            <w:noProof/>
            <w:webHidden/>
          </w:rPr>
          <w:fldChar w:fldCharType="begin"/>
        </w:r>
        <w:r>
          <w:rPr>
            <w:noProof/>
            <w:webHidden/>
          </w:rPr>
          <w:instrText xml:space="preserve"> PAGEREF _Toc235393020 \h </w:instrText>
        </w:r>
        <w:r>
          <w:rPr>
            <w:noProof/>
            <w:webHidden/>
          </w:rPr>
        </w:r>
        <w:r>
          <w:rPr>
            <w:noProof/>
            <w:webHidden/>
          </w:rPr>
          <w:fldChar w:fldCharType="separate"/>
        </w:r>
        <w:r w:rsidR="00B60374">
          <w:rPr>
            <w:noProof/>
            <w:webHidden/>
          </w:rPr>
          <w:t>98</w:t>
        </w:r>
        <w:r>
          <w:rPr>
            <w:noProof/>
            <w:webHidden/>
          </w:rPr>
          <w:fldChar w:fldCharType="end"/>
        </w:r>
      </w:hyperlink>
    </w:p>
    <w:p w14:paraId="715301D8" w14:textId="2C4FE6D0"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21" w:history="1">
        <w:r w:rsidRPr="00271501">
          <w:rPr>
            <w:rStyle w:val="Hyperlink"/>
            <w:noProof/>
          </w:rPr>
          <w:t>4.5.2 Ant effects on nitrogen-uptake genes are strongest in Hydnophytum moseleyanum</w:t>
        </w:r>
        <w:r>
          <w:rPr>
            <w:noProof/>
            <w:webHidden/>
          </w:rPr>
          <w:tab/>
        </w:r>
        <w:r>
          <w:rPr>
            <w:noProof/>
            <w:webHidden/>
          </w:rPr>
          <w:fldChar w:fldCharType="begin"/>
        </w:r>
        <w:r>
          <w:rPr>
            <w:noProof/>
            <w:webHidden/>
          </w:rPr>
          <w:instrText xml:space="preserve"> PAGEREF _Toc235393021 \h </w:instrText>
        </w:r>
        <w:r>
          <w:rPr>
            <w:noProof/>
            <w:webHidden/>
          </w:rPr>
        </w:r>
        <w:r>
          <w:rPr>
            <w:noProof/>
            <w:webHidden/>
          </w:rPr>
          <w:fldChar w:fldCharType="separate"/>
        </w:r>
        <w:r w:rsidR="00B60374">
          <w:rPr>
            <w:noProof/>
            <w:webHidden/>
          </w:rPr>
          <w:t>99</w:t>
        </w:r>
        <w:r>
          <w:rPr>
            <w:noProof/>
            <w:webHidden/>
          </w:rPr>
          <w:fldChar w:fldCharType="end"/>
        </w:r>
      </w:hyperlink>
    </w:p>
    <w:p w14:paraId="187AA665" w14:textId="68F201F0"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22" w:history="1">
        <w:r w:rsidRPr="00271501">
          <w:rPr>
            <w:rStyle w:val="Hyperlink"/>
            <w:noProof/>
          </w:rPr>
          <w:t>4.5.3 Weak ant responsiveness in the obligate ant-plant Myrmecodia beccarii</w:t>
        </w:r>
        <w:r>
          <w:rPr>
            <w:noProof/>
            <w:webHidden/>
          </w:rPr>
          <w:tab/>
        </w:r>
        <w:r>
          <w:rPr>
            <w:noProof/>
            <w:webHidden/>
          </w:rPr>
          <w:fldChar w:fldCharType="begin"/>
        </w:r>
        <w:r>
          <w:rPr>
            <w:noProof/>
            <w:webHidden/>
          </w:rPr>
          <w:instrText xml:space="preserve"> PAGEREF _Toc235393022 \h </w:instrText>
        </w:r>
        <w:r>
          <w:rPr>
            <w:noProof/>
            <w:webHidden/>
          </w:rPr>
        </w:r>
        <w:r>
          <w:rPr>
            <w:noProof/>
            <w:webHidden/>
          </w:rPr>
          <w:fldChar w:fldCharType="separate"/>
        </w:r>
        <w:r w:rsidR="00B60374">
          <w:rPr>
            <w:noProof/>
            <w:webHidden/>
          </w:rPr>
          <w:t>100</w:t>
        </w:r>
        <w:r>
          <w:rPr>
            <w:noProof/>
            <w:webHidden/>
          </w:rPr>
          <w:fldChar w:fldCharType="end"/>
        </w:r>
      </w:hyperlink>
    </w:p>
    <w:p w14:paraId="344E2BF6" w14:textId="778E8C00"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23" w:history="1">
        <w:r w:rsidRPr="00271501">
          <w:rPr>
            <w:rStyle w:val="Hyperlink"/>
            <w:noProof/>
          </w:rPr>
          <w:t>4.5.4 Defence gene expression at the domatium nutrient-exchange interface</w:t>
        </w:r>
        <w:r>
          <w:rPr>
            <w:noProof/>
            <w:webHidden/>
          </w:rPr>
          <w:tab/>
        </w:r>
        <w:r>
          <w:rPr>
            <w:noProof/>
            <w:webHidden/>
          </w:rPr>
          <w:fldChar w:fldCharType="begin"/>
        </w:r>
        <w:r>
          <w:rPr>
            <w:noProof/>
            <w:webHidden/>
          </w:rPr>
          <w:instrText xml:space="preserve"> PAGEREF _Toc235393023 \h </w:instrText>
        </w:r>
        <w:r>
          <w:rPr>
            <w:noProof/>
            <w:webHidden/>
          </w:rPr>
        </w:r>
        <w:r>
          <w:rPr>
            <w:noProof/>
            <w:webHidden/>
          </w:rPr>
          <w:fldChar w:fldCharType="separate"/>
        </w:r>
        <w:r w:rsidR="00B60374">
          <w:rPr>
            <w:noProof/>
            <w:webHidden/>
          </w:rPr>
          <w:t>101</w:t>
        </w:r>
        <w:r>
          <w:rPr>
            <w:noProof/>
            <w:webHidden/>
          </w:rPr>
          <w:fldChar w:fldCharType="end"/>
        </w:r>
      </w:hyperlink>
    </w:p>
    <w:p w14:paraId="35F949D8" w14:textId="5F564522" w:rsidR="00946883" w:rsidRDefault="00946883" w:rsidP="00946883">
      <w:pPr>
        <w:pStyle w:val="TOC4"/>
        <w:tabs>
          <w:tab w:val="right" w:leader="dot" w:pos="9010"/>
        </w:tabs>
        <w:spacing w:after="120" w:line="240" w:lineRule="auto"/>
        <w:rPr>
          <w:rFonts w:eastAsiaTheme="minorEastAsia" w:cstheme="minorBidi"/>
          <w:noProof/>
          <w:kern w:val="2"/>
          <w:sz w:val="24"/>
          <w:szCs w:val="24"/>
          <w14:ligatures w14:val="standardContextual"/>
        </w:rPr>
      </w:pPr>
      <w:hyperlink w:anchor="_Toc235393024" w:history="1">
        <w:r w:rsidRPr="00271501">
          <w:rPr>
            <w:rStyle w:val="Hyperlink"/>
            <w:noProof/>
          </w:rPr>
          <w:t>4.5.5 Limitations and future directions</w:t>
        </w:r>
        <w:r>
          <w:rPr>
            <w:noProof/>
            <w:webHidden/>
          </w:rPr>
          <w:tab/>
        </w:r>
        <w:r>
          <w:rPr>
            <w:noProof/>
            <w:webHidden/>
          </w:rPr>
          <w:fldChar w:fldCharType="begin"/>
        </w:r>
        <w:r>
          <w:rPr>
            <w:noProof/>
            <w:webHidden/>
          </w:rPr>
          <w:instrText xml:space="preserve"> PAGEREF _Toc235393024 \h </w:instrText>
        </w:r>
        <w:r>
          <w:rPr>
            <w:noProof/>
            <w:webHidden/>
          </w:rPr>
        </w:r>
        <w:r>
          <w:rPr>
            <w:noProof/>
            <w:webHidden/>
          </w:rPr>
          <w:fldChar w:fldCharType="separate"/>
        </w:r>
        <w:r w:rsidR="00B60374">
          <w:rPr>
            <w:noProof/>
            <w:webHidden/>
          </w:rPr>
          <w:t>102</w:t>
        </w:r>
        <w:r>
          <w:rPr>
            <w:noProof/>
            <w:webHidden/>
          </w:rPr>
          <w:fldChar w:fldCharType="end"/>
        </w:r>
      </w:hyperlink>
    </w:p>
    <w:p w14:paraId="3792B644" w14:textId="15D52CB9"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3025" w:history="1">
        <w:r w:rsidRPr="00271501">
          <w:rPr>
            <w:rStyle w:val="Hyperlink"/>
            <w:noProof/>
          </w:rPr>
          <w:t>4.6 Conclusion</w:t>
        </w:r>
        <w:r>
          <w:rPr>
            <w:noProof/>
            <w:webHidden/>
          </w:rPr>
          <w:tab/>
        </w:r>
        <w:r>
          <w:rPr>
            <w:noProof/>
            <w:webHidden/>
          </w:rPr>
          <w:fldChar w:fldCharType="begin"/>
        </w:r>
        <w:r>
          <w:rPr>
            <w:noProof/>
            <w:webHidden/>
          </w:rPr>
          <w:instrText xml:space="preserve"> PAGEREF _Toc235393025 \h </w:instrText>
        </w:r>
        <w:r>
          <w:rPr>
            <w:noProof/>
            <w:webHidden/>
          </w:rPr>
        </w:r>
        <w:r>
          <w:rPr>
            <w:noProof/>
            <w:webHidden/>
          </w:rPr>
          <w:fldChar w:fldCharType="separate"/>
        </w:r>
        <w:r w:rsidR="00B60374">
          <w:rPr>
            <w:noProof/>
            <w:webHidden/>
          </w:rPr>
          <w:t>103</w:t>
        </w:r>
        <w:r>
          <w:rPr>
            <w:noProof/>
            <w:webHidden/>
          </w:rPr>
          <w:fldChar w:fldCharType="end"/>
        </w:r>
      </w:hyperlink>
    </w:p>
    <w:p w14:paraId="12671D88" w14:textId="4F8DAED1"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3026" w:history="1">
        <w:r w:rsidRPr="00271501">
          <w:rPr>
            <w:rStyle w:val="Hyperlink"/>
            <w:noProof/>
          </w:rPr>
          <w:t>4.7. References</w:t>
        </w:r>
        <w:r>
          <w:rPr>
            <w:noProof/>
            <w:webHidden/>
          </w:rPr>
          <w:tab/>
        </w:r>
        <w:r>
          <w:rPr>
            <w:noProof/>
            <w:webHidden/>
          </w:rPr>
          <w:fldChar w:fldCharType="begin"/>
        </w:r>
        <w:r>
          <w:rPr>
            <w:noProof/>
            <w:webHidden/>
          </w:rPr>
          <w:instrText xml:space="preserve"> PAGEREF _Toc235393026 \h </w:instrText>
        </w:r>
        <w:r>
          <w:rPr>
            <w:noProof/>
            <w:webHidden/>
          </w:rPr>
        </w:r>
        <w:r>
          <w:rPr>
            <w:noProof/>
            <w:webHidden/>
          </w:rPr>
          <w:fldChar w:fldCharType="separate"/>
        </w:r>
        <w:r w:rsidR="00B60374">
          <w:rPr>
            <w:noProof/>
            <w:webHidden/>
          </w:rPr>
          <w:t>105</w:t>
        </w:r>
        <w:r>
          <w:rPr>
            <w:noProof/>
            <w:webHidden/>
          </w:rPr>
          <w:fldChar w:fldCharType="end"/>
        </w:r>
      </w:hyperlink>
    </w:p>
    <w:p w14:paraId="18E4A12E" w14:textId="056C17D8" w:rsidR="00946883" w:rsidRDefault="00946883" w:rsidP="00946883">
      <w:pPr>
        <w:pStyle w:val="TOC2"/>
        <w:tabs>
          <w:tab w:val="right" w:leader="dot" w:pos="9010"/>
        </w:tabs>
        <w:spacing w:after="120" w:line="240" w:lineRule="auto"/>
        <w:rPr>
          <w:rFonts w:eastAsiaTheme="minorEastAsia" w:cstheme="minorBidi"/>
          <w:i w:val="0"/>
          <w:noProof/>
          <w:kern w:val="2"/>
          <w:sz w:val="24"/>
          <w:szCs w:val="24"/>
          <w14:ligatures w14:val="standardContextual"/>
        </w:rPr>
      </w:pPr>
      <w:hyperlink w:anchor="_Toc235393027" w:history="1">
        <w:r w:rsidRPr="00271501">
          <w:rPr>
            <w:rStyle w:val="Hyperlink"/>
            <w:noProof/>
          </w:rPr>
          <w:t>Supplementary figures</w:t>
        </w:r>
        <w:r>
          <w:rPr>
            <w:noProof/>
            <w:webHidden/>
          </w:rPr>
          <w:tab/>
        </w:r>
        <w:r>
          <w:rPr>
            <w:noProof/>
            <w:webHidden/>
          </w:rPr>
          <w:fldChar w:fldCharType="begin"/>
        </w:r>
        <w:r>
          <w:rPr>
            <w:noProof/>
            <w:webHidden/>
          </w:rPr>
          <w:instrText xml:space="preserve"> PAGEREF _Toc235393027 \h </w:instrText>
        </w:r>
        <w:r>
          <w:rPr>
            <w:noProof/>
            <w:webHidden/>
          </w:rPr>
        </w:r>
        <w:r>
          <w:rPr>
            <w:noProof/>
            <w:webHidden/>
          </w:rPr>
          <w:fldChar w:fldCharType="separate"/>
        </w:r>
        <w:r w:rsidR="00B60374">
          <w:rPr>
            <w:noProof/>
            <w:webHidden/>
          </w:rPr>
          <w:t>111</w:t>
        </w:r>
        <w:r>
          <w:rPr>
            <w:noProof/>
            <w:webHidden/>
          </w:rPr>
          <w:fldChar w:fldCharType="end"/>
        </w:r>
      </w:hyperlink>
    </w:p>
    <w:p w14:paraId="16083316" w14:textId="35597054" w:rsidR="00946883" w:rsidRDefault="00946883" w:rsidP="00946883">
      <w:pPr>
        <w:pStyle w:val="TOC1"/>
        <w:spacing w:after="120" w:line="240" w:lineRule="auto"/>
        <w:rPr>
          <w:rFonts w:eastAsiaTheme="minorEastAsia" w:cstheme="minorBidi"/>
          <w:b w:val="0"/>
          <w:bCs w:val="0"/>
          <w:kern w:val="2"/>
          <w:sz w:val="24"/>
          <w:szCs w:val="24"/>
          <w14:ligatures w14:val="standardContextual"/>
        </w:rPr>
      </w:pPr>
      <w:hyperlink w:anchor="_Toc235393028" w:history="1">
        <w:r w:rsidRPr="00271501">
          <w:rPr>
            <w:rStyle w:val="Hyperlink"/>
          </w:rPr>
          <w:t>Chapter 5. General Discussion</w:t>
        </w:r>
        <w:r>
          <w:rPr>
            <w:webHidden/>
          </w:rPr>
          <w:tab/>
        </w:r>
        <w:r>
          <w:rPr>
            <w:webHidden/>
          </w:rPr>
          <w:fldChar w:fldCharType="begin"/>
        </w:r>
        <w:r>
          <w:rPr>
            <w:webHidden/>
          </w:rPr>
          <w:instrText xml:space="preserve"> PAGEREF _Toc235393028 \h </w:instrText>
        </w:r>
        <w:r>
          <w:rPr>
            <w:webHidden/>
          </w:rPr>
        </w:r>
        <w:r>
          <w:rPr>
            <w:webHidden/>
          </w:rPr>
          <w:fldChar w:fldCharType="separate"/>
        </w:r>
        <w:r w:rsidR="00B60374">
          <w:rPr>
            <w:webHidden/>
          </w:rPr>
          <w:t>119</w:t>
        </w:r>
        <w:r>
          <w:rPr>
            <w:webHidden/>
          </w:rPr>
          <w:fldChar w:fldCharType="end"/>
        </w:r>
      </w:hyperlink>
    </w:p>
    <w:p w14:paraId="539C9082" w14:textId="334536F2" w:rsidR="00946883" w:rsidRDefault="00946883" w:rsidP="00946883">
      <w:pPr>
        <w:pStyle w:val="TOC2"/>
        <w:tabs>
          <w:tab w:val="right" w:leader="dot" w:pos="9010"/>
        </w:tabs>
        <w:spacing w:after="120" w:line="240" w:lineRule="auto"/>
        <w:rPr>
          <w:rFonts w:eastAsiaTheme="minorEastAsia" w:cstheme="minorBidi"/>
          <w:i w:val="0"/>
          <w:noProof/>
          <w:kern w:val="2"/>
          <w:sz w:val="24"/>
          <w:szCs w:val="24"/>
          <w14:ligatures w14:val="standardContextual"/>
        </w:rPr>
      </w:pPr>
      <w:hyperlink w:anchor="_Toc235393029" w:history="1">
        <w:r w:rsidRPr="00271501">
          <w:rPr>
            <w:rStyle w:val="Hyperlink"/>
            <w:noProof/>
          </w:rPr>
          <w:t>5.  General discussion</w:t>
        </w:r>
        <w:r>
          <w:rPr>
            <w:noProof/>
            <w:webHidden/>
          </w:rPr>
          <w:tab/>
        </w:r>
        <w:r>
          <w:rPr>
            <w:noProof/>
            <w:webHidden/>
          </w:rPr>
          <w:fldChar w:fldCharType="begin"/>
        </w:r>
        <w:r>
          <w:rPr>
            <w:noProof/>
            <w:webHidden/>
          </w:rPr>
          <w:instrText xml:space="preserve"> PAGEREF _Toc235393029 \h </w:instrText>
        </w:r>
        <w:r>
          <w:rPr>
            <w:noProof/>
            <w:webHidden/>
          </w:rPr>
        </w:r>
        <w:r>
          <w:rPr>
            <w:noProof/>
            <w:webHidden/>
          </w:rPr>
          <w:fldChar w:fldCharType="separate"/>
        </w:r>
        <w:r w:rsidR="00B60374">
          <w:rPr>
            <w:noProof/>
            <w:webHidden/>
          </w:rPr>
          <w:t>120</w:t>
        </w:r>
        <w:r>
          <w:rPr>
            <w:noProof/>
            <w:webHidden/>
          </w:rPr>
          <w:fldChar w:fldCharType="end"/>
        </w:r>
      </w:hyperlink>
    </w:p>
    <w:p w14:paraId="3860A9F0" w14:textId="7BEC45F1"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3030" w:history="1">
        <w:r w:rsidRPr="00271501">
          <w:rPr>
            <w:rStyle w:val="Hyperlink"/>
            <w:noProof/>
          </w:rPr>
          <w:t>5.1. Establishing experimental symbioses in ant–plants</w:t>
        </w:r>
        <w:r>
          <w:rPr>
            <w:noProof/>
            <w:webHidden/>
          </w:rPr>
          <w:tab/>
        </w:r>
        <w:r>
          <w:rPr>
            <w:noProof/>
            <w:webHidden/>
          </w:rPr>
          <w:fldChar w:fldCharType="begin"/>
        </w:r>
        <w:r>
          <w:rPr>
            <w:noProof/>
            <w:webHidden/>
          </w:rPr>
          <w:instrText xml:space="preserve"> PAGEREF _Toc235393030 \h </w:instrText>
        </w:r>
        <w:r>
          <w:rPr>
            <w:noProof/>
            <w:webHidden/>
          </w:rPr>
        </w:r>
        <w:r>
          <w:rPr>
            <w:noProof/>
            <w:webHidden/>
          </w:rPr>
          <w:fldChar w:fldCharType="separate"/>
        </w:r>
        <w:r w:rsidR="00B60374">
          <w:rPr>
            <w:noProof/>
            <w:webHidden/>
          </w:rPr>
          <w:t>122</w:t>
        </w:r>
        <w:r>
          <w:rPr>
            <w:noProof/>
            <w:webHidden/>
          </w:rPr>
          <w:fldChar w:fldCharType="end"/>
        </w:r>
      </w:hyperlink>
    </w:p>
    <w:p w14:paraId="6F642670" w14:textId="6F4DB558"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3031" w:history="1">
        <w:r w:rsidRPr="00271501">
          <w:rPr>
            <w:rStyle w:val="Hyperlink"/>
            <w:noProof/>
          </w:rPr>
          <w:t>5.2. Warty domatium walls as the key site of nitrogen uptake in obligate Hydnophytinae</w:t>
        </w:r>
        <w:r>
          <w:rPr>
            <w:noProof/>
            <w:webHidden/>
          </w:rPr>
          <w:tab/>
        </w:r>
        <w:r>
          <w:rPr>
            <w:noProof/>
            <w:webHidden/>
          </w:rPr>
          <w:fldChar w:fldCharType="begin"/>
        </w:r>
        <w:r>
          <w:rPr>
            <w:noProof/>
            <w:webHidden/>
          </w:rPr>
          <w:instrText xml:space="preserve"> PAGEREF _Toc235393031 \h </w:instrText>
        </w:r>
        <w:r>
          <w:rPr>
            <w:noProof/>
            <w:webHidden/>
          </w:rPr>
        </w:r>
        <w:r>
          <w:rPr>
            <w:noProof/>
            <w:webHidden/>
          </w:rPr>
          <w:fldChar w:fldCharType="separate"/>
        </w:r>
        <w:r w:rsidR="00B60374">
          <w:rPr>
            <w:noProof/>
            <w:webHidden/>
          </w:rPr>
          <w:t>122</w:t>
        </w:r>
        <w:r>
          <w:rPr>
            <w:noProof/>
            <w:webHidden/>
          </w:rPr>
          <w:fldChar w:fldCharType="end"/>
        </w:r>
      </w:hyperlink>
    </w:p>
    <w:p w14:paraId="7023971D" w14:textId="05154025"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3032" w:history="1">
        <w:r w:rsidRPr="00271501">
          <w:rPr>
            <w:rStyle w:val="Hyperlink"/>
            <w:noProof/>
          </w:rPr>
          <w:t>5.3. Mutualistic dependence is reflected in regulatory plasticity at the interface</w:t>
        </w:r>
        <w:r>
          <w:rPr>
            <w:noProof/>
            <w:webHidden/>
          </w:rPr>
          <w:tab/>
        </w:r>
        <w:r>
          <w:rPr>
            <w:noProof/>
            <w:webHidden/>
          </w:rPr>
          <w:fldChar w:fldCharType="begin"/>
        </w:r>
        <w:r>
          <w:rPr>
            <w:noProof/>
            <w:webHidden/>
          </w:rPr>
          <w:instrText xml:space="preserve"> PAGEREF _Toc235393032 \h </w:instrText>
        </w:r>
        <w:r>
          <w:rPr>
            <w:noProof/>
            <w:webHidden/>
          </w:rPr>
        </w:r>
        <w:r>
          <w:rPr>
            <w:noProof/>
            <w:webHidden/>
          </w:rPr>
          <w:fldChar w:fldCharType="separate"/>
        </w:r>
        <w:r w:rsidR="00B60374">
          <w:rPr>
            <w:noProof/>
            <w:webHidden/>
          </w:rPr>
          <w:t>123</w:t>
        </w:r>
        <w:r>
          <w:rPr>
            <w:noProof/>
            <w:webHidden/>
          </w:rPr>
          <w:fldChar w:fldCharType="end"/>
        </w:r>
      </w:hyperlink>
    </w:p>
    <w:p w14:paraId="20691A44" w14:textId="24BE0CA0"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3033" w:history="1">
        <w:r w:rsidRPr="00271501">
          <w:rPr>
            <w:rStyle w:val="Hyperlink"/>
            <w:noProof/>
          </w:rPr>
          <w:t>5.4. Partner identity, microbiomes, and nitrogen form</w:t>
        </w:r>
        <w:r>
          <w:rPr>
            <w:noProof/>
            <w:webHidden/>
          </w:rPr>
          <w:tab/>
        </w:r>
        <w:r>
          <w:rPr>
            <w:noProof/>
            <w:webHidden/>
          </w:rPr>
          <w:fldChar w:fldCharType="begin"/>
        </w:r>
        <w:r>
          <w:rPr>
            <w:noProof/>
            <w:webHidden/>
          </w:rPr>
          <w:instrText xml:space="preserve"> PAGEREF _Toc235393033 \h </w:instrText>
        </w:r>
        <w:r>
          <w:rPr>
            <w:noProof/>
            <w:webHidden/>
          </w:rPr>
        </w:r>
        <w:r>
          <w:rPr>
            <w:noProof/>
            <w:webHidden/>
          </w:rPr>
          <w:fldChar w:fldCharType="separate"/>
        </w:r>
        <w:r w:rsidR="00B60374">
          <w:rPr>
            <w:noProof/>
            <w:webHidden/>
          </w:rPr>
          <w:t>124</w:t>
        </w:r>
        <w:r>
          <w:rPr>
            <w:noProof/>
            <w:webHidden/>
          </w:rPr>
          <w:fldChar w:fldCharType="end"/>
        </w:r>
      </w:hyperlink>
    </w:p>
    <w:p w14:paraId="7B215760" w14:textId="51BCCB13"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3034" w:history="1">
        <w:r w:rsidRPr="00271501">
          <w:rPr>
            <w:rStyle w:val="Hyperlink"/>
            <w:noProof/>
          </w:rPr>
          <w:t>5.5. Conclusion</w:t>
        </w:r>
        <w:r>
          <w:rPr>
            <w:noProof/>
            <w:webHidden/>
          </w:rPr>
          <w:tab/>
        </w:r>
        <w:r>
          <w:rPr>
            <w:noProof/>
            <w:webHidden/>
          </w:rPr>
          <w:fldChar w:fldCharType="begin"/>
        </w:r>
        <w:r>
          <w:rPr>
            <w:noProof/>
            <w:webHidden/>
          </w:rPr>
          <w:instrText xml:space="preserve"> PAGEREF _Toc235393034 \h </w:instrText>
        </w:r>
        <w:r>
          <w:rPr>
            <w:noProof/>
            <w:webHidden/>
          </w:rPr>
        </w:r>
        <w:r>
          <w:rPr>
            <w:noProof/>
            <w:webHidden/>
          </w:rPr>
          <w:fldChar w:fldCharType="separate"/>
        </w:r>
        <w:r w:rsidR="00B60374">
          <w:rPr>
            <w:noProof/>
            <w:webHidden/>
          </w:rPr>
          <w:t>125</w:t>
        </w:r>
        <w:r>
          <w:rPr>
            <w:noProof/>
            <w:webHidden/>
          </w:rPr>
          <w:fldChar w:fldCharType="end"/>
        </w:r>
      </w:hyperlink>
    </w:p>
    <w:p w14:paraId="4921F250" w14:textId="4454E9F8" w:rsidR="00946883" w:rsidRDefault="00946883" w:rsidP="00946883">
      <w:pPr>
        <w:pStyle w:val="TOC3"/>
        <w:tabs>
          <w:tab w:val="right" w:leader="dot" w:pos="9010"/>
        </w:tabs>
        <w:spacing w:after="120" w:line="240" w:lineRule="auto"/>
        <w:rPr>
          <w:rFonts w:eastAsiaTheme="minorEastAsia" w:cstheme="minorBidi"/>
          <w:noProof/>
          <w:kern w:val="2"/>
          <w:sz w:val="24"/>
          <w:szCs w:val="24"/>
          <w14:ligatures w14:val="standardContextual"/>
        </w:rPr>
      </w:pPr>
      <w:hyperlink w:anchor="_Toc235393035" w:history="1">
        <w:r w:rsidRPr="00271501">
          <w:rPr>
            <w:rStyle w:val="Hyperlink"/>
            <w:noProof/>
            <w:lang w:val="pt-BR"/>
          </w:rPr>
          <w:t>5.6. References</w:t>
        </w:r>
        <w:r>
          <w:rPr>
            <w:noProof/>
            <w:webHidden/>
          </w:rPr>
          <w:tab/>
        </w:r>
        <w:r>
          <w:rPr>
            <w:noProof/>
            <w:webHidden/>
          </w:rPr>
          <w:fldChar w:fldCharType="begin"/>
        </w:r>
        <w:r>
          <w:rPr>
            <w:noProof/>
            <w:webHidden/>
          </w:rPr>
          <w:instrText xml:space="preserve"> PAGEREF _Toc235393035 \h </w:instrText>
        </w:r>
        <w:r>
          <w:rPr>
            <w:noProof/>
            <w:webHidden/>
          </w:rPr>
        </w:r>
        <w:r>
          <w:rPr>
            <w:noProof/>
            <w:webHidden/>
          </w:rPr>
          <w:fldChar w:fldCharType="separate"/>
        </w:r>
        <w:r w:rsidR="00B60374">
          <w:rPr>
            <w:noProof/>
            <w:webHidden/>
          </w:rPr>
          <w:t>126</w:t>
        </w:r>
        <w:r>
          <w:rPr>
            <w:noProof/>
            <w:webHidden/>
          </w:rPr>
          <w:fldChar w:fldCharType="end"/>
        </w:r>
      </w:hyperlink>
    </w:p>
    <w:p w14:paraId="799EC7DD" w14:textId="3659CB64" w:rsidR="00856741" w:rsidRDefault="00946883" w:rsidP="00946883">
      <w:pPr>
        <w:pStyle w:val="TOCHeading"/>
        <w:spacing w:before="0" w:after="120" w:line="276" w:lineRule="auto"/>
        <w:rPr>
          <w:rFonts w:ascii="Times New Roman" w:hAnsi="Times New Roman" w:cs="Times New Roman"/>
          <w:b/>
          <w:bCs/>
          <w:color w:val="auto"/>
          <w:sz w:val="36"/>
          <w:szCs w:val="36"/>
        </w:rPr>
      </w:pPr>
      <w:r>
        <w:rPr>
          <w:rFonts w:ascii="Times New Roman" w:hAnsi="Times New Roman" w:cs="Times New Roman"/>
          <w:b/>
          <w:bCs/>
          <w:color w:val="auto"/>
          <w:sz w:val="36"/>
          <w:szCs w:val="36"/>
        </w:rPr>
        <w:fldChar w:fldCharType="end"/>
      </w:r>
    </w:p>
    <w:p w14:paraId="7BE4FE09" w14:textId="457A2308" w:rsidR="00532CDD" w:rsidRPr="001F4320" w:rsidRDefault="00532CDD" w:rsidP="00532CDD">
      <w:pPr>
        <w:pStyle w:val="TOCHeading"/>
        <w:rPr>
          <w:rFonts w:ascii="Times New Roman" w:hAnsi="Times New Roman" w:cs="Times New Roman"/>
          <w:b/>
          <w:bCs/>
          <w:color w:val="auto"/>
          <w:sz w:val="36"/>
          <w:szCs w:val="36"/>
        </w:rPr>
      </w:pPr>
      <w:r w:rsidRPr="001F4320">
        <w:rPr>
          <w:rFonts w:ascii="Times New Roman" w:hAnsi="Times New Roman" w:cs="Times New Roman"/>
          <w:b/>
          <w:bCs/>
          <w:color w:val="auto"/>
          <w:sz w:val="36"/>
          <w:szCs w:val="36"/>
        </w:rPr>
        <w:t xml:space="preserve">Table of </w:t>
      </w:r>
      <w:r>
        <w:rPr>
          <w:rFonts w:ascii="Times New Roman" w:hAnsi="Times New Roman" w:cs="Times New Roman"/>
          <w:b/>
          <w:bCs/>
          <w:color w:val="auto"/>
          <w:sz w:val="36"/>
          <w:szCs w:val="36"/>
        </w:rPr>
        <w:t>Figures</w:t>
      </w:r>
    </w:p>
    <w:p w14:paraId="6B187FC1" w14:textId="0946B0EB"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r w:rsidRPr="00532CDD">
        <w:rPr>
          <w:rFonts w:eastAsia="Times New Roman" w:cs="Times New Roman"/>
          <w:color w:val="000000"/>
          <w:sz w:val="36"/>
          <w:szCs w:val="36"/>
        </w:rPr>
        <w:fldChar w:fldCharType="begin"/>
      </w:r>
      <w:r w:rsidRPr="00532CDD">
        <w:rPr>
          <w:rFonts w:eastAsia="Times New Roman" w:cs="Times New Roman"/>
          <w:color w:val="000000"/>
          <w:sz w:val="36"/>
          <w:szCs w:val="36"/>
        </w:rPr>
        <w:instrText xml:space="preserve"> TOC \h \z \c "Figure" </w:instrText>
      </w:r>
      <w:r w:rsidRPr="00532CDD">
        <w:rPr>
          <w:rFonts w:eastAsia="Times New Roman" w:cs="Times New Roman"/>
          <w:color w:val="000000"/>
          <w:sz w:val="36"/>
          <w:szCs w:val="36"/>
        </w:rPr>
        <w:fldChar w:fldCharType="separate"/>
      </w:r>
      <w:hyperlink w:anchor="_Toc235390723" w:history="1">
        <w:r w:rsidRPr="00532CDD">
          <w:rPr>
            <w:rStyle w:val="Hyperlink"/>
            <w:noProof/>
          </w:rPr>
          <w:t>Figure 1: Internal caudex morphology and chamber differentiation in myrmecophytes.</w:t>
        </w:r>
        <w:r w:rsidRPr="00532CDD">
          <w:rPr>
            <w:noProof/>
            <w:webHidden/>
          </w:rPr>
          <w:tab/>
        </w:r>
        <w:r w:rsidRPr="00532CDD">
          <w:rPr>
            <w:noProof/>
            <w:webHidden/>
          </w:rPr>
          <w:fldChar w:fldCharType="begin"/>
        </w:r>
        <w:r w:rsidRPr="00532CDD">
          <w:rPr>
            <w:noProof/>
            <w:webHidden/>
          </w:rPr>
          <w:instrText xml:space="preserve"> PAGEREF _Toc235390723 \h </w:instrText>
        </w:r>
        <w:r w:rsidRPr="00532CDD">
          <w:rPr>
            <w:noProof/>
            <w:webHidden/>
          </w:rPr>
        </w:r>
        <w:r w:rsidRPr="00532CDD">
          <w:rPr>
            <w:noProof/>
            <w:webHidden/>
          </w:rPr>
          <w:fldChar w:fldCharType="separate"/>
        </w:r>
        <w:r w:rsidR="00B60374">
          <w:rPr>
            <w:noProof/>
            <w:webHidden/>
          </w:rPr>
          <w:t>11</w:t>
        </w:r>
        <w:r w:rsidRPr="00532CDD">
          <w:rPr>
            <w:noProof/>
            <w:webHidden/>
          </w:rPr>
          <w:fldChar w:fldCharType="end"/>
        </w:r>
      </w:hyperlink>
    </w:p>
    <w:p w14:paraId="25EA0401" w14:textId="169E6A81"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24" w:history="1">
        <w:r w:rsidRPr="00532CDD">
          <w:rPr>
            <w:rStyle w:val="Hyperlink"/>
            <w:noProof/>
          </w:rPr>
          <w:t>Figure 2: GenomeScope k-mer frequency spectrum for Hydnophytum moseleyanum, showing k-mer coverage (x-axis) versus frequency (y-axis).</w:t>
        </w:r>
        <w:r w:rsidRPr="00532CDD">
          <w:rPr>
            <w:noProof/>
            <w:webHidden/>
          </w:rPr>
          <w:tab/>
        </w:r>
        <w:r w:rsidRPr="00532CDD">
          <w:rPr>
            <w:noProof/>
            <w:webHidden/>
          </w:rPr>
          <w:fldChar w:fldCharType="begin"/>
        </w:r>
        <w:r w:rsidRPr="00532CDD">
          <w:rPr>
            <w:noProof/>
            <w:webHidden/>
          </w:rPr>
          <w:instrText xml:space="preserve"> PAGEREF _Toc235390724 \h </w:instrText>
        </w:r>
        <w:r w:rsidRPr="00532CDD">
          <w:rPr>
            <w:noProof/>
            <w:webHidden/>
          </w:rPr>
        </w:r>
        <w:r w:rsidRPr="00532CDD">
          <w:rPr>
            <w:noProof/>
            <w:webHidden/>
          </w:rPr>
          <w:fldChar w:fldCharType="separate"/>
        </w:r>
        <w:r w:rsidR="00B60374">
          <w:rPr>
            <w:noProof/>
            <w:webHidden/>
          </w:rPr>
          <w:t>30</w:t>
        </w:r>
        <w:r w:rsidRPr="00532CDD">
          <w:rPr>
            <w:noProof/>
            <w:webHidden/>
          </w:rPr>
          <w:fldChar w:fldCharType="end"/>
        </w:r>
      </w:hyperlink>
    </w:p>
    <w:p w14:paraId="1DA85BA1" w14:textId="009AB1E2"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25" w:history="1">
        <w:r w:rsidRPr="00532CDD">
          <w:rPr>
            <w:rStyle w:val="Hyperlink"/>
            <w:noProof/>
          </w:rPr>
          <w:t>Figure 3: GenomeScope k-mer frequency spectrum for Myrmecodia beccarii, showing k-mer coverage (x-axis) versus frequency (y-axis).</w:t>
        </w:r>
        <w:r w:rsidRPr="00532CDD">
          <w:rPr>
            <w:noProof/>
            <w:webHidden/>
          </w:rPr>
          <w:tab/>
        </w:r>
        <w:r w:rsidRPr="00532CDD">
          <w:rPr>
            <w:noProof/>
            <w:webHidden/>
          </w:rPr>
          <w:fldChar w:fldCharType="begin"/>
        </w:r>
        <w:r w:rsidRPr="00532CDD">
          <w:rPr>
            <w:noProof/>
            <w:webHidden/>
          </w:rPr>
          <w:instrText xml:space="preserve"> PAGEREF _Toc235390725 \h </w:instrText>
        </w:r>
        <w:r w:rsidRPr="00532CDD">
          <w:rPr>
            <w:noProof/>
            <w:webHidden/>
          </w:rPr>
        </w:r>
        <w:r w:rsidRPr="00532CDD">
          <w:rPr>
            <w:noProof/>
            <w:webHidden/>
          </w:rPr>
          <w:fldChar w:fldCharType="separate"/>
        </w:r>
        <w:r w:rsidR="00B60374">
          <w:rPr>
            <w:noProof/>
            <w:webHidden/>
          </w:rPr>
          <w:t>31</w:t>
        </w:r>
        <w:r w:rsidRPr="00532CDD">
          <w:rPr>
            <w:noProof/>
            <w:webHidden/>
          </w:rPr>
          <w:fldChar w:fldCharType="end"/>
        </w:r>
      </w:hyperlink>
    </w:p>
    <w:p w14:paraId="5ECFEAFB" w14:textId="6248059B"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26" w:history="1">
        <w:r w:rsidRPr="00532CDD">
          <w:rPr>
            <w:rStyle w:val="Hyperlink"/>
            <w:noProof/>
          </w:rPr>
          <w:t>Figure 4: Experimental setup for stable isotope labelling.</w:t>
        </w:r>
        <w:r w:rsidRPr="00532CDD">
          <w:rPr>
            <w:noProof/>
            <w:webHidden/>
          </w:rPr>
          <w:tab/>
        </w:r>
        <w:r w:rsidRPr="00532CDD">
          <w:rPr>
            <w:noProof/>
            <w:webHidden/>
          </w:rPr>
          <w:fldChar w:fldCharType="begin"/>
        </w:r>
        <w:r w:rsidRPr="00532CDD">
          <w:rPr>
            <w:noProof/>
            <w:webHidden/>
          </w:rPr>
          <w:instrText xml:space="preserve"> PAGEREF _Toc235390726 \h </w:instrText>
        </w:r>
        <w:r w:rsidRPr="00532CDD">
          <w:rPr>
            <w:noProof/>
            <w:webHidden/>
          </w:rPr>
        </w:r>
        <w:r w:rsidRPr="00532CDD">
          <w:rPr>
            <w:noProof/>
            <w:webHidden/>
          </w:rPr>
          <w:fldChar w:fldCharType="separate"/>
        </w:r>
        <w:r w:rsidR="00B60374">
          <w:rPr>
            <w:noProof/>
            <w:webHidden/>
          </w:rPr>
          <w:t>50</w:t>
        </w:r>
        <w:r w:rsidRPr="00532CDD">
          <w:rPr>
            <w:noProof/>
            <w:webHidden/>
          </w:rPr>
          <w:fldChar w:fldCharType="end"/>
        </w:r>
      </w:hyperlink>
    </w:p>
    <w:p w14:paraId="69768190" w14:textId="039315E1"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27" w:history="1">
        <w:r w:rsidRPr="00532CDD">
          <w:rPr>
            <w:rStyle w:val="Hyperlink"/>
            <w:noProof/>
          </w:rPr>
          <w:t>Figure 5: Experimental cohorts of Myrmecodia beccarii and Hydnophytum moseleyanum isolated on water barriers to prevent ant access.</w:t>
        </w:r>
        <w:r w:rsidRPr="00532CDD">
          <w:rPr>
            <w:noProof/>
            <w:webHidden/>
          </w:rPr>
          <w:tab/>
        </w:r>
        <w:r w:rsidRPr="00532CDD">
          <w:rPr>
            <w:noProof/>
            <w:webHidden/>
          </w:rPr>
          <w:fldChar w:fldCharType="begin"/>
        </w:r>
        <w:r w:rsidRPr="00532CDD">
          <w:rPr>
            <w:noProof/>
            <w:webHidden/>
          </w:rPr>
          <w:instrText xml:space="preserve"> PAGEREF _Toc235390727 \h </w:instrText>
        </w:r>
        <w:r w:rsidRPr="00532CDD">
          <w:rPr>
            <w:noProof/>
            <w:webHidden/>
          </w:rPr>
        </w:r>
        <w:r w:rsidRPr="00532CDD">
          <w:rPr>
            <w:noProof/>
            <w:webHidden/>
          </w:rPr>
          <w:fldChar w:fldCharType="separate"/>
        </w:r>
        <w:r w:rsidR="00B60374">
          <w:rPr>
            <w:noProof/>
            <w:webHidden/>
          </w:rPr>
          <w:t>51</w:t>
        </w:r>
        <w:r w:rsidRPr="00532CDD">
          <w:rPr>
            <w:noProof/>
            <w:webHidden/>
          </w:rPr>
          <w:fldChar w:fldCharType="end"/>
        </w:r>
      </w:hyperlink>
    </w:p>
    <w:p w14:paraId="02555E1D" w14:textId="01A4ACA9"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28" w:history="1">
        <w:r w:rsidRPr="00532CDD">
          <w:rPr>
            <w:rStyle w:val="Hyperlink"/>
            <w:noProof/>
          </w:rPr>
          <w:t>Figure 6: Experimental workflow for tracing ant-derived nitrogen into Hydnophytinae domatium tissues.</w:t>
        </w:r>
        <w:r w:rsidRPr="00532CDD">
          <w:rPr>
            <w:noProof/>
            <w:webHidden/>
          </w:rPr>
          <w:tab/>
        </w:r>
        <w:r w:rsidRPr="00532CDD">
          <w:rPr>
            <w:noProof/>
            <w:webHidden/>
          </w:rPr>
          <w:fldChar w:fldCharType="begin"/>
        </w:r>
        <w:r w:rsidRPr="00532CDD">
          <w:rPr>
            <w:noProof/>
            <w:webHidden/>
          </w:rPr>
          <w:instrText xml:space="preserve"> PAGEREF _Toc235390728 \h </w:instrText>
        </w:r>
        <w:r w:rsidRPr="00532CDD">
          <w:rPr>
            <w:noProof/>
            <w:webHidden/>
          </w:rPr>
        </w:r>
        <w:r w:rsidRPr="00532CDD">
          <w:rPr>
            <w:noProof/>
            <w:webHidden/>
          </w:rPr>
          <w:fldChar w:fldCharType="separate"/>
        </w:r>
        <w:r w:rsidR="00B60374">
          <w:rPr>
            <w:noProof/>
            <w:webHidden/>
          </w:rPr>
          <w:t>52</w:t>
        </w:r>
        <w:r w:rsidRPr="00532CDD">
          <w:rPr>
            <w:noProof/>
            <w:webHidden/>
          </w:rPr>
          <w:fldChar w:fldCharType="end"/>
        </w:r>
      </w:hyperlink>
    </w:p>
    <w:p w14:paraId="2008281F" w14:textId="5000FE16"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29" w:history="1">
        <w:r w:rsidRPr="00532CDD">
          <w:rPr>
            <w:rStyle w:val="Hyperlink"/>
            <w:noProof/>
          </w:rPr>
          <w:t>Figure 7: Contrasting plant health between a domatium-bearing and a non-domatium-bearing plant.</w:t>
        </w:r>
        <w:r w:rsidRPr="00532CDD">
          <w:rPr>
            <w:noProof/>
            <w:webHidden/>
          </w:rPr>
          <w:tab/>
        </w:r>
        <w:r w:rsidRPr="00532CDD">
          <w:rPr>
            <w:noProof/>
            <w:webHidden/>
          </w:rPr>
          <w:fldChar w:fldCharType="begin"/>
        </w:r>
        <w:r w:rsidRPr="00532CDD">
          <w:rPr>
            <w:noProof/>
            <w:webHidden/>
          </w:rPr>
          <w:instrText xml:space="preserve"> PAGEREF _Toc235390729 \h </w:instrText>
        </w:r>
        <w:r w:rsidRPr="00532CDD">
          <w:rPr>
            <w:noProof/>
            <w:webHidden/>
          </w:rPr>
        </w:r>
        <w:r w:rsidRPr="00532CDD">
          <w:rPr>
            <w:noProof/>
            <w:webHidden/>
          </w:rPr>
          <w:fldChar w:fldCharType="separate"/>
        </w:r>
        <w:r w:rsidR="00B60374">
          <w:rPr>
            <w:noProof/>
            <w:webHidden/>
          </w:rPr>
          <w:t>56</w:t>
        </w:r>
        <w:r w:rsidRPr="00532CDD">
          <w:rPr>
            <w:noProof/>
            <w:webHidden/>
          </w:rPr>
          <w:fldChar w:fldCharType="end"/>
        </w:r>
      </w:hyperlink>
    </w:p>
    <w:p w14:paraId="73F7FFD5" w14:textId="4C34CA14"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30" w:history="1">
        <w:r w:rsidRPr="00532CDD">
          <w:rPr>
            <w:rStyle w:val="Hyperlink"/>
            <w:noProof/>
          </w:rPr>
          <w:t>Figure 8: Mean δ¹⁵N values in without ants and with ants treatments in Hydnophytum moseleyanum, shown by tissue type, with error bars representing ± SEM.</w:t>
        </w:r>
        <w:r w:rsidRPr="00532CDD">
          <w:rPr>
            <w:noProof/>
            <w:webHidden/>
          </w:rPr>
          <w:tab/>
        </w:r>
        <w:r w:rsidRPr="00532CDD">
          <w:rPr>
            <w:noProof/>
            <w:webHidden/>
          </w:rPr>
          <w:fldChar w:fldCharType="begin"/>
        </w:r>
        <w:r w:rsidRPr="00532CDD">
          <w:rPr>
            <w:noProof/>
            <w:webHidden/>
          </w:rPr>
          <w:instrText xml:space="preserve"> PAGEREF _Toc235390730 \h </w:instrText>
        </w:r>
        <w:r w:rsidRPr="00532CDD">
          <w:rPr>
            <w:noProof/>
            <w:webHidden/>
          </w:rPr>
        </w:r>
        <w:r w:rsidRPr="00532CDD">
          <w:rPr>
            <w:noProof/>
            <w:webHidden/>
          </w:rPr>
          <w:fldChar w:fldCharType="separate"/>
        </w:r>
        <w:r w:rsidR="00B60374">
          <w:rPr>
            <w:noProof/>
            <w:webHidden/>
          </w:rPr>
          <w:t>58</w:t>
        </w:r>
        <w:r w:rsidRPr="00532CDD">
          <w:rPr>
            <w:noProof/>
            <w:webHidden/>
          </w:rPr>
          <w:fldChar w:fldCharType="end"/>
        </w:r>
      </w:hyperlink>
    </w:p>
    <w:p w14:paraId="0C1E85AB" w14:textId="2220DAB9"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31" w:history="1">
        <w:r w:rsidRPr="00532CDD">
          <w:rPr>
            <w:rStyle w:val="Hyperlink"/>
            <w:noProof/>
          </w:rPr>
          <w:t>Figure 9: Mean δ¹⁵N values in without ants and with ants treatments in Myrmecodia beccarii, shown by tissue type, with error bars representing ± SEM.</w:t>
        </w:r>
        <w:r w:rsidRPr="00532CDD">
          <w:rPr>
            <w:noProof/>
            <w:webHidden/>
          </w:rPr>
          <w:tab/>
        </w:r>
        <w:r w:rsidRPr="00532CDD">
          <w:rPr>
            <w:noProof/>
            <w:webHidden/>
          </w:rPr>
          <w:fldChar w:fldCharType="begin"/>
        </w:r>
        <w:r w:rsidRPr="00532CDD">
          <w:rPr>
            <w:noProof/>
            <w:webHidden/>
          </w:rPr>
          <w:instrText xml:space="preserve"> PAGEREF _Toc235390731 \h </w:instrText>
        </w:r>
        <w:r w:rsidRPr="00532CDD">
          <w:rPr>
            <w:noProof/>
            <w:webHidden/>
          </w:rPr>
        </w:r>
        <w:r w:rsidRPr="00532CDD">
          <w:rPr>
            <w:noProof/>
            <w:webHidden/>
          </w:rPr>
          <w:fldChar w:fldCharType="separate"/>
        </w:r>
        <w:r w:rsidR="00B60374">
          <w:rPr>
            <w:noProof/>
            <w:webHidden/>
          </w:rPr>
          <w:t>59</w:t>
        </w:r>
        <w:r w:rsidRPr="00532CDD">
          <w:rPr>
            <w:noProof/>
            <w:webHidden/>
          </w:rPr>
          <w:fldChar w:fldCharType="end"/>
        </w:r>
      </w:hyperlink>
    </w:p>
    <w:p w14:paraId="09FAAB32" w14:textId="724001C6"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32" w:history="1">
        <w:r w:rsidRPr="00532CDD">
          <w:rPr>
            <w:rStyle w:val="Hyperlink"/>
            <w:noProof/>
          </w:rPr>
          <w:t>Figure 10: Experimental design and sampling scheme..</w:t>
        </w:r>
        <w:r w:rsidRPr="00532CDD">
          <w:rPr>
            <w:noProof/>
            <w:webHidden/>
          </w:rPr>
          <w:tab/>
        </w:r>
        <w:r w:rsidRPr="00532CDD">
          <w:rPr>
            <w:noProof/>
            <w:webHidden/>
          </w:rPr>
          <w:fldChar w:fldCharType="begin"/>
        </w:r>
        <w:r w:rsidRPr="00532CDD">
          <w:rPr>
            <w:noProof/>
            <w:webHidden/>
          </w:rPr>
          <w:instrText xml:space="preserve"> PAGEREF _Toc235390732 \h </w:instrText>
        </w:r>
        <w:r w:rsidRPr="00532CDD">
          <w:rPr>
            <w:noProof/>
            <w:webHidden/>
          </w:rPr>
        </w:r>
        <w:r w:rsidRPr="00532CDD">
          <w:rPr>
            <w:noProof/>
            <w:webHidden/>
          </w:rPr>
          <w:fldChar w:fldCharType="separate"/>
        </w:r>
        <w:r w:rsidR="00B60374">
          <w:rPr>
            <w:noProof/>
            <w:webHidden/>
          </w:rPr>
          <w:t>81</w:t>
        </w:r>
        <w:r w:rsidRPr="00532CDD">
          <w:rPr>
            <w:noProof/>
            <w:webHidden/>
          </w:rPr>
          <w:fldChar w:fldCharType="end"/>
        </w:r>
      </w:hyperlink>
    </w:p>
    <w:p w14:paraId="708647DF" w14:textId="62C2F682"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33" w:history="1">
        <w:r w:rsidRPr="00532CDD">
          <w:rPr>
            <w:rStyle w:val="Hyperlink"/>
            <w:noProof/>
          </w:rPr>
          <w:t>Figure 11: Volcano plot of differential gene expression between warty-like tissues of Hydnophytum moseleyanum with ants and without ants.</w:t>
        </w:r>
        <w:r w:rsidRPr="00532CDD">
          <w:rPr>
            <w:noProof/>
            <w:webHidden/>
          </w:rPr>
          <w:tab/>
        </w:r>
        <w:r w:rsidRPr="00532CDD">
          <w:rPr>
            <w:noProof/>
            <w:webHidden/>
          </w:rPr>
          <w:fldChar w:fldCharType="begin"/>
        </w:r>
        <w:r w:rsidRPr="00532CDD">
          <w:rPr>
            <w:noProof/>
            <w:webHidden/>
          </w:rPr>
          <w:instrText xml:space="preserve"> PAGEREF _Toc235390733 \h </w:instrText>
        </w:r>
        <w:r w:rsidRPr="00532CDD">
          <w:rPr>
            <w:noProof/>
            <w:webHidden/>
          </w:rPr>
        </w:r>
        <w:r w:rsidRPr="00532CDD">
          <w:rPr>
            <w:noProof/>
            <w:webHidden/>
          </w:rPr>
          <w:fldChar w:fldCharType="separate"/>
        </w:r>
        <w:r w:rsidR="00B60374">
          <w:rPr>
            <w:noProof/>
            <w:webHidden/>
          </w:rPr>
          <w:t>85</w:t>
        </w:r>
        <w:r w:rsidRPr="00532CDD">
          <w:rPr>
            <w:noProof/>
            <w:webHidden/>
          </w:rPr>
          <w:fldChar w:fldCharType="end"/>
        </w:r>
      </w:hyperlink>
    </w:p>
    <w:p w14:paraId="6A802461" w14:textId="1FE8E65D"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34" w:history="1">
        <w:r w:rsidRPr="00532CDD">
          <w:rPr>
            <w:rStyle w:val="Hyperlink"/>
            <w:noProof/>
          </w:rPr>
          <w:t>Figure 12: Volcano plot of differential gene expression between warty tissues of Myrmecodia beccarii with ants and without ants.</w:t>
        </w:r>
        <w:r w:rsidRPr="00532CDD">
          <w:rPr>
            <w:noProof/>
            <w:webHidden/>
          </w:rPr>
          <w:tab/>
        </w:r>
        <w:r w:rsidRPr="00532CDD">
          <w:rPr>
            <w:noProof/>
            <w:webHidden/>
          </w:rPr>
          <w:fldChar w:fldCharType="begin"/>
        </w:r>
        <w:r w:rsidRPr="00532CDD">
          <w:rPr>
            <w:noProof/>
            <w:webHidden/>
          </w:rPr>
          <w:instrText xml:space="preserve"> PAGEREF _Toc235390734 \h </w:instrText>
        </w:r>
        <w:r w:rsidRPr="00532CDD">
          <w:rPr>
            <w:noProof/>
            <w:webHidden/>
          </w:rPr>
        </w:r>
        <w:r w:rsidRPr="00532CDD">
          <w:rPr>
            <w:noProof/>
            <w:webHidden/>
          </w:rPr>
          <w:fldChar w:fldCharType="separate"/>
        </w:r>
        <w:r w:rsidR="00B60374">
          <w:rPr>
            <w:noProof/>
            <w:webHidden/>
          </w:rPr>
          <w:t>86</w:t>
        </w:r>
        <w:r w:rsidRPr="00532CDD">
          <w:rPr>
            <w:noProof/>
            <w:webHidden/>
          </w:rPr>
          <w:fldChar w:fldCharType="end"/>
        </w:r>
      </w:hyperlink>
    </w:p>
    <w:p w14:paraId="51008C82" w14:textId="1D178516"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35" w:history="1">
        <w:r w:rsidRPr="00532CDD">
          <w:rPr>
            <w:rStyle w:val="Hyperlink"/>
            <w:noProof/>
          </w:rPr>
          <w:t>Figure 13: Heatmap of nitrogen-related genes in H. moseleyanum showing log₂-transformed normalised expression values from DESeq2 (variance-stabilised counts).</w:t>
        </w:r>
        <w:r w:rsidRPr="00532CDD">
          <w:rPr>
            <w:noProof/>
            <w:webHidden/>
          </w:rPr>
          <w:tab/>
        </w:r>
        <w:r w:rsidRPr="00532CDD">
          <w:rPr>
            <w:noProof/>
            <w:webHidden/>
          </w:rPr>
          <w:fldChar w:fldCharType="begin"/>
        </w:r>
        <w:r w:rsidRPr="00532CDD">
          <w:rPr>
            <w:noProof/>
            <w:webHidden/>
          </w:rPr>
          <w:instrText xml:space="preserve"> PAGEREF _Toc235390735 \h </w:instrText>
        </w:r>
        <w:r w:rsidRPr="00532CDD">
          <w:rPr>
            <w:noProof/>
            <w:webHidden/>
          </w:rPr>
        </w:r>
        <w:r w:rsidRPr="00532CDD">
          <w:rPr>
            <w:noProof/>
            <w:webHidden/>
          </w:rPr>
          <w:fldChar w:fldCharType="separate"/>
        </w:r>
        <w:r w:rsidR="00B60374">
          <w:rPr>
            <w:noProof/>
            <w:webHidden/>
          </w:rPr>
          <w:t>88</w:t>
        </w:r>
        <w:r w:rsidRPr="00532CDD">
          <w:rPr>
            <w:noProof/>
            <w:webHidden/>
          </w:rPr>
          <w:fldChar w:fldCharType="end"/>
        </w:r>
      </w:hyperlink>
    </w:p>
    <w:p w14:paraId="1D1B26F4" w14:textId="704296D8"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36" w:history="1">
        <w:r w:rsidRPr="00532CDD">
          <w:rPr>
            <w:rStyle w:val="Hyperlink"/>
            <w:noProof/>
          </w:rPr>
          <w:t>Figure 14: Bar plot of ammonium transporter gene expression in H. moseleyanum showing mean log₂-transformed normalised expression values from DESeq2 (variance-stabilised counts) for ants and no ants treatments. Error bars indicate ± standard error across three biological replicates.</w:t>
        </w:r>
        <w:r w:rsidRPr="00532CDD">
          <w:rPr>
            <w:noProof/>
            <w:webHidden/>
          </w:rPr>
          <w:tab/>
        </w:r>
        <w:r w:rsidRPr="00532CDD">
          <w:rPr>
            <w:noProof/>
            <w:webHidden/>
          </w:rPr>
          <w:fldChar w:fldCharType="begin"/>
        </w:r>
        <w:r w:rsidRPr="00532CDD">
          <w:rPr>
            <w:noProof/>
            <w:webHidden/>
          </w:rPr>
          <w:instrText xml:space="preserve"> PAGEREF _Toc235390736 \h </w:instrText>
        </w:r>
        <w:r w:rsidRPr="00532CDD">
          <w:rPr>
            <w:noProof/>
            <w:webHidden/>
          </w:rPr>
        </w:r>
        <w:r w:rsidRPr="00532CDD">
          <w:rPr>
            <w:noProof/>
            <w:webHidden/>
          </w:rPr>
          <w:fldChar w:fldCharType="separate"/>
        </w:r>
        <w:r w:rsidR="00B60374">
          <w:rPr>
            <w:noProof/>
            <w:webHidden/>
          </w:rPr>
          <w:t>90</w:t>
        </w:r>
        <w:r w:rsidRPr="00532CDD">
          <w:rPr>
            <w:noProof/>
            <w:webHidden/>
          </w:rPr>
          <w:fldChar w:fldCharType="end"/>
        </w:r>
      </w:hyperlink>
    </w:p>
    <w:p w14:paraId="35B21C4F" w14:textId="13F42B18"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37" w:history="1">
        <w:r w:rsidRPr="00532CDD">
          <w:rPr>
            <w:rStyle w:val="Hyperlink"/>
            <w:noProof/>
          </w:rPr>
          <w:t>Figure 15: Heatmap of nitrogen-related genes in H. moseleyanum showing log₂-transformed normalised expression values from DESeq2 (variance-stabilised counts).</w:t>
        </w:r>
        <w:r w:rsidRPr="00532CDD">
          <w:rPr>
            <w:noProof/>
            <w:webHidden/>
          </w:rPr>
          <w:tab/>
        </w:r>
        <w:r w:rsidRPr="00532CDD">
          <w:rPr>
            <w:noProof/>
            <w:webHidden/>
          </w:rPr>
          <w:fldChar w:fldCharType="begin"/>
        </w:r>
        <w:r w:rsidRPr="00532CDD">
          <w:rPr>
            <w:noProof/>
            <w:webHidden/>
          </w:rPr>
          <w:instrText xml:space="preserve"> PAGEREF _Toc235390737 \h </w:instrText>
        </w:r>
        <w:r w:rsidRPr="00532CDD">
          <w:rPr>
            <w:noProof/>
            <w:webHidden/>
          </w:rPr>
        </w:r>
        <w:r w:rsidRPr="00532CDD">
          <w:rPr>
            <w:noProof/>
            <w:webHidden/>
          </w:rPr>
          <w:fldChar w:fldCharType="separate"/>
        </w:r>
        <w:r w:rsidR="00B60374">
          <w:rPr>
            <w:noProof/>
            <w:webHidden/>
          </w:rPr>
          <w:t>92</w:t>
        </w:r>
        <w:r w:rsidRPr="00532CDD">
          <w:rPr>
            <w:noProof/>
            <w:webHidden/>
          </w:rPr>
          <w:fldChar w:fldCharType="end"/>
        </w:r>
      </w:hyperlink>
    </w:p>
    <w:p w14:paraId="0CF4C8FC" w14:textId="4C07FD88"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38" w:history="1">
        <w:r w:rsidRPr="00532CDD">
          <w:rPr>
            <w:rStyle w:val="Hyperlink"/>
            <w:noProof/>
          </w:rPr>
          <w:t>Figure 16: Bar plot of high-affinity nitrate transporter accessory, Ig-like domain genes in H. moseleyanum, showing mean log₂-transformed normalised expression values from DESeq2 (variance-stabilised counts) for ants and no ants treatments. Error bars indicate ±standard error across three biological replicates.</w:t>
        </w:r>
        <w:r w:rsidRPr="00532CDD">
          <w:rPr>
            <w:noProof/>
            <w:webHidden/>
          </w:rPr>
          <w:tab/>
        </w:r>
        <w:r w:rsidRPr="00532CDD">
          <w:rPr>
            <w:noProof/>
            <w:webHidden/>
          </w:rPr>
          <w:fldChar w:fldCharType="begin"/>
        </w:r>
        <w:r w:rsidRPr="00532CDD">
          <w:rPr>
            <w:noProof/>
            <w:webHidden/>
          </w:rPr>
          <w:instrText xml:space="preserve"> PAGEREF _Toc235390738 \h </w:instrText>
        </w:r>
        <w:r w:rsidRPr="00532CDD">
          <w:rPr>
            <w:noProof/>
            <w:webHidden/>
          </w:rPr>
        </w:r>
        <w:r w:rsidRPr="00532CDD">
          <w:rPr>
            <w:noProof/>
            <w:webHidden/>
          </w:rPr>
          <w:fldChar w:fldCharType="separate"/>
        </w:r>
        <w:r w:rsidR="00B60374">
          <w:rPr>
            <w:noProof/>
            <w:webHidden/>
          </w:rPr>
          <w:t>94</w:t>
        </w:r>
        <w:r w:rsidRPr="00532CDD">
          <w:rPr>
            <w:noProof/>
            <w:webHidden/>
          </w:rPr>
          <w:fldChar w:fldCharType="end"/>
        </w:r>
      </w:hyperlink>
    </w:p>
    <w:p w14:paraId="25CF2D90" w14:textId="40775CAA"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39" w:history="1">
        <w:r w:rsidRPr="00532CDD">
          <w:rPr>
            <w:rStyle w:val="Hyperlink"/>
            <w:noProof/>
          </w:rPr>
          <w:t>Figure 17: Heatmap of nitrogen-related genes in M. beccarii showing log₂-transformed normalised expression values from DESeq2 (variance-stabilised counts).</w:t>
        </w:r>
        <w:r w:rsidRPr="00532CDD">
          <w:rPr>
            <w:noProof/>
            <w:webHidden/>
          </w:rPr>
          <w:tab/>
        </w:r>
        <w:r w:rsidRPr="00532CDD">
          <w:rPr>
            <w:noProof/>
            <w:webHidden/>
          </w:rPr>
          <w:fldChar w:fldCharType="begin"/>
        </w:r>
        <w:r w:rsidRPr="00532CDD">
          <w:rPr>
            <w:noProof/>
            <w:webHidden/>
          </w:rPr>
          <w:instrText xml:space="preserve"> PAGEREF _Toc235390739 \h </w:instrText>
        </w:r>
        <w:r w:rsidRPr="00532CDD">
          <w:rPr>
            <w:noProof/>
            <w:webHidden/>
          </w:rPr>
        </w:r>
        <w:r w:rsidRPr="00532CDD">
          <w:rPr>
            <w:noProof/>
            <w:webHidden/>
          </w:rPr>
          <w:fldChar w:fldCharType="separate"/>
        </w:r>
        <w:r w:rsidR="00B60374">
          <w:rPr>
            <w:noProof/>
            <w:webHidden/>
          </w:rPr>
          <w:t>95</w:t>
        </w:r>
        <w:r w:rsidRPr="00532CDD">
          <w:rPr>
            <w:noProof/>
            <w:webHidden/>
          </w:rPr>
          <w:fldChar w:fldCharType="end"/>
        </w:r>
      </w:hyperlink>
    </w:p>
    <w:p w14:paraId="1813A1C4" w14:textId="35B50C9F"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40" w:history="1">
        <w:r w:rsidRPr="00532CDD">
          <w:rPr>
            <w:rStyle w:val="Hyperlink"/>
            <w:noProof/>
          </w:rPr>
          <w:t>Figure 18: Heatmap of nitrogen-related genes in M. beccarii showing log₂-transformed normalised expression values from DESeq2 (variance-stabilised counts).</w:t>
        </w:r>
        <w:r w:rsidRPr="00532CDD">
          <w:rPr>
            <w:noProof/>
            <w:webHidden/>
          </w:rPr>
          <w:tab/>
        </w:r>
        <w:r w:rsidRPr="00532CDD">
          <w:rPr>
            <w:noProof/>
            <w:webHidden/>
          </w:rPr>
          <w:fldChar w:fldCharType="begin"/>
        </w:r>
        <w:r w:rsidRPr="00532CDD">
          <w:rPr>
            <w:noProof/>
            <w:webHidden/>
          </w:rPr>
          <w:instrText xml:space="preserve"> PAGEREF _Toc235390740 \h </w:instrText>
        </w:r>
        <w:r w:rsidRPr="00532CDD">
          <w:rPr>
            <w:noProof/>
            <w:webHidden/>
          </w:rPr>
        </w:r>
        <w:r w:rsidRPr="00532CDD">
          <w:rPr>
            <w:noProof/>
            <w:webHidden/>
          </w:rPr>
          <w:fldChar w:fldCharType="separate"/>
        </w:r>
        <w:r w:rsidR="00B60374">
          <w:rPr>
            <w:noProof/>
            <w:webHidden/>
          </w:rPr>
          <w:t>97</w:t>
        </w:r>
        <w:r w:rsidRPr="00532CDD">
          <w:rPr>
            <w:noProof/>
            <w:webHidden/>
          </w:rPr>
          <w:fldChar w:fldCharType="end"/>
        </w:r>
      </w:hyperlink>
    </w:p>
    <w:p w14:paraId="44319560" w14:textId="28600DB6" w:rsidR="00A30FC7" w:rsidRPr="00532CDD" w:rsidRDefault="00A30FC7" w:rsidP="00532CDD">
      <w:pPr>
        <w:pStyle w:val="TableofFigures"/>
        <w:tabs>
          <w:tab w:val="right" w:leader="dot" w:pos="9010"/>
        </w:tabs>
        <w:spacing w:after="120" w:line="276" w:lineRule="auto"/>
        <w:rPr>
          <w:rFonts w:eastAsiaTheme="minorEastAsia" w:cstheme="minorBidi"/>
          <w:noProof/>
          <w:kern w:val="2"/>
          <w:sz w:val="24"/>
          <w:szCs w:val="24"/>
          <w14:ligatures w14:val="standardContextual"/>
        </w:rPr>
      </w:pPr>
      <w:hyperlink w:anchor="_Toc235390741" w:history="1">
        <w:r w:rsidRPr="00532CDD">
          <w:rPr>
            <w:rStyle w:val="Hyperlink"/>
            <w:noProof/>
          </w:rPr>
          <w:t>Figure 19: Bar plot of nitrogen-related genes in M. beccarii showing mean log₂-transformed normalised expression values from DESeq2 (variance-stabilised counts) for ants and no ants treatments. Error bars indicate ± standard error across three biological replicates.</w:t>
        </w:r>
        <w:r w:rsidRPr="00532CDD">
          <w:rPr>
            <w:noProof/>
            <w:webHidden/>
          </w:rPr>
          <w:tab/>
        </w:r>
        <w:r w:rsidRPr="00532CDD">
          <w:rPr>
            <w:noProof/>
            <w:webHidden/>
          </w:rPr>
          <w:fldChar w:fldCharType="begin"/>
        </w:r>
        <w:r w:rsidRPr="00532CDD">
          <w:rPr>
            <w:noProof/>
            <w:webHidden/>
          </w:rPr>
          <w:instrText xml:space="preserve"> PAGEREF _Toc235390741 \h </w:instrText>
        </w:r>
        <w:r w:rsidRPr="00532CDD">
          <w:rPr>
            <w:noProof/>
            <w:webHidden/>
          </w:rPr>
        </w:r>
        <w:r w:rsidRPr="00532CDD">
          <w:rPr>
            <w:noProof/>
            <w:webHidden/>
          </w:rPr>
          <w:fldChar w:fldCharType="separate"/>
        </w:r>
        <w:r w:rsidR="00B60374">
          <w:rPr>
            <w:noProof/>
            <w:webHidden/>
          </w:rPr>
          <w:t>98</w:t>
        </w:r>
        <w:r w:rsidRPr="00532CDD">
          <w:rPr>
            <w:noProof/>
            <w:webHidden/>
          </w:rPr>
          <w:fldChar w:fldCharType="end"/>
        </w:r>
      </w:hyperlink>
    </w:p>
    <w:p w14:paraId="3D0C9283" w14:textId="3D3C4E0E" w:rsidR="005A138E" w:rsidRDefault="00A30FC7" w:rsidP="00532CDD">
      <w:pPr>
        <w:widowControl w:val="0"/>
        <w:pBdr>
          <w:top w:val="nil"/>
          <w:left w:val="nil"/>
          <w:bottom w:val="nil"/>
          <w:right w:val="nil"/>
          <w:between w:val="nil"/>
        </w:pBdr>
        <w:spacing w:after="120" w:line="276" w:lineRule="auto"/>
        <w:rPr>
          <w:rFonts w:eastAsia="Times New Roman" w:cs="Times New Roman"/>
          <w:color w:val="000000"/>
          <w:sz w:val="36"/>
          <w:szCs w:val="36"/>
        </w:rPr>
      </w:pPr>
      <w:r w:rsidRPr="00532CDD">
        <w:rPr>
          <w:rFonts w:eastAsia="Times New Roman" w:cs="Times New Roman"/>
          <w:color w:val="000000"/>
          <w:sz w:val="36"/>
          <w:szCs w:val="36"/>
        </w:rPr>
        <w:fldChar w:fldCharType="end"/>
      </w:r>
    </w:p>
    <w:p w14:paraId="4867D291" w14:textId="77777777" w:rsidR="00532CDD" w:rsidRDefault="00532CDD" w:rsidP="00532CDD">
      <w:pPr>
        <w:widowControl w:val="0"/>
        <w:pBdr>
          <w:top w:val="nil"/>
          <w:left w:val="nil"/>
          <w:bottom w:val="nil"/>
          <w:right w:val="nil"/>
          <w:between w:val="nil"/>
        </w:pBdr>
        <w:spacing w:after="120" w:line="276" w:lineRule="auto"/>
        <w:rPr>
          <w:rFonts w:eastAsia="Times New Roman" w:cs="Times New Roman"/>
          <w:b/>
          <w:bCs/>
          <w:color w:val="000000"/>
          <w:sz w:val="36"/>
          <w:szCs w:val="36"/>
        </w:rPr>
      </w:pPr>
    </w:p>
    <w:p w14:paraId="1CEAF4A0" w14:textId="77777777" w:rsidR="00796C7E" w:rsidRDefault="00796C7E" w:rsidP="00C63FD3">
      <w:pPr>
        <w:widowControl w:val="0"/>
        <w:pBdr>
          <w:top w:val="nil"/>
          <w:left w:val="nil"/>
          <w:bottom w:val="nil"/>
          <w:right w:val="nil"/>
          <w:between w:val="nil"/>
        </w:pBdr>
        <w:spacing w:line="240" w:lineRule="auto"/>
        <w:rPr>
          <w:rFonts w:eastAsia="Times New Roman" w:cs="Times New Roman"/>
          <w:b/>
          <w:bCs/>
          <w:color w:val="000000"/>
          <w:sz w:val="36"/>
          <w:szCs w:val="36"/>
        </w:rPr>
      </w:pPr>
    </w:p>
    <w:p w14:paraId="203DED0F" w14:textId="77777777" w:rsidR="00796C7E" w:rsidRDefault="00796C7E" w:rsidP="00C63FD3">
      <w:pPr>
        <w:widowControl w:val="0"/>
        <w:pBdr>
          <w:top w:val="nil"/>
          <w:left w:val="nil"/>
          <w:bottom w:val="nil"/>
          <w:right w:val="nil"/>
          <w:between w:val="nil"/>
        </w:pBdr>
        <w:spacing w:line="240" w:lineRule="auto"/>
        <w:rPr>
          <w:rFonts w:eastAsia="Times New Roman" w:cs="Times New Roman"/>
          <w:b/>
          <w:bCs/>
          <w:color w:val="000000"/>
          <w:sz w:val="36"/>
          <w:szCs w:val="36"/>
        </w:rPr>
      </w:pPr>
    </w:p>
    <w:p w14:paraId="39F2F5D3" w14:textId="77777777" w:rsidR="001F4320" w:rsidRDefault="001F4320" w:rsidP="00C63FD3">
      <w:pPr>
        <w:widowControl w:val="0"/>
        <w:pBdr>
          <w:top w:val="nil"/>
          <w:left w:val="nil"/>
          <w:bottom w:val="nil"/>
          <w:right w:val="nil"/>
          <w:between w:val="nil"/>
        </w:pBdr>
        <w:spacing w:line="240" w:lineRule="auto"/>
        <w:rPr>
          <w:rFonts w:eastAsia="Times New Roman" w:cs="Times New Roman"/>
          <w:b/>
          <w:bCs/>
          <w:color w:val="000000"/>
          <w:sz w:val="36"/>
          <w:szCs w:val="36"/>
        </w:rPr>
      </w:pPr>
    </w:p>
    <w:p w14:paraId="3D840AE7" w14:textId="77777777" w:rsidR="001F4320" w:rsidRDefault="001F4320" w:rsidP="00C63FD3">
      <w:pPr>
        <w:widowControl w:val="0"/>
        <w:pBdr>
          <w:top w:val="nil"/>
          <w:left w:val="nil"/>
          <w:bottom w:val="nil"/>
          <w:right w:val="nil"/>
          <w:between w:val="nil"/>
        </w:pBdr>
        <w:spacing w:line="240" w:lineRule="auto"/>
        <w:rPr>
          <w:rFonts w:eastAsia="Times New Roman" w:cs="Times New Roman"/>
          <w:b/>
          <w:bCs/>
          <w:color w:val="000000"/>
          <w:sz w:val="36"/>
          <w:szCs w:val="36"/>
        </w:rPr>
      </w:pPr>
    </w:p>
    <w:p w14:paraId="454B1735" w14:textId="77777777" w:rsidR="001F4320" w:rsidRDefault="001F4320" w:rsidP="00C63FD3">
      <w:pPr>
        <w:widowControl w:val="0"/>
        <w:pBdr>
          <w:top w:val="nil"/>
          <w:left w:val="nil"/>
          <w:bottom w:val="nil"/>
          <w:right w:val="nil"/>
          <w:between w:val="nil"/>
        </w:pBdr>
        <w:spacing w:line="240" w:lineRule="auto"/>
        <w:rPr>
          <w:rFonts w:eastAsia="Times New Roman" w:cs="Times New Roman"/>
          <w:b/>
          <w:bCs/>
          <w:color w:val="000000"/>
          <w:sz w:val="36"/>
          <w:szCs w:val="36"/>
        </w:rPr>
      </w:pPr>
    </w:p>
    <w:p w14:paraId="75A0D18D" w14:textId="77777777" w:rsidR="00796C7E" w:rsidRDefault="00796C7E" w:rsidP="00C63FD3">
      <w:pPr>
        <w:widowControl w:val="0"/>
        <w:pBdr>
          <w:top w:val="nil"/>
          <w:left w:val="nil"/>
          <w:bottom w:val="nil"/>
          <w:right w:val="nil"/>
          <w:between w:val="nil"/>
        </w:pBdr>
        <w:spacing w:line="240" w:lineRule="auto"/>
        <w:rPr>
          <w:rFonts w:eastAsia="Times New Roman" w:cs="Times New Roman"/>
          <w:b/>
          <w:bCs/>
          <w:color w:val="000000"/>
          <w:sz w:val="36"/>
          <w:szCs w:val="36"/>
        </w:rPr>
      </w:pPr>
    </w:p>
    <w:p w14:paraId="0CC46942" w14:textId="77777777" w:rsidR="00796C7E" w:rsidRDefault="00796C7E" w:rsidP="00C63FD3">
      <w:pPr>
        <w:widowControl w:val="0"/>
        <w:pBdr>
          <w:top w:val="nil"/>
          <w:left w:val="nil"/>
          <w:bottom w:val="nil"/>
          <w:right w:val="nil"/>
          <w:between w:val="nil"/>
        </w:pBdr>
        <w:spacing w:line="240" w:lineRule="auto"/>
        <w:rPr>
          <w:rFonts w:eastAsia="Times New Roman" w:cs="Times New Roman"/>
          <w:b/>
          <w:bCs/>
          <w:color w:val="000000"/>
          <w:sz w:val="36"/>
          <w:szCs w:val="36"/>
        </w:rPr>
      </w:pPr>
    </w:p>
    <w:p w14:paraId="03C5F04E" w14:textId="77777777" w:rsidR="00D44034" w:rsidRDefault="00D44034" w:rsidP="00C63FD3">
      <w:pPr>
        <w:widowControl w:val="0"/>
        <w:pBdr>
          <w:top w:val="nil"/>
          <w:left w:val="nil"/>
          <w:bottom w:val="nil"/>
          <w:right w:val="nil"/>
          <w:between w:val="nil"/>
        </w:pBdr>
        <w:spacing w:line="240" w:lineRule="auto"/>
        <w:rPr>
          <w:rFonts w:eastAsia="Times New Roman" w:cs="Times New Roman"/>
          <w:b/>
          <w:bCs/>
          <w:color w:val="000000"/>
          <w:sz w:val="36"/>
          <w:szCs w:val="36"/>
        </w:rPr>
      </w:pPr>
    </w:p>
    <w:p w14:paraId="3C6FCBEC" w14:textId="77777777" w:rsidR="00D44034" w:rsidRDefault="00D44034" w:rsidP="00C63FD3">
      <w:pPr>
        <w:widowControl w:val="0"/>
        <w:pBdr>
          <w:top w:val="nil"/>
          <w:left w:val="nil"/>
          <w:bottom w:val="nil"/>
          <w:right w:val="nil"/>
          <w:between w:val="nil"/>
        </w:pBdr>
        <w:spacing w:line="240" w:lineRule="auto"/>
        <w:rPr>
          <w:rFonts w:eastAsia="Times New Roman" w:cs="Times New Roman"/>
          <w:b/>
          <w:bCs/>
          <w:color w:val="000000"/>
          <w:sz w:val="36"/>
          <w:szCs w:val="36"/>
        </w:rPr>
      </w:pPr>
    </w:p>
    <w:p w14:paraId="144584C9" w14:textId="77777777" w:rsidR="00D44034" w:rsidRDefault="00D44034" w:rsidP="00C63FD3">
      <w:pPr>
        <w:widowControl w:val="0"/>
        <w:pBdr>
          <w:top w:val="nil"/>
          <w:left w:val="nil"/>
          <w:bottom w:val="nil"/>
          <w:right w:val="nil"/>
          <w:between w:val="nil"/>
        </w:pBdr>
        <w:spacing w:line="240" w:lineRule="auto"/>
        <w:rPr>
          <w:rFonts w:eastAsia="Times New Roman" w:cs="Times New Roman"/>
          <w:b/>
          <w:bCs/>
          <w:color w:val="000000"/>
          <w:sz w:val="36"/>
          <w:szCs w:val="36"/>
        </w:rPr>
      </w:pPr>
    </w:p>
    <w:p w14:paraId="100AAEFB" w14:textId="77777777" w:rsidR="00D44034" w:rsidRDefault="00D44034" w:rsidP="00C63FD3">
      <w:pPr>
        <w:widowControl w:val="0"/>
        <w:pBdr>
          <w:top w:val="nil"/>
          <w:left w:val="nil"/>
          <w:bottom w:val="nil"/>
          <w:right w:val="nil"/>
          <w:between w:val="nil"/>
        </w:pBdr>
        <w:spacing w:line="240" w:lineRule="auto"/>
        <w:rPr>
          <w:rFonts w:eastAsia="Times New Roman" w:cs="Times New Roman"/>
          <w:b/>
          <w:bCs/>
          <w:color w:val="000000"/>
          <w:sz w:val="36"/>
          <w:szCs w:val="36"/>
        </w:rPr>
      </w:pPr>
    </w:p>
    <w:p w14:paraId="3EC2C89B" w14:textId="77777777" w:rsidR="00796C7E" w:rsidRDefault="00796C7E" w:rsidP="00C63FD3">
      <w:pPr>
        <w:widowControl w:val="0"/>
        <w:pBdr>
          <w:top w:val="nil"/>
          <w:left w:val="nil"/>
          <w:bottom w:val="nil"/>
          <w:right w:val="nil"/>
          <w:between w:val="nil"/>
        </w:pBdr>
        <w:spacing w:line="240" w:lineRule="auto"/>
        <w:rPr>
          <w:rFonts w:eastAsia="Times New Roman" w:cs="Times New Roman"/>
          <w:b/>
          <w:bCs/>
          <w:color w:val="000000"/>
          <w:sz w:val="36"/>
          <w:szCs w:val="36"/>
        </w:rPr>
      </w:pPr>
    </w:p>
    <w:p w14:paraId="1ACEB9E8" w14:textId="77777777" w:rsidR="00796C7E" w:rsidRDefault="00796C7E" w:rsidP="00C63FD3">
      <w:pPr>
        <w:widowControl w:val="0"/>
        <w:pBdr>
          <w:top w:val="nil"/>
          <w:left w:val="nil"/>
          <w:bottom w:val="nil"/>
          <w:right w:val="nil"/>
          <w:between w:val="nil"/>
        </w:pBdr>
        <w:spacing w:line="240" w:lineRule="auto"/>
        <w:rPr>
          <w:rFonts w:eastAsia="Times New Roman" w:cs="Times New Roman"/>
          <w:b/>
          <w:bCs/>
          <w:color w:val="000000"/>
          <w:sz w:val="36"/>
          <w:szCs w:val="36"/>
        </w:rPr>
      </w:pPr>
    </w:p>
    <w:p w14:paraId="00000022" w14:textId="350143FC" w:rsidR="00E420E3" w:rsidRDefault="008E5528" w:rsidP="00F7065F">
      <w:pPr>
        <w:pStyle w:val="Heading2"/>
        <w:spacing w:before="0" w:after="160"/>
      </w:pPr>
      <w:bookmarkStart w:id="0" w:name="_Toc235392949"/>
      <w:r>
        <w:lastRenderedPageBreak/>
        <w:t>Acknowledgments</w:t>
      </w:r>
      <w:bookmarkEnd w:id="0"/>
      <w:r>
        <w:t xml:space="preserve"> </w:t>
      </w:r>
    </w:p>
    <w:p w14:paraId="00000023" w14:textId="61108E18" w:rsidR="00E420E3" w:rsidRDefault="008E5528" w:rsidP="00F7065F">
      <w:pPr>
        <w:widowControl w:val="0"/>
        <w:pBdr>
          <w:top w:val="nil"/>
          <w:left w:val="nil"/>
          <w:bottom w:val="nil"/>
          <w:right w:val="nil"/>
          <w:between w:val="nil"/>
        </w:pBdr>
        <w:ind w:right="-52"/>
        <w:rPr>
          <w:rFonts w:eastAsia="Times New Roman" w:cs="Times New Roman"/>
          <w:color w:val="000000"/>
          <w:szCs w:val="24"/>
        </w:rPr>
      </w:pPr>
      <w:r>
        <w:rPr>
          <w:rFonts w:eastAsia="Times New Roman" w:cs="Times New Roman"/>
          <w:color w:val="000000"/>
          <w:szCs w:val="24"/>
        </w:rPr>
        <w:t xml:space="preserve">I would like to express my sincere gratitude to Prof Guillaume Chomicki and Dr Luke </w:t>
      </w:r>
      <w:r w:rsidR="00EE0C9A">
        <w:rPr>
          <w:rFonts w:eastAsia="Times New Roman" w:cs="Times New Roman"/>
          <w:color w:val="000000"/>
          <w:szCs w:val="24"/>
        </w:rPr>
        <w:t>T Dunning</w:t>
      </w:r>
      <w:r>
        <w:rPr>
          <w:rFonts w:eastAsia="Times New Roman" w:cs="Times New Roman"/>
          <w:color w:val="000000"/>
          <w:szCs w:val="24"/>
        </w:rPr>
        <w:t xml:space="preserve"> for their guidance, expertise, and support throughout the development of this thesis</w:t>
      </w:r>
      <w:r w:rsidR="009C27D4">
        <w:rPr>
          <w:rFonts w:eastAsia="Times New Roman" w:cs="Times New Roman"/>
          <w:color w:val="000000"/>
          <w:szCs w:val="24"/>
        </w:rPr>
        <w:t xml:space="preserve">. </w:t>
      </w:r>
      <w:r>
        <w:rPr>
          <w:rFonts w:eastAsia="Times New Roman" w:cs="Times New Roman"/>
          <w:color w:val="000000"/>
          <w:szCs w:val="24"/>
        </w:rPr>
        <w:t xml:space="preserve">Their insight and encouragement have been invaluable to my academic growth. </w:t>
      </w:r>
    </w:p>
    <w:p w14:paraId="00000024" w14:textId="2D905E18" w:rsidR="00E420E3" w:rsidRDefault="008E5528" w:rsidP="00F7065F">
      <w:pPr>
        <w:widowControl w:val="0"/>
        <w:pBdr>
          <w:top w:val="nil"/>
          <w:left w:val="nil"/>
          <w:bottom w:val="nil"/>
          <w:right w:val="nil"/>
          <w:between w:val="nil"/>
        </w:pBdr>
        <w:ind w:right="-52" w:hanging="1"/>
        <w:rPr>
          <w:rFonts w:eastAsia="Times New Roman" w:cs="Times New Roman"/>
          <w:color w:val="000000"/>
          <w:szCs w:val="24"/>
        </w:rPr>
      </w:pPr>
      <w:r>
        <w:rPr>
          <w:rFonts w:eastAsia="Times New Roman" w:cs="Times New Roman"/>
          <w:color w:val="000000"/>
          <w:szCs w:val="24"/>
        </w:rPr>
        <w:t xml:space="preserve">I am deeply grateful to my parents for their unwavering support, patience, and </w:t>
      </w:r>
      <w:r w:rsidR="00EE0C9A">
        <w:rPr>
          <w:rFonts w:eastAsia="Times New Roman" w:cs="Times New Roman"/>
          <w:color w:val="000000"/>
          <w:szCs w:val="24"/>
        </w:rPr>
        <w:t>encouragement at</w:t>
      </w:r>
      <w:r>
        <w:rPr>
          <w:rFonts w:eastAsia="Times New Roman" w:cs="Times New Roman"/>
          <w:color w:val="000000"/>
          <w:szCs w:val="24"/>
        </w:rPr>
        <w:t xml:space="preserve"> home, which made the completion of this work possible. </w:t>
      </w:r>
    </w:p>
    <w:p w14:paraId="00000026" w14:textId="0A4487E1" w:rsidR="00E420E3" w:rsidRDefault="008E5528" w:rsidP="00F7065F">
      <w:pPr>
        <w:widowControl w:val="0"/>
        <w:pBdr>
          <w:top w:val="nil"/>
          <w:left w:val="nil"/>
          <w:bottom w:val="nil"/>
          <w:right w:val="nil"/>
          <w:between w:val="nil"/>
        </w:pBdr>
        <w:ind w:right="-52" w:hanging="4"/>
        <w:rPr>
          <w:rFonts w:eastAsia="Times New Roman" w:cs="Times New Roman"/>
          <w:color w:val="000000"/>
          <w:szCs w:val="24"/>
        </w:rPr>
      </w:pPr>
      <w:r>
        <w:rPr>
          <w:rFonts w:eastAsia="Times New Roman" w:cs="Times New Roman"/>
          <w:color w:val="000000"/>
          <w:szCs w:val="24"/>
        </w:rPr>
        <w:t xml:space="preserve">Finally, I wish to acknowledge God, </w:t>
      </w:r>
      <w:r w:rsidR="00FF5AB6">
        <w:rPr>
          <w:rFonts w:eastAsia="Times New Roman" w:cs="Times New Roman"/>
          <w:color w:val="000000"/>
          <w:szCs w:val="24"/>
        </w:rPr>
        <w:t>Jesus,</w:t>
      </w:r>
      <w:r>
        <w:rPr>
          <w:rFonts w:eastAsia="Times New Roman" w:cs="Times New Roman"/>
          <w:color w:val="000000"/>
          <w:szCs w:val="24"/>
        </w:rPr>
        <w:t xml:space="preserve"> and the high spirituality, for the </w:t>
      </w:r>
      <w:r w:rsidR="00EE0C9A">
        <w:rPr>
          <w:rFonts w:eastAsia="Times New Roman" w:cs="Times New Roman"/>
          <w:color w:val="000000"/>
          <w:szCs w:val="24"/>
        </w:rPr>
        <w:t>opportunities, strength</w:t>
      </w:r>
      <w:r>
        <w:rPr>
          <w:rFonts w:eastAsia="Times New Roman" w:cs="Times New Roman"/>
          <w:color w:val="000000"/>
          <w:szCs w:val="24"/>
        </w:rPr>
        <w:t xml:space="preserve">, and personal growth they have granted me on this journey, and for guiding </w:t>
      </w:r>
      <w:r w:rsidR="00EE0C9A">
        <w:rPr>
          <w:rFonts w:eastAsia="Times New Roman" w:cs="Times New Roman"/>
          <w:color w:val="000000"/>
          <w:szCs w:val="24"/>
        </w:rPr>
        <w:t>my development</w:t>
      </w:r>
      <w:r>
        <w:rPr>
          <w:rFonts w:eastAsia="Times New Roman" w:cs="Times New Roman"/>
          <w:color w:val="000000"/>
          <w:szCs w:val="24"/>
        </w:rPr>
        <w:t xml:space="preserve"> not only academically, but also as a soul.</w:t>
      </w:r>
    </w:p>
    <w:p w14:paraId="3EC6FC33" w14:textId="77777777" w:rsidR="00D1117A" w:rsidRDefault="00D1117A" w:rsidP="00065678">
      <w:pPr>
        <w:widowControl w:val="0"/>
        <w:pBdr>
          <w:top w:val="nil"/>
          <w:left w:val="nil"/>
          <w:bottom w:val="nil"/>
          <w:right w:val="nil"/>
          <w:between w:val="nil"/>
        </w:pBdr>
        <w:ind w:right="-52" w:hanging="4"/>
        <w:rPr>
          <w:rFonts w:eastAsia="Times New Roman" w:cs="Times New Roman"/>
          <w:color w:val="000000"/>
          <w:szCs w:val="24"/>
        </w:rPr>
      </w:pPr>
    </w:p>
    <w:p w14:paraId="3129D999" w14:textId="77777777" w:rsidR="00D1117A" w:rsidRDefault="00D1117A" w:rsidP="00065678">
      <w:pPr>
        <w:widowControl w:val="0"/>
        <w:pBdr>
          <w:top w:val="nil"/>
          <w:left w:val="nil"/>
          <w:bottom w:val="nil"/>
          <w:right w:val="nil"/>
          <w:between w:val="nil"/>
        </w:pBdr>
        <w:ind w:right="-52" w:hanging="4"/>
        <w:rPr>
          <w:rFonts w:eastAsia="Times New Roman" w:cs="Times New Roman"/>
          <w:color w:val="000000"/>
          <w:szCs w:val="24"/>
        </w:rPr>
      </w:pPr>
    </w:p>
    <w:p w14:paraId="2D40A6B3" w14:textId="77777777" w:rsidR="00D1117A" w:rsidRDefault="00D1117A" w:rsidP="00065678">
      <w:pPr>
        <w:widowControl w:val="0"/>
        <w:pBdr>
          <w:top w:val="nil"/>
          <w:left w:val="nil"/>
          <w:bottom w:val="nil"/>
          <w:right w:val="nil"/>
          <w:between w:val="nil"/>
        </w:pBdr>
        <w:ind w:right="-52" w:hanging="4"/>
        <w:rPr>
          <w:rFonts w:eastAsia="Times New Roman" w:cs="Times New Roman"/>
          <w:color w:val="000000"/>
          <w:szCs w:val="24"/>
        </w:rPr>
      </w:pPr>
    </w:p>
    <w:p w14:paraId="7778B370" w14:textId="77777777" w:rsidR="00D1117A" w:rsidRDefault="00D1117A" w:rsidP="00065678">
      <w:pPr>
        <w:widowControl w:val="0"/>
        <w:pBdr>
          <w:top w:val="nil"/>
          <w:left w:val="nil"/>
          <w:bottom w:val="nil"/>
          <w:right w:val="nil"/>
          <w:between w:val="nil"/>
        </w:pBdr>
        <w:ind w:right="-52" w:hanging="4"/>
        <w:rPr>
          <w:rFonts w:eastAsia="Times New Roman" w:cs="Times New Roman"/>
          <w:color w:val="000000"/>
          <w:szCs w:val="24"/>
        </w:rPr>
      </w:pPr>
    </w:p>
    <w:p w14:paraId="58E9A092" w14:textId="77777777" w:rsidR="00D1117A" w:rsidRDefault="00D1117A" w:rsidP="00065678">
      <w:pPr>
        <w:widowControl w:val="0"/>
        <w:pBdr>
          <w:top w:val="nil"/>
          <w:left w:val="nil"/>
          <w:bottom w:val="nil"/>
          <w:right w:val="nil"/>
          <w:between w:val="nil"/>
        </w:pBdr>
        <w:ind w:right="-52" w:hanging="4"/>
        <w:rPr>
          <w:rFonts w:eastAsia="Times New Roman" w:cs="Times New Roman"/>
          <w:color w:val="000000"/>
          <w:szCs w:val="24"/>
        </w:rPr>
      </w:pPr>
    </w:p>
    <w:p w14:paraId="4D0D0C56" w14:textId="77777777" w:rsidR="00D1117A" w:rsidRDefault="00D1117A" w:rsidP="00065678">
      <w:pPr>
        <w:widowControl w:val="0"/>
        <w:pBdr>
          <w:top w:val="nil"/>
          <w:left w:val="nil"/>
          <w:bottom w:val="nil"/>
          <w:right w:val="nil"/>
          <w:between w:val="nil"/>
        </w:pBdr>
        <w:ind w:right="-52" w:hanging="4"/>
        <w:rPr>
          <w:rFonts w:eastAsia="Times New Roman" w:cs="Times New Roman"/>
          <w:color w:val="000000"/>
          <w:szCs w:val="24"/>
        </w:rPr>
      </w:pPr>
    </w:p>
    <w:p w14:paraId="59EB53CD" w14:textId="77777777" w:rsidR="00D1117A" w:rsidRDefault="00D1117A" w:rsidP="00065678">
      <w:pPr>
        <w:widowControl w:val="0"/>
        <w:pBdr>
          <w:top w:val="nil"/>
          <w:left w:val="nil"/>
          <w:bottom w:val="nil"/>
          <w:right w:val="nil"/>
          <w:between w:val="nil"/>
        </w:pBdr>
        <w:ind w:right="-52" w:hanging="4"/>
        <w:rPr>
          <w:rFonts w:eastAsia="Times New Roman" w:cs="Times New Roman"/>
          <w:color w:val="000000"/>
          <w:szCs w:val="24"/>
        </w:rPr>
      </w:pPr>
    </w:p>
    <w:p w14:paraId="35E5F540" w14:textId="77777777" w:rsidR="00D1117A" w:rsidRDefault="00D1117A" w:rsidP="00065678">
      <w:pPr>
        <w:widowControl w:val="0"/>
        <w:pBdr>
          <w:top w:val="nil"/>
          <w:left w:val="nil"/>
          <w:bottom w:val="nil"/>
          <w:right w:val="nil"/>
          <w:between w:val="nil"/>
        </w:pBdr>
        <w:ind w:right="-52" w:hanging="4"/>
        <w:rPr>
          <w:rFonts w:eastAsia="Times New Roman" w:cs="Times New Roman"/>
          <w:color w:val="000000"/>
          <w:szCs w:val="24"/>
        </w:rPr>
      </w:pPr>
    </w:p>
    <w:p w14:paraId="292C70E0" w14:textId="77777777" w:rsidR="00D1117A" w:rsidRDefault="00D1117A" w:rsidP="00065678">
      <w:pPr>
        <w:widowControl w:val="0"/>
        <w:pBdr>
          <w:top w:val="nil"/>
          <w:left w:val="nil"/>
          <w:bottom w:val="nil"/>
          <w:right w:val="nil"/>
          <w:between w:val="nil"/>
        </w:pBdr>
        <w:ind w:right="-52" w:hanging="4"/>
        <w:rPr>
          <w:rFonts w:eastAsia="Times New Roman" w:cs="Times New Roman"/>
          <w:color w:val="000000"/>
          <w:szCs w:val="24"/>
        </w:rPr>
      </w:pPr>
    </w:p>
    <w:p w14:paraId="0DAD8998" w14:textId="77777777" w:rsidR="00D1117A" w:rsidRDefault="00D1117A" w:rsidP="00065678">
      <w:pPr>
        <w:widowControl w:val="0"/>
        <w:pBdr>
          <w:top w:val="nil"/>
          <w:left w:val="nil"/>
          <w:bottom w:val="nil"/>
          <w:right w:val="nil"/>
          <w:between w:val="nil"/>
        </w:pBdr>
        <w:ind w:right="-52" w:hanging="4"/>
        <w:rPr>
          <w:rFonts w:eastAsia="Times New Roman" w:cs="Times New Roman"/>
          <w:color w:val="000000"/>
          <w:szCs w:val="24"/>
        </w:rPr>
      </w:pPr>
    </w:p>
    <w:p w14:paraId="4B8CB85B" w14:textId="77777777" w:rsidR="00D1117A" w:rsidRDefault="00D1117A" w:rsidP="00065678">
      <w:pPr>
        <w:widowControl w:val="0"/>
        <w:pBdr>
          <w:top w:val="nil"/>
          <w:left w:val="nil"/>
          <w:bottom w:val="nil"/>
          <w:right w:val="nil"/>
          <w:between w:val="nil"/>
        </w:pBdr>
        <w:ind w:right="-52" w:hanging="4"/>
        <w:rPr>
          <w:rFonts w:eastAsia="Times New Roman" w:cs="Times New Roman"/>
          <w:color w:val="000000"/>
          <w:szCs w:val="24"/>
        </w:rPr>
      </w:pPr>
    </w:p>
    <w:p w14:paraId="602BC5FC" w14:textId="77777777" w:rsidR="00D1117A" w:rsidRDefault="00D1117A" w:rsidP="00065678">
      <w:pPr>
        <w:widowControl w:val="0"/>
        <w:pBdr>
          <w:top w:val="nil"/>
          <w:left w:val="nil"/>
          <w:bottom w:val="nil"/>
          <w:right w:val="nil"/>
          <w:between w:val="nil"/>
        </w:pBdr>
        <w:ind w:right="-52" w:hanging="4"/>
        <w:rPr>
          <w:rFonts w:eastAsia="Times New Roman" w:cs="Times New Roman"/>
          <w:color w:val="000000"/>
          <w:szCs w:val="24"/>
        </w:rPr>
      </w:pPr>
    </w:p>
    <w:p w14:paraId="4D78DF30" w14:textId="77777777" w:rsidR="00D1117A" w:rsidRDefault="00D1117A" w:rsidP="00065678">
      <w:pPr>
        <w:widowControl w:val="0"/>
        <w:pBdr>
          <w:top w:val="nil"/>
          <w:left w:val="nil"/>
          <w:bottom w:val="nil"/>
          <w:right w:val="nil"/>
          <w:between w:val="nil"/>
        </w:pBdr>
        <w:ind w:right="-52" w:hanging="4"/>
        <w:rPr>
          <w:rFonts w:eastAsia="Times New Roman" w:cs="Times New Roman"/>
          <w:color w:val="000000"/>
          <w:szCs w:val="24"/>
        </w:rPr>
      </w:pPr>
    </w:p>
    <w:p w14:paraId="5E23B919" w14:textId="77777777" w:rsidR="00D1117A" w:rsidRDefault="00D1117A" w:rsidP="00065678">
      <w:pPr>
        <w:widowControl w:val="0"/>
        <w:pBdr>
          <w:top w:val="nil"/>
          <w:left w:val="nil"/>
          <w:bottom w:val="nil"/>
          <w:right w:val="nil"/>
          <w:between w:val="nil"/>
        </w:pBdr>
        <w:ind w:right="-52" w:hanging="4"/>
        <w:rPr>
          <w:rFonts w:eastAsia="Times New Roman" w:cs="Times New Roman"/>
          <w:color w:val="000000"/>
          <w:szCs w:val="24"/>
        </w:rPr>
      </w:pPr>
    </w:p>
    <w:p w14:paraId="3BA177C8" w14:textId="77777777" w:rsidR="00D1117A" w:rsidRDefault="00D1117A" w:rsidP="00065678">
      <w:pPr>
        <w:widowControl w:val="0"/>
        <w:pBdr>
          <w:top w:val="nil"/>
          <w:left w:val="nil"/>
          <w:bottom w:val="nil"/>
          <w:right w:val="nil"/>
          <w:between w:val="nil"/>
        </w:pBdr>
        <w:ind w:right="-52" w:hanging="4"/>
        <w:rPr>
          <w:rFonts w:eastAsia="Times New Roman" w:cs="Times New Roman"/>
          <w:color w:val="000000"/>
          <w:szCs w:val="24"/>
        </w:rPr>
      </w:pPr>
    </w:p>
    <w:p w14:paraId="222B6D74" w14:textId="77777777" w:rsidR="00D1117A" w:rsidRPr="00065678" w:rsidRDefault="00D1117A" w:rsidP="00065678">
      <w:pPr>
        <w:widowControl w:val="0"/>
        <w:pBdr>
          <w:top w:val="nil"/>
          <w:left w:val="nil"/>
          <w:bottom w:val="nil"/>
          <w:right w:val="nil"/>
          <w:between w:val="nil"/>
        </w:pBdr>
        <w:ind w:right="-52" w:hanging="4"/>
        <w:rPr>
          <w:rFonts w:eastAsia="Times New Roman" w:cs="Times New Roman"/>
          <w:color w:val="000000"/>
          <w:szCs w:val="24"/>
        </w:rPr>
      </w:pPr>
    </w:p>
    <w:p w14:paraId="00000027" w14:textId="77777777" w:rsidR="00E420E3" w:rsidRDefault="008E5528" w:rsidP="00197368">
      <w:pPr>
        <w:pStyle w:val="Heading2"/>
        <w:spacing w:before="0" w:after="160"/>
      </w:pPr>
      <w:bookmarkStart w:id="1" w:name="_Toc235392950"/>
      <w:r>
        <w:lastRenderedPageBreak/>
        <w:t>Thesis abstract</w:t>
      </w:r>
      <w:bookmarkEnd w:id="1"/>
      <w:r>
        <w:t xml:space="preserve">  </w:t>
      </w:r>
    </w:p>
    <w:p w14:paraId="3BC78458" w14:textId="7F30A724" w:rsidR="006677E2" w:rsidRDefault="008E5528" w:rsidP="00197368">
      <w:pPr>
        <w:widowControl w:val="0"/>
        <w:pBdr>
          <w:top w:val="nil"/>
          <w:left w:val="nil"/>
          <w:bottom w:val="nil"/>
          <w:right w:val="nil"/>
          <w:between w:val="nil"/>
        </w:pBdr>
        <w:ind w:right="-52" w:firstLine="10"/>
        <w:rPr>
          <w:rFonts w:eastAsia="Times New Roman" w:cs="Times New Roman"/>
          <w:color w:val="000000"/>
          <w:szCs w:val="24"/>
        </w:rPr>
      </w:pPr>
      <w:r>
        <w:rPr>
          <w:rFonts w:eastAsia="Times New Roman" w:cs="Times New Roman"/>
          <w:color w:val="000000"/>
          <w:szCs w:val="24"/>
        </w:rPr>
        <w:t xml:space="preserve">Mutualisms are widespread across life and vary in their degree of dependence, ranging </w:t>
      </w:r>
      <w:r w:rsidR="00F14C00">
        <w:rPr>
          <w:rFonts w:eastAsia="Times New Roman" w:cs="Times New Roman"/>
          <w:color w:val="000000"/>
          <w:szCs w:val="24"/>
        </w:rPr>
        <w:t>from facultative</w:t>
      </w:r>
      <w:r>
        <w:rPr>
          <w:rFonts w:eastAsia="Times New Roman" w:cs="Times New Roman"/>
          <w:color w:val="000000"/>
          <w:szCs w:val="24"/>
        </w:rPr>
        <w:t xml:space="preserve"> associations to specialised obligate relationships. The drivers and consequences </w:t>
      </w:r>
      <w:r w:rsidR="00F14C00">
        <w:rPr>
          <w:rFonts w:eastAsia="Times New Roman" w:cs="Times New Roman"/>
          <w:color w:val="000000"/>
          <w:szCs w:val="24"/>
        </w:rPr>
        <w:t>of mutualistic</w:t>
      </w:r>
      <w:r>
        <w:rPr>
          <w:rFonts w:eastAsia="Times New Roman" w:cs="Times New Roman"/>
          <w:color w:val="000000"/>
          <w:szCs w:val="24"/>
        </w:rPr>
        <w:t xml:space="preserve"> dependence remain poorly understood, </w:t>
      </w:r>
      <w:sdt>
        <w:sdtPr>
          <w:tag w:val="goog_rdk_0"/>
          <w:id w:val="1154751514"/>
        </w:sdtPr>
        <w:sdtContent/>
      </w:sdt>
      <w:r>
        <w:rPr>
          <w:rFonts w:eastAsia="Times New Roman" w:cs="Times New Roman"/>
          <w:color w:val="000000"/>
          <w:szCs w:val="24"/>
        </w:rPr>
        <w:t xml:space="preserve">especially in ‘macro’-mutualism such </w:t>
      </w:r>
      <w:r w:rsidR="008A611F">
        <w:rPr>
          <w:rFonts w:eastAsia="Times New Roman" w:cs="Times New Roman"/>
          <w:color w:val="000000"/>
          <w:szCs w:val="24"/>
        </w:rPr>
        <w:t>as ant</w:t>
      </w:r>
      <w:r w:rsidR="009F23E6">
        <w:rPr>
          <w:rFonts w:eastAsia="Times New Roman" w:cs="Times New Roman"/>
          <w:color w:val="000000"/>
          <w:szCs w:val="24"/>
        </w:rPr>
        <w:t>-plant</w:t>
      </w:r>
      <w:r>
        <w:rPr>
          <w:rFonts w:eastAsia="Times New Roman" w:cs="Times New Roman"/>
          <w:color w:val="000000"/>
          <w:szCs w:val="24"/>
        </w:rPr>
        <w:t xml:space="preserve"> symbioses. </w:t>
      </w:r>
      <w:r w:rsidR="006677E2">
        <w:rPr>
          <w:rFonts w:eastAsia="Times New Roman" w:cs="Times New Roman"/>
          <w:color w:val="000000"/>
          <w:szCs w:val="24"/>
        </w:rPr>
        <w:t xml:space="preserve">Ant-plant systems are well suited to addressing these questions because partner presence </w:t>
      </w:r>
      <w:r w:rsidR="003009BC">
        <w:rPr>
          <w:rFonts w:eastAsia="Times New Roman" w:cs="Times New Roman"/>
          <w:color w:val="000000"/>
          <w:szCs w:val="24"/>
        </w:rPr>
        <w:t>can be</w:t>
      </w:r>
      <w:r w:rsidR="006677E2">
        <w:rPr>
          <w:rFonts w:eastAsia="Times New Roman" w:cs="Times New Roman"/>
          <w:color w:val="000000"/>
          <w:szCs w:val="24"/>
        </w:rPr>
        <w:t xml:space="preserve"> experimentally manipulated (ants can be added or excluded), the symbiosis spans a continuous spectrum from facultative to obligate association across closely related specie, and partner exchange is spatially localised to a discrete structure, the domatium, making the physiological and transcriptomic consequences of dependence experimentally tractable in a way that is difficult to achieve in more diffuse or intracellular mutualisms such as microbiome or endosymbiont systems.</w:t>
      </w:r>
    </w:p>
    <w:p w14:paraId="05DE616F" w14:textId="471695AC" w:rsidR="001E206A" w:rsidRDefault="008E5528" w:rsidP="00197368">
      <w:pPr>
        <w:widowControl w:val="0"/>
        <w:pBdr>
          <w:top w:val="nil"/>
          <w:left w:val="nil"/>
          <w:bottom w:val="nil"/>
          <w:right w:val="nil"/>
          <w:between w:val="nil"/>
        </w:pBdr>
        <w:ind w:right="-52" w:firstLine="10"/>
        <w:rPr>
          <w:rFonts w:eastAsia="Times New Roman" w:cs="Times New Roman"/>
          <w:color w:val="000000"/>
          <w:szCs w:val="24"/>
        </w:rPr>
      </w:pPr>
      <w:r>
        <w:rPr>
          <w:rFonts w:eastAsia="Times New Roman" w:cs="Times New Roman"/>
          <w:color w:val="000000"/>
          <w:szCs w:val="24"/>
        </w:rPr>
        <w:t xml:space="preserve">In this thesis, I integrate genomics, experiments and transcriptomics </w:t>
      </w:r>
      <w:r w:rsidR="008A611F">
        <w:rPr>
          <w:rFonts w:eastAsia="Times New Roman" w:cs="Times New Roman"/>
          <w:color w:val="000000"/>
          <w:szCs w:val="24"/>
        </w:rPr>
        <w:t>to investigate</w:t>
      </w:r>
      <w:r>
        <w:rPr>
          <w:rFonts w:eastAsia="Times New Roman" w:cs="Times New Roman"/>
          <w:color w:val="000000"/>
          <w:szCs w:val="24"/>
        </w:rPr>
        <w:t xml:space="preserve"> how shifts toward obligate dependence reshape </w:t>
      </w:r>
      <w:r w:rsidR="009F23E6">
        <w:rPr>
          <w:rFonts w:eastAsia="Times New Roman" w:cs="Times New Roman"/>
          <w:color w:val="000000"/>
          <w:szCs w:val="24"/>
        </w:rPr>
        <w:t>ant-plant</w:t>
      </w:r>
      <w:r>
        <w:rPr>
          <w:rFonts w:eastAsia="Times New Roman" w:cs="Times New Roman"/>
          <w:color w:val="000000"/>
          <w:szCs w:val="24"/>
        </w:rPr>
        <w:t xml:space="preserve"> function, using </w:t>
      </w:r>
      <w:r w:rsidR="006A5008">
        <w:rPr>
          <w:rFonts w:eastAsia="Times New Roman" w:cs="Times New Roman"/>
          <w:color w:val="000000"/>
          <w:szCs w:val="24"/>
        </w:rPr>
        <w:t xml:space="preserve">epiphytic </w:t>
      </w:r>
      <w:proofErr w:type="spellStart"/>
      <w:r w:rsidR="006A5008">
        <w:rPr>
          <w:rFonts w:eastAsia="Times New Roman" w:cs="Times New Roman"/>
          <w:color w:val="000000"/>
          <w:szCs w:val="24"/>
        </w:rPr>
        <w:t>Rubiaceae</w:t>
      </w:r>
      <w:proofErr w:type="spellEnd"/>
      <w:r>
        <w:rPr>
          <w:rFonts w:eastAsia="Times New Roman" w:cs="Times New Roman"/>
          <w:color w:val="000000"/>
          <w:szCs w:val="24"/>
        </w:rPr>
        <w:t xml:space="preserve"> ant-plants (</w:t>
      </w:r>
      <w:proofErr w:type="spellStart"/>
      <w:r>
        <w:rPr>
          <w:rFonts w:eastAsia="Times New Roman" w:cs="Times New Roman"/>
          <w:color w:val="000000"/>
          <w:szCs w:val="24"/>
        </w:rPr>
        <w:t>Hydnophytinae</w:t>
      </w:r>
      <w:proofErr w:type="spellEnd"/>
      <w:r>
        <w:rPr>
          <w:rFonts w:eastAsia="Times New Roman" w:cs="Times New Roman"/>
          <w:color w:val="000000"/>
          <w:szCs w:val="24"/>
        </w:rPr>
        <w:t xml:space="preserve">) as a model system. In chapter 2, I generated </w:t>
      </w:r>
      <w:r w:rsidR="00E02125">
        <w:rPr>
          <w:rFonts w:eastAsia="Times New Roman" w:cs="Times New Roman"/>
          <w:color w:val="000000"/>
          <w:szCs w:val="24"/>
        </w:rPr>
        <w:t>high-quality</w:t>
      </w:r>
      <w:r>
        <w:rPr>
          <w:rFonts w:eastAsia="Times New Roman" w:cs="Times New Roman"/>
          <w:color w:val="000000"/>
          <w:szCs w:val="24"/>
        </w:rPr>
        <w:t xml:space="preserve"> reference genomes for the obligate ant-plant </w:t>
      </w:r>
      <w:proofErr w:type="spellStart"/>
      <w:r>
        <w:rPr>
          <w:rFonts w:eastAsia="Times New Roman" w:cs="Times New Roman"/>
          <w:i/>
          <w:iCs/>
          <w:color w:val="000000"/>
          <w:szCs w:val="24"/>
        </w:rPr>
        <w:t>Myrmecodia</w:t>
      </w:r>
      <w:proofErr w:type="spellEnd"/>
      <w:r>
        <w:rPr>
          <w:rFonts w:eastAsia="Times New Roman" w:cs="Times New Roman"/>
          <w:i/>
          <w:iCs/>
          <w:color w:val="000000"/>
          <w:szCs w:val="24"/>
        </w:rPr>
        <w:t xml:space="preserve"> </w:t>
      </w:r>
      <w:proofErr w:type="spellStart"/>
      <w:r>
        <w:rPr>
          <w:rFonts w:eastAsia="Times New Roman" w:cs="Times New Roman"/>
          <w:i/>
          <w:iCs/>
          <w:color w:val="000000"/>
          <w:szCs w:val="24"/>
        </w:rPr>
        <w:t>beccarii</w:t>
      </w:r>
      <w:proofErr w:type="spellEnd"/>
      <w:r>
        <w:rPr>
          <w:rFonts w:eastAsia="Times New Roman" w:cs="Times New Roman"/>
          <w:i/>
          <w:iCs/>
          <w:color w:val="000000"/>
          <w:szCs w:val="24"/>
        </w:rPr>
        <w:t xml:space="preserve"> </w:t>
      </w:r>
      <w:r>
        <w:rPr>
          <w:rFonts w:eastAsia="Times New Roman" w:cs="Times New Roman"/>
          <w:color w:val="000000"/>
          <w:szCs w:val="24"/>
        </w:rPr>
        <w:t xml:space="preserve">and the facultative </w:t>
      </w:r>
      <w:proofErr w:type="spellStart"/>
      <w:r>
        <w:rPr>
          <w:rFonts w:eastAsia="Times New Roman" w:cs="Times New Roman"/>
          <w:i/>
          <w:iCs/>
          <w:color w:val="000000"/>
          <w:szCs w:val="24"/>
        </w:rPr>
        <w:t>Hydnophytum</w:t>
      </w:r>
      <w:proofErr w:type="spellEnd"/>
      <w:r>
        <w:rPr>
          <w:rFonts w:eastAsia="Times New Roman" w:cs="Times New Roman"/>
          <w:i/>
          <w:iCs/>
          <w:color w:val="000000"/>
          <w:szCs w:val="24"/>
        </w:rPr>
        <w:t xml:space="preserve"> </w:t>
      </w:r>
      <w:proofErr w:type="spellStart"/>
      <w:r>
        <w:rPr>
          <w:rFonts w:eastAsia="Times New Roman" w:cs="Times New Roman"/>
          <w:i/>
          <w:iCs/>
          <w:color w:val="000000"/>
          <w:szCs w:val="24"/>
        </w:rPr>
        <w:t>moseleyanum</w:t>
      </w:r>
      <w:proofErr w:type="spellEnd"/>
      <w:r>
        <w:rPr>
          <w:rFonts w:eastAsia="Times New Roman" w:cs="Times New Roman"/>
          <w:i/>
          <w:iCs/>
          <w:color w:val="000000"/>
          <w:szCs w:val="24"/>
        </w:rPr>
        <w:t xml:space="preserve"> </w:t>
      </w:r>
      <w:r>
        <w:rPr>
          <w:rFonts w:eastAsia="Times New Roman" w:cs="Times New Roman"/>
          <w:color w:val="000000"/>
          <w:szCs w:val="24"/>
        </w:rPr>
        <w:t>establish</w:t>
      </w:r>
      <w:r w:rsidR="00C77724">
        <w:rPr>
          <w:rFonts w:eastAsia="Times New Roman" w:cs="Times New Roman"/>
          <w:color w:val="000000"/>
          <w:szCs w:val="24"/>
        </w:rPr>
        <w:t>ing</w:t>
      </w:r>
      <w:r>
        <w:rPr>
          <w:rFonts w:eastAsia="Times New Roman" w:cs="Times New Roman"/>
          <w:color w:val="000000"/>
          <w:szCs w:val="24"/>
        </w:rPr>
        <w:t xml:space="preserve"> a duplication-aware genomic framework that supports orthology inference and transcriptome mapping. This</w:t>
      </w:r>
      <w:r w:rsidR="008728F6">
        <w:rPr>
          <w:rFonts w:eastAsia="Times New Roman" w:cs="Times New Roman"/>
          <w:color w:val="000000"/>
          <w:szCs w:val="24"/>
        </w:rPr>
        <w:t xml:space="preserve"> </w:t>
      </w:r>
      <w:r>
        <w:rPr>
          <w:rFonts w:eastAsia="Times New Roman" w:cs="Times New Roman"/>
          <w:color w:val="000000"/>
          <w:szCs w:val="24"/>
        </w:rPr>
        <w:t xml:space="preserve">provides the genomic resources needed to interpret nitrogen-related candidates in a gene- </w:t>
      </w:r>
      <w:r w:rsidR="006A5008">
        <w:rPr>
          <w:rFonts w:eastAsia="Times New Roman" w:cs="Times New Roman"/>
          <w:color w:val="000000"/>
          <w:szCs w:val="24"/>
        </w:rPr>
        <w:t>and copy</w:t>
      </w:r>
      <w:r>
        <w:rPr>
          <w:rFonts w:eastAsia="Times New Roman" w:cs="Times New Roman"/>
          <w:color w:val="000000"/>
          <w:szCs w:val="24"/>
        </w:rPr>
        <w:t xml:space="preserve">-aware manner across </w:t>
      </w:r>
      <w:r w:rsidR="001E206A">
        <w:rPr>
          <w:rFonts w:eastAsia="Times New Roman" w:cs="Times New Roman"/>
          <w:color w:val="000000"/>
          <w:szCs w:val="24"/>
        </w:rPr>
        <w:t>dependence levels</w:t>
      </w:r>
      <w:r>
        <w:rPr>
          <w:rFonts w:eastAsia="Times New Roman" w:cs="Times New Roman"/>
          <w:color w:val="000000"/>
          <w:szCs w:val="24"/>
        </w:rPr>
        <w:t xml:space="preserve">. </w:t>
      </w:r>
    </w:p>
    <w:p w14:paraId="47A0BC9A" w14:textId="79B0AA06" w:rsidR="00325491" w:rsidRDefault="008E5528" w:rsidP="00197368">
      <w:pPr>
        <w:widowControl w:val="0"/>
        <w:pBdr>
          <w:top w:val="nil"/>
          <w:left w:val="nil"/>
          <w:bottom w:val="nil"/>
          <w:right w:val="nil"/>
          <w:between w:val="nil"/>
        </w:pBdr>
        <w:ind w:right="-52" w:firstLine="10"/>
        <w:rPr>
          <w:rFonts w:eastAsia="Times New Roman" w:cs="Times New Roman"/>
          <w:color w:val="000000"/>
          <w:szCs w:val="24"/>
        </w:rPr>
      </w:pPr>
      <w:r>
        <w:rPr>
          <w:rFonts w:eastAsia="Times New Roman" w:cs="Times New Roman"/>
          <w:color w:val="000000"/>
          <w:szCs w:val="24"/>
        </w:rPr>
        <w:t>In chapter 3, I establish</w:t>
      </w:r>
      <w:r w:rsidR="001E206A">
        <w:rPr>
          <w:rFonts w:eastAsia="Times New Roman" w:cs="Times New Roman"/>
          <w:color w:val="000000"/>
          <w:szCs w:val="24"/>
        </w:rPr>
        <w:t xml:space="preserve">ed </w:t>
      </w:r>
      <w:r>
        <w:rPr>
          <w:rFonts w:eastAsia="Times New Roman" w:cs="Times New Roman"/>
          <w:color w:val="000000"/>
          <w:szCs w:val="24"/>
        </w:rPr>
        <w:t>a controlled greenhouse symbiosis system between ghost ants (</w:t>
      </w:r>
      <w:r>
        <w:rPr>
          <w:rFonts w:eastAsia="Times New Roman" w:cs="Times New Roman"/>
          <w:i/>
          <w:iCs/>
          <w:color w:val="000000"/>
          <w:szCs w:val="24"/>
        </w:rPr>
        <w:t xml:space="preserve">Tapinoma </w:t>
      </w:r>
      <w:proofErr w:type="spellStart"/>
      <w:r w:rsidR="006A5008">
        <w:rPr>
          <w:rFonts w:eastAsia="Times New Roman" w:cs="Times New Roman"/>
          <w:i/>
          <w:iCs/>
          <w:color w:val="000000"/>
          <w:szCs w:val="24"/>
        </w:rPr>
        <w:t>melanocephalum</w:t>
      </w:r>
      <w:proofErr w:type="spellEnd"/>
      <w:r w:rsidR="006A5008">
        <w:rPr>
          <w:rFonts w:eastAsia="Times New Roman" w:cs="Times New Roman"/>
          <w:color w:val="000000"/>
          <w:szCs w:val="24"/>
        </w:rPr>
        <w:t>) and</w:t>
      </w:r>
      <w:r>
        <w:rPr>
          <w:rFonts w:eastAsia="Times New Roman" w:cs="Times New Roman"/>
          <w:color w:val="000000"/>
          <w:szCs w:val="24"/>
        </w:rPr>
        <w:t xml:space="preserve"> </w:t>
      </w:r>
      <w:r w:rsidR="001E206A">
        <w:rPr>
          <w:rFonts w:eastAsia="Times New Roman" w:cs="Times New Roman"/>
          <w:color w:val="000000"/>
          <w:szCs w:val="24"/>
        </w:rPr>
        <w:t xml:space="preserve">both </w:t>
      </w:r>
      <w:proofErr w:type="spellStart"/>
      <w:r>
        <w:rPr>
          <w:rFonts w:eastAsia="Times New Roman" w:cs="Times New Roman"/>
          <w:color w:val="000000"/>
          <w:szCs w:val="24"/>
        </w:rPr>
        <w:t>Hydnophytinae</w:t>
      </w:r>
      <w:proofErr w:type="spellEnd"/>
      <w:r w:rsidR="001E206A">
        <w:rPr>
          <w:rFonts w:eastAsia="Times New Roman" w:cs="Times New Roman"/>
          <w:color w:val="000000"/>
          <w:szCs w:val="24"/>
        </w:rPr>
        <w:t xml:space="preserve"> species. </w:t>
      </w:r>
      <w:r w:rsidR="004436C1">
        <w:rPr>
          <w:rFonts w:eastAsia="Times New Roman" w:cs="Times New Roman"/>
          <w:color w:val="000000"/>
          <w:szCs w:val="24"/>
        </w:rPr>
        <w:t>Using</w:t>
      </w:r>
      <w:r>
        <w:rPr>
          <w:rFonts w:eastAsia="Times New Roman" w:cs="Times New Roman"/>
          <w:color w:val="000000"/>
          <w:szCs w:val="24"/>
        </w:rPr>
        <w:t xml:space="preserve"> a </w:t>
      </w:r>
      <w:r>
        <w:rPr>
          <w:rFonts w:eastAsia="Times New Roman" w:cs="Times New Roman"/>
          <w:color w:val="000000"/>
          <w:sz w:val="26"/>
          <w:szCs w:val="26"/>
          <w:vertAlign w:val="superscript"/>
        </w:rPr>
        <w:t>15</w:t>
      </w:r>
      <w:r>
        <w:rPr>
          <w:rFonts w:eastAsia="Times New Roman" w:cs="Times New Roman"/>
          <w:color w:val="000000"/>
          <w:szCs w:val="24"/>
        </w:rPr>
        <w:t xml:space="preserve">N isotope </w:t>
      </w:r>
      <w:r w:rsidR="006A5008">
        <w:rPr>
          <w:rFonts w:eastAsia="Times New Roman" w:cs="Times New Roman"/>
          <w:color w:val="000000"/>
          <w:szCs w:val="24"/>
        </w:rPr>
        <w:t>feeding assay</w:t>
      </w:r>
      <w:r w:rsidR="004436C1">
        <w:rPr>
          <w:rFonts w:eastAsia="Times New Roman" w:cs="Times New Roman"/>
          <w:color w:val="000000"/>
          <w:szCs w:val="24"/>
        </w:rPr>
        <w:t>, I show that ghost ants</w:t>
      </w:r>
      <w:r w:rsidR="00325491">
        <w:rPr>
          <w:rFonts w:eastAsia="Times New Roman" w:cs="Times New Roman"/>
          <w:color w:val="000000"/>
          <w:szCs w:val="24"/>
        </w:rPr>
        <w:t xml:space="preserve"> form nutritional mutualisms with both plants, and ant-derived fertilisation patterns match field observations, validating the system.</w:t>
      </w:r>
    </w:p>
    <w:p w14:paraId="00000028" w14:textId="68CDF5B6" w:rsidR="00E420E3" w:rsidRDefault="008E5528" w:rsidP="00197368">
      <w:pPr>
        <w:widowControl w:val="0"/>
        <w:pBdr>
          <w:top w:val="nil"/>
          <w:left w:val="nil"/>
          <w:bottom w:val="nil"/>
          <w:right w:val="nil"/>
          <w:between w:val="nil"/>
        </w:pBdr>
        <w:ind w:right="-52" w:firstLine="10"/>
        <w:rPr>
          <w:rFonts w:eastAsia="Times New Roman" w:cs="Times New Roman"/>
          <w:color w:val="000000"/>
          <w:szCs w:val="24"/>
        </w:rPr>
      </w:pPr>
      <w:r>
        <w:rPr>
          <w:rFonts w:eastAsia="Times New Roman" w:cs="Times New Roman"/>
          <w:color w:val="000000"/>
          <w:szCs w:val="24"/>
        </w:rPr>
        <w:t xml:space="preserve">In chapter 4, I </w:t>
      </w:r>
      <w:r w:rsidR="00556075">
        <w:rPr>
          <w:rFonts w:eastAsia="Times New Roman" w:cs="Times New Roman"/>
          <w:color w:val="000000"/>
          <w:szCs w:val="24"/>
        </w:rPr>
        <w:t>manipulated ant presence and nutrient availability to test whether</w:t>
      </w:r>
      <w:r>
        <w:rPr>
          <w:rFonts w:eastAsia="Times New Roman" w:cs="Times New Roman"/>
          <w:color w:val="000000"/>
          <w:szCs w:val="24"/>
        </w:rPr>
        <w:t xml:space="preserve"> nitrogen-uptake genes are expressed more constitutively in </w:t>
      </w:r>
      <w:r>
        <w:rPr>
          <w:rFonts w:eastAsia="Times New Roman" w:cs="Times New Roman"/>
          <w:i/>
          <w:iCs/>
          <w:color w:val="000000"/>
          <w:szCs w:val="24"/>
        </w:rPr>
        <w:t>M</w:t>
      </w:r>
      <w:r w:rsidR="007D588E">
        <w:rPr>
          <w:rFonts w:eastAsia="Times New Roman" w:cs="Times New Roman"/>
          <w:i/>
          <w:iCs/>
          <w:color w:val="000000"/>
          <w:szCs w:val="24"/>
        </w:rPr>
        <w:t>.</w:t>
      </w:r>
      <w:r>
        <w:rPr>
          <w:rFonts w:eastAsia="Times New Roman" w:cs="Times New Roman"/>
          <w:i/>
          <w:iCs/>
          <w:color w:val="000000"/>
          <w:szCs w:val="24"/>
        </w:rPr>
        <w:t xml:space="preserve"> </w:t>
      </w:r>
      <w:proofErr w:type="spellStart"/>
      <w:r>
        <w:rPr>
          <w:rFonts w:eastAsia="Times New Roman" w:cs="Times New Roman"/>
          <w:i/>
          <w:iCs/>
          <w:color w:val="000000"/>
          <w:szCs w:val="24"/>
        </w:rPr>
        <w:t>beccarii</w:t>
      </w:r>
      <w:proofErr w:type="spellEnd"/>
      <w:r>
        <w:rPr>
          <w:rFonts w:eastAsia="Times New Roman" w:cs="Times New Roman"/>
          <w:i/>
          <w:iCs/>
          <w:color w:val="000000"/>
          <w:szCs w:val="24"/>
        </w:rPr>
        <w:t xml:space="preserve"> </w:t>
      </w:r>
      <w:r>
        <w:rPr>
          <w:rFonts w:eastAsia="Times New Roman" w:cs="Times New Roman"/>
          <w:color w:val="000000"/>
          <w:szCs w:val="24"/>
        </w:rPr>
        <w:t xml:space="preserve">but remain inducible in </w:t>
      </w:r>
      <w:r>
        <w:rPr>
          <w:rFonts w:eastAsia="Times New Roman" w:cs="Times New Roman"/>
          <w:i/>
          <w:iCs/>
          <w:color w:val="000000"/>
          <w:szCs w:val="24"/>
        </w:rPr>
        <w:t>H</w:t>
      </w:r>
      <w:r w:rsidR="007D588E">
        <w:rPr>
          <w:rFonts w:eastAsia="Times New Roman" w:cs="Times New Roman"/>
          <w:i/>
          <w:iCs/>
          <w:color w:val="000000"/>
          <w:szCs w:val="24"/>
        </w:rPr>
        <w:t>.</w:t>
      </w:r>
      <w:r>
        <w:rPr>
          <w:rFonts w:eastAsia="Times New Roman" w:cs="Times New Roman"/>
          <w:i/>
          <w:iCs/>
          <w:color w:val="000000"/>
          <w:szCs w:val="24"/>
        </w:rPr>
        <w:t xml:space="preserve"> </w:t>
      </w:r>
      <w:proofErr w:type="spellStart"/>
      <w:r>
        <w:rPr>
          <w:rFonts w:eastAsia="Times New Roman" w:cs="Times New Roman"/>
          <w:i/>
          <w:iCs/>
          <w:color w:val="000000"/>
          <w:szCs w:val="24"/>
        </w:rPr>
        <w:t>moseleyanum</w:t>
      </w:r>
      <w:proofErr w:type="spellEnd"/>
      <w:r w:rsidR="007D588E">
        <w:rPr>
          <w:rFonts w:eastAsia="Times New Roman" w:cs="Times New Roman"/>
          <w:i/>
          <w:iCs/>
          <w:color w:val="000000"/>
          <w:szCs w:val="24"/>
        </w:rPr>
        <w:t>.</w:t>
      </w:r>
      <w:r>
        <w:rPr>
          <w:rFonts w:eastAsia="Times New Roman" w:cs="Times New Roman"/>
          <w:color w:val="000000"/>
          <w:szCs w:val="24"/>
        </w:rPr>
        <w:t xml:space="preserve"> This identifies candidate genes involved in nitrogen-based nutritional symbiosis and support</w:t>
      </w:r>
      <w:r w:rsidR="00720E4D">
        <w:rPr>
          <w:rFonts w:eastAsia="Times New Roman" w:cs="Times New Roman"/>
          <w:color w:val="000000"/>
          <w:szCs w:val="24"/>
        </w:rPr>
        <w:t>s</w:t>
      </w:r>
      <w:r>
        <w:rPr>
          <w:rFonts w:eastAsia="Times New Roman" w:cs="Times New Roman"/>
          <w:color w:val="000000"/>
          <w:szCs w:val="24"/>
        </w:rPr>
        <w:t xml:space="preserve"> a shift from inducible to constitutive expression associated with the evolution of obligate dependence.</w:t>
      </w:r>
    </w:p>
    <w:p w14:paraId="1E6778E4" w14:textId="77777777" w:rsidR="001103B4" w:rsidRDefault="001103B4" w:rsidP="00197368">
      <w:pPr>
        <w:widowControl w:val="0"/>
        <w:pBdr>
          <w:top w:val="nil"/>
          <w:left w:val="nil"/>
          <w:bottom w:val="nil"/>
          <w:right w:val="nil"/>
          <w:between w:val="nil"/>
        </w:pBdr>
        <w:ind w:right="-52" w:firstLine="10"/>
        <w:rPr>
          <w:rFonts w:eastAsia="Times New Roman" w:cs="Times New Roman"/>
          <w:color w:val="000000"/>
          <w:szCs w:val="24"/>
        </w:rPr>
      </w:pPr>
    </w:p>
    <w:p w14:paraId="532080B9" w14:textId="77777777" w:rsidR="00B46CA4" w:rsidRDefault="00B46CA4" w:rsidP="00197368">
      <w:pPr>
        <w:widowControl w:val="0"/>
        <w:pBdr>
          <w:top w:val="nil"/>
          <w:left w:val="nil"/>
          <w:bottom w:val="nil"/>
          <w:right w:val="nil"/>
          <w:between w:val="nil"/>
        </w:pBdr>
        <w:ind w:right="-52" w:firstLine="10"/>
        <w:rPr>
          <w:rFonts w:eastAsia="Times New Roman" w:cs="Times New Roman"/>
          <w:color w:val="000000"/>
          <w:szCs w:val="24"/>
        </w:rPr>
      </w:pPr>
    </w:p>
    <w:p w14:paraId="51C332E6" w14:textId="77777777" w:rsidR="001103B4" w:rsidRDefault="001103B4" w:rsidP="00197368">
      <w:pPr>
        <w:widowControl w:val="0"/>
        <w:pBdr>
          <w:top w:val="nil"/>
          <w:left w:val="nil"/>
          <w:bottom w:val="nil"/>
          <w:right w:val="nil"/>
          <w:between w:val="nil"/>
        </w:pBdr>
        <w:ind w:right="-52" w:firstLine="10"/>
        <w:rPr>
          <w:rFonts w:eastAsia="Times New Roman" w:cs="Times New Roman"/>
          <w:color w:val="000000"/>
          <w:szCs w:val="24"/>
        </w:rPr>
        <w:sectPr w:rsidR="001103B4" w:rsidSect="00913490">
          <w:footerReference w:type="default" r:id="rId15"/>
          <w:pgSz w:w="11900" w:h="16820"/>
          <w:pgMar w:top="1440" w:right="1440" w:bottom="1440" w:left="1440" w:header="0" w:footer="720" w:gutter="0"/>
          <w:pgNumType w:fmt="lowerRoman" w:start="1"/>
          <w:cols w:space="720"/>
          <w:docGrid w:linePitch="299"/>
        </w:sectPr>
      </w:pPr>
    </w:p>
    <w:p w14:paraId="5607D2D4" w14:textId="77777777" w:rsidR="002E5535" w:rsidRDefault="002E5535" w:rsidP="002E5535">
      <w:pPr>
        <w:pStyle w:val="Heading1"/>
        <w:jc w:val="center"/>
      </w:pPr>
    </w:p>
    <w:p w14:paraId="0000002A" w14:textId="7C90B1F4" w:rsidR="00E420E3" w:rsidRDefault="008E5528" w:rsidP="002E5535">
      <w:pPr>
        <w:pStyle w:val="Heading1"/>
        <w:jc w:val="center"/>
      </w:pPr>
      <w:bookmarkStart w:id="2" w:name="_Toc235392951"/>
      <w:r>
        <w:t>Chapter 1. General Introduction</w:t>
      </w:r>
      <w:bookmarkEnd w:id="2"/>
    </w:p>
    <w:p w14:paraId="2B24DBA3" w14:textId="77777777" w:rsidR="002E5535" w:rsidRPr="00D40055" w:rsidRDefault="002E5535" w:rsidP="002E5535">
      <w:pPr>
        <w:rPr>
          <w:rFonts w:cs="Times New Roman"/>
          <w:sz w:val="28"/>
          <w:szCs w:val="28"/>
        </w:rPr>
      </w:pPr>
    </w:p>
    <w:p w14:paraId="1A83658B" w14:textId="77777777" w:rsidR="002E5535" w:rsidRDefault="002E5535" w:rsidP="002E5535">
      <w:pPr>
        <w:rPr>
          <w:rFonts w:cs="Times New Roman"/>
          <w:sz w:val="28"/>
          <w:szCs w:val="28"/>
        </w:rPr>
      </w:pPr>
    </w:p>
    <w:p w14:paraId="42677CAF" w14:textId="77777777" w:rsidR="00D40055" w:rsidRDefault="00D40055" w:rsidP="002E5535">
      <w:pPr>
        <w:rPr>
          <w:rFonts w:cs="Times New Roman"/>
          <w:sz w:val="28"/>
          <w:szCs w:val="28"/>
        </w:rPr>
      </w:pPr>
    </w:p>
    <w:p w14:paraId="549F03A7" w14:textId="77777777" w:rsidR="00D40055" w:rsidRDefault="00D40055" w:rsidP="002E5535">
      <w:pPr>
        <w:rPr>
          <w:rFonts w:cs="Times New Roman"/>
          <w:sz w:val="28"/>
          <w:szCs w:val="28"/>
        </w:rPr>
      </w:pPr>
    </w:p>
    <w:p w14:paraId="28DCF74A" w14:textId="77777777" w:rsidR="00D40055" w:rsidRDefault="00D40055" w:rsidP="002E5535">
      <w:pPr>
        <w:rPr>
          <w:rFonts w:cs="Times New Roman"/>
          <w:sz w:val="28"/>
          <w:szCs w:val="28"/>
        </w:rPr>
      </w:pPr>
    </w:p>
    <w:p w14:paraId="000638E3" w14:textId="77777777" w:rsidR="00D40055" w:rsidRDefault="00D40055" w:rsidP="002E5535">
      <w:pPr>
        <w:rPr>
          <w:rFonts w:cs="Times New Roman"/>
          <w:sz w:val="28"/>
          <w:szCs w:val="28"/>
        </w:rPr>
      </w:pPr>
    </w:p>
    <w:p w14:paraId="4B62C6B2" w14:textId="77777777" w:rsidR="00D40055" w:rsidRDefault="00D40055" w:rsidP="002E5535">
      <w:pPr>
        <w:rPr>
          <w:rFonts w:cs="Times New Roman"/>
          <w:sz w:val="28"/>
          <w:szCs w:val="28"/>
        </w:rPr>
      </w:pPr>
    </w:p>
    <w:p w14:paraId="2B055A8A" w14:textId="77777777" w:rsidR="00D40055" w:rsidRDefault="00D40055" w:rsidP="002E5535">
      <w:pPr>
        <w:rPr>
          <w:rFonts w:cs="Times New Roman"/>
          <w:sz w:val="28"/>
          <w:szCs w:val="28"/>
        </w:rPr>
      </w:pPr>
    </w:p>
    <w:p w14:paraId="50777DFC" w14:textId="77777777" w:rsidR="00D40055" w:rsidRDefault="00D40055" w:rsidP="002E5535">
      <w:pPr>
        <w:rPr>
          <w:rFonts w:cs="Times New Roman"/>
          <w:sz w:val="28"/>
          <w:szCs w:val="28"/>
        </w:rPr>
      </w:pPr>
    </w:p>
    <w:p w14:paraId="26124AB8" w14:textId="77777777" w:rsidR="00D40055" w:rsidRDefault="00D40055" w:rsidP="002E5535">
      <w:pPr>
        <w:rPr>
          <w:rFonts w:cs="Times New Roman"/>
          <w:sz w:val="28"/>
          <w:szCs w:val="28"/>
        </w:rPr>
      </w:pPr>
    </w:p>
    <w:p w14:paraId="10F9A27C" w14:textId="77777777" w:rsidR="00D40055" w:rsidRDefault="00D40055" w:rsidP="002E5535">
      <w:pPr>
        <w:rPr>
          <w:rFonts w:cs="Times New Roman"/>
          <w:sz w:val="28"/>
          <w:szCs w:val="28"/>
        </w:rPr>
      </w:pPr>
    </w:p>
    <w:p w14:paraId="1C34F8E9" w14:textId="77777777" w:rsidR="00D40055" w:rsidRDefault="00D40055" w:rsidP="002E5535">
      <w:pPr>
        <w:rPr>
          <w:rFonts w:cs="Times New Roman"/>
          <w:sz w:val="28"/>
          <w:szCs w:val="28"/>
        </w:rPr>
      </w:pPr>
    </w:p>
    <w:p w14:paraId="56CB260F" w14:textId="77777777" w:rsidR="00D40055" w:rsidRDefault="00D40055" w:rsidP="002E5535">
      <w:pPr>
        <w:rPr>
          <w:rFonts w:cs="Times New Roman"/>
          <w:sz w:val="28"/>
          <w:szCs w:val="28"/>
        </w:rPr>
      </w:pPr>
    </w:p>
    <w:p w14:paraId="2B7F0986" w14:textId="77777777" w:rsidR="00D40055" w:rsidRDefault="00D40055" w:rsidP="002E5535">
      <w:pPr>
        <w:rPr>
          <w:rFonts w:cs="Times New Roman"/>
          <w:sz w:val="28"/>
          <w:szCs w:val="28"/>
        </w:rPr>
      </w:pPr>
    </w:p>
    <w:p w14:paraId="013E61F3" w14:textId="77777777" w:rsidR="00D40055" w:rsidRDefault="00D40055" w:rsidP="002E5535">
      <w:pPr>
        <w:rPr>
          <w:rFonts w:cs="Times New Roman"/>
          <w:sz w:val="28"/>
          <w:szCs w:val="28"/>
        </w:rPr>
      </w:pPr>
    </w:p>
    <w:p w14:paraId="2BBE5D1C" w14:textId="77777777" w:rsidR="00D40055" w:rsidRDefault="00D40055" w:rsidP="002E5535">
      <w:pPr>
        <w:rPr>
          <w:rFonts w:cs="Times New Roman"/>
          <w:sz w:val="28"/>
          <w:szCs w:val="28"/>
        </w:rPr>
      </w:pPr>
    </w:p>
    <w:p w14:paraId="3A6C50B3" w14:textId="77777777" w:rsidR="00D40055" w:rsidRDefault="00D40055" w:rsidP="002E5535">
      <w:pPr>
        <w:rPr>
          <w:rFonts w:cs="Times New Roman"/>
          <w:sz w:val="28"/>
          <w:szCs w:val="28"/>
        </w:rPr>
      </w:pPr>
    </w:p>
    <w:p w14:paraId="603AB957" w14:textId="77777777" w:rsidR="00D40055" w:rsidRDefault="00D40055" w:rsidP="002E5535">
      <w:pPr>
        <w:rPr>
          <w:rFonts w:cs="Times New Roman"/>
          <w:sz w:val="28"/>
          <w:szCs w:val="28"/>
        </w:rPr>
      </w:pPr>
    </w:p>
    <w:p w14:paraId="29F2E0FD" w14:textId="77777777" w:rsidR="008A002B" w:rsidRDefault="008A002B" w:rsidP="002E5535">
      <w:pPr>
        <w:rPr>
          <w:rFonts w:cs="Times New Roman"/>
          <w:sz w:val="28"/>
          <w:szCs w:val="28"/>
        </w:rPr>
        <w:sectPr w:rsidR="008A002B" w:rsidSect="00D826FB">
          <w:pgSz w:w="11900" w:h="16820"/>
          <w:pgMar w:top="1440" w:right="1440" w:bottom="1440" w:left="1440" w:header="0" w:footer="720" w:gutter="0"/>
          <w:pgNumType w:start="1"/>
          <w:cols w:space="720"/>
          <w:docGrid w:linePitch="299"/>
        </w:sectPr>
      </w:pPr>
    </w:p>
    <w:p w14:paraId="0000002C" w14:textId="77777777" w:rsidR="00E420E3" w:rsidRDefault="008E5528" w:rsidP="00A05745">
      <w:pPr>
        <w:pStyle w:val="Heading2"/>
        <w:spacing w:before="0" w:after="160"/>
      </w:pPr>
      <w:bookmarkStart w:id="3" w:name="_Toc235392952"/>
      <w:r>
        <w:lastRenderedPageBreak/>
        <w:t>1. General Introduction</w:t>
      </w:r>
      <w:bookmarkEnd w:id="3"/>
      <w:r>
        <w:t xml:space="preserve"> </w:t>
      </w:r>
    </w:p>
    <w:p w14:paraId="0000002D" w14:textId="77777777" w:rsidR="00E420E3" w:rsidRDefault="008E5528" w:rsidP="00F90E58">
      <w:pPr>
        <w:pStyle w:val="Heading3"/>
      </w:pPr>
      <w:bookmarkStart w:id="4" w:name="_Toc235392953"/>
      <w:r>
        <w:t>1.1 Mutualisms</w:t>
      </w:r>
      <w:bookmarkEnd w:id="4"/>
      <w:r>
        <w:t xml:space="preserve"> </w:t>
      </w:r>
    </w:p>
    <w:p w14:paraId="0000002E" w14:textId="1AD50398" w:rsidR="00E420E3" w:rsidRDefault="008E5528" w:rsidP="00225F36">
      <w:pPr>
        <w:widowControl w:val="0"/>
        <w:pBdr>
          <w:top w:val="nil"/>
          <w:left w:val="nil"/>
          <w:bottom w:val="nil"/>
          <w:right w:val="nil"/>
          <w:between w:val="nil"/>
        </w:pBdr>
        <w:rPr>
          <w:rFonts w:eastAsia="Times New Roman" w:cs="Times New Roman"/>
          <w:szCs w:val="24"/>
        </w:rPr>
      </w:pPr>
      <w:r>
        <w:rPr>
          <w:rFonts w:eastAsia="Times New Roman" w:cs="Times New Roman"/>
          <w:color w:val="000000"/>
          <w:szCs w:val="24"/>
        </w:rPr>
        <w:t>Mutualism is a type of species interaction that involves the exchange of resources and/</w:t>
      </w:r>
      <w:r w:rsidR="006A5008">
        <w:rPr>
          <w:rFonts w:eastAsia="Times New Roman" w:cs="Times New Roman"/>
          <w:color w:val="000000"/>
          <w:szCs w:val="24"/>
        </w:rPr>
        <w:t>or services</w:t>
      </w:r>
      <w:r>
        <w:rPr>
          <w:rFonts w:eastAsia="Times New Roman" w:cs="Times New Roman"/>
          <w:color w:val="000000"/>
          <w:szCs w:val="24"/>
        </w:rPr>
        <w:t xml:space="preserve"> between species where every species benefits (Janzen, 1985; Bronstein, 2015; </w:t>
      </w:r>
      <w:r w:rsidR="006A5008">
        <w:rPr>
          <w:rFonts w:eastAsia="Times New Roman" w:cs="Times New Roman"/>
          <w:color w:val="000000"/>
          <w:szCs w:val="24"/>
        </w:rPr>
        <w:t>Hale and</w:t>
      </w:r>
      <w:r>
        <w:rPr>
          <w:rFonts w:eastAsia="Times New Roman" w:cs="Times New Roman"/>
          <w:color w:val="000000"/>
          <w:szCs w:val="24"/>
        </w:rPr>
        <w:t xml:space="preserve"> Valdovinos 2021). Mutualisms are found across the tree of life and occur in virtually </w:t>
      </w:r>
      <w:r w:rsidR="006A5008">
        <w:rPr>
          <w:rFonts w:eastAsia="Times New Roman" w:cs="Times New Roman"/>
          <w:color w:val="000000"/>
          <w:szCs w:val="24"/>
        </w:rPr>
        <w:t>every ecosystem</w:t>
      </w:r>
      <w:r>
        <w:rPr>
          <w:rFonts w:eastAsia="Times New Roman" w:cs="Times New Roman"/>
          <w:color w:val="000000"/>
          <w:szCs w:val="24"/>
        </w:rPr>
        <w:t xml:space="preserve">, in fact virtually every species on Earth is involved in one or more </w:t>
      </w:r>
      <w:r w:rsidR="006A5008">
        <w:rPr>
          <w:rFonts w:eastAsia="Times New Roman" w:cs="Times New Roman"/>
          <w:color w:val="000000"/>
          <w:szCs w:val="24"/>
        </w:rPr>
        <w:t>mutualisms (</w:t>
      </w:r>
      <w:r>
        <w:rPr>
          <w:rFonts w:eastAsia="Times New Roman" w:cs="Times New Roman"/>
          <w:color w:val="000000"/>
          <w:szCs w:val="24"/>
        </w:rPr>
        <w:t xml:space="preserve">Bronstein, 2001). Not surprisingly, mutualisms play key ecological roles essential </w:t>
      </w:r>
      <w:r w:rsidR="006A5008">
        <w:rPr>
          <w:rFonts w:eastAsia="Times New Roman" w:cs="Times New Roman"/>
          <w:color w:val="000000"/>
          <w:szCs w:val="24"/>
        </w:rPr>
        <w:t>for ecosystem</w:t>
      </w:r>
      <w:r>
        <w:rPr>
          <w:rFonts w:eastAsia="Times New Roman" w:cs="Times New Roman"/>
          <w:color w:val="000000"/>
          <w:szCs w:val="24"/>
        </w:rPr>
        <w:t xml:space="preserve"> functioning, such as pollination, seed dispersal, defence against predators </w:t>
      </w:r>
      <w:r w:rsidR="006A5008">
        <w:rPr>
          <w:rFonts w:eastAsia="Times New Roman" w:cs="Times New Roman"/>
          <w:color w:val="000000"/>
          <w:szCs w:val="24"/>
        </w:rPr>
        <w:t>and nutrition</w:t>
      </w:r>
      <w:r>
        <w:rPr>
          <w:rFonts w:eastAsia="Times New Roman" w:cs="Times New Roman"/>
          <w:color w:val="000000"/>
          <w:szCs w:val="24"/>
        </w:rPr>
        <w:t xml:space="preserve"> (Bronstein, 2015). Thus, the disruption of mutualisms due to human activity such </w:t>
      </w:r>
      <w:r w:rsidR="00710C50">
        <w:rPr>
          <w:rFonts w:eastAsia="Times New Roman" w:cs="Times New Roman"/>
          <w:color w:val="000000"/>
          <w:szCs w:val="24"/>
        </w:rPr>
        <w:t>as habitat</w:t>
      </w:r>
      <w:r>
        <w:rPr>
          <w:rFonts w:eastAsia="Times New Roman" w:cs="Times New Roman"/>
          <w:color w:val="000000"/>
          <w:szCs w:val="24"/>
        </w:rPr>
        <w:t xml:space="preserve"> destruction, defaunation or climate change can have dire consequences for </w:t>
      </w:r>
      <w:r w:rsidR="00710C50">
        <w:rPr>
          <w:rFonts w:eastAsia="Times New Roman" w:cs="Times New Roman"/>
          <w:color w:val="000000"/>
          <w:szCs w:val="24"/>
        </w:rPr>
        <w:t>ecosystems (</w:t>
      </w:r>
      <w:r>
        <w:rPr>
          <w:rFonts w:eastAsia="Times New Roman" w:cs="Times New Roman"/>
          <w:color w:val="000000"/>
          <w:szCs w:val="24"/>
        </w:rPr>
        <w:t>Kiers et al., 2010; Aslan et al</w:t>
      </w:r>
      <w:r>
        <w:rPr>
          <w:rFonts w:eastAsia="Times New Roman" w:cs="Times New Roman"/>
          <w:i/>
          <w:iCs/>
          <w:color w:val="000000"/>
          <w:szCs w:val="24"/>
        </w:rPr>
        <w:t xml:space="preserve">., </w:t>
      </w:r>
      <w:r>
        <w:rPr>
          <w:rFonts w:eastAsia="Times New Roman" w:cs="Times New Roman"/>
          <w:color w:val="000000"/>
          <w:szCs w:val="24"/>
        </w:rPr>
        <w:t xml:space="preserve">2013). Three examples of mutualism below illustrate </w:t>
      </w:r>
      <w:r w:rsidR="00710C50">
        <w:rPr>
          <w:rFonts w:eastAsia="Times New Roman" w:cs="Times New Roman"/>
          <w:color w:val="000000"/>
          <w:szCs w:val="24"/>
        </w:rPr>
        <w:t>ecological diversity</w:t>
      </w:r>
      <w:r>
        <w:rPr>
          <w:rFonts w:eastAsia="Times New Roman" w:cs="Times New Roman"/>
          <w:color w:val="000000"/>
          <w:szCs w:val="24"/>
        </w:rPr>
        <w:t xml:space="preserve"> and importance of mutualistic interactions. The exchange of mineral nitrogen </w:t>
      </w:r>
      <w:r w:rsidR="00710C50">
        <w:rPr>
          <w:rFonts w:eastAsia="Times New Roman" w:cs="Times New Roman"/>
          <w:color w:val="000000"/>
          <w:szCs w:val="24"/>
        </w:rPr>
        <w:t>and phosphorus</w:t>
      </w:r>
      <w:r>
        <w:rPr>
          <w:rFonts w:eastAsia="Times New Roman" w:cs="Times New Roman"/>
          <w:color w:val="000000"/>
          <w:szCs w:val="24"/>
        </w:rPr>
        <w:t xml:space="preserve"> from a fungus and carbon from plants, termed mycorrhizae, is common to ~80</w:t>
      </w:r>
      <w:r w:rsidR="00710C50">
        <w:rPr>
          <w:rFonts w:eastAsia="Times New Roman" w:cs="Times New Roman"/>
          <w:color w:val="000000"/>
          <w:szCs w:val="24"/>
        </w:rPr>
        <w:t>% of</w:t>
      </w:r>
      <w:r>
        <w:rPr>
          <w:rFonts w:eastAsia="Times New Roman" w:cs="Times New Roman"/>
          <w:color w:val="000000"/>
          <w:szCs w:val="24"/>
        </w:rPr>
        <w:t xml:space="preserve"> all land plants and is central to plant nutrition (Bonfante and Genre, 2010). </w:t>
      </w:r>
      <w:r w:rsidR="00710C50">
        <w:rPr>
          <w:rFonts w:eastAsia="Times New Roman" w:cs="Times New Roman"/>
          <w:color w:val="000000"/>
          <w:szCs w:val="24"/>
        </w:rPr>
        <w:t>Mycorrhizae have</w:t>
      </w:r>
      <w:r>
        <w:rPr>
          <w:rFonts w:eastAsia="Times New Roman" w:cs="Times New Roman"/>
          <w:color w:val="000000"/>
          <w:szCs w:val="24"/>
        </w:rPr>
        <w:t xml:space="preserve"> also been critical for the conquest of the land by early land plants over 450 million </w:t>
      </w:r>
      <w:r w:rsidR="00710C50">
        <w:rPr>
          <w:rFonts w:eastAsia="Times New Roman" w:cs="Times New Roman"/>
          <w:color w:val="000000"/>
          <w:szCs w:val="24"/>
        </w:rPr>
        <w:t>years ago</w:t>
      </w:r>
      <w:r>
        <w:rPr>
          <w:rFonts w:eastAsia="Times New Roman" w:cs="Times New Roman"/>
          <w:color w:val="000000"/>
          <w:szCs w:val="24"/>
        </w:rPr>
        <w:t xml:space="preserve"> (Field et al., 2015). Animal pollination, the process of pollen transfer mediated </w:t>
      </w:r>
      <w:r w:rsidR="00710C50">
        <w:rPr>
          <w:rFonts w:eastAsia="Times New Roman" w:cs="Times New Roman"/>
          <w:color w:val="000000"/>
          <w:szCs w:val="24"/>
        </w:rPr>
        <w:t>by pollinating</w:t>
      </w:r>
      <w:r>
        <w:rPr>
          <w:rFonts w:eastAsia="Times New Roman" w:cs="Times New Roman"/>
          <w:color w:val="000000"/>
          <w:szCs w:val="24"/>
        </w:rPr>
        <w:t xml:space="preserve"> agents that receive a reward such as nectar, is critical for the reproducti</w:t>
      </w:r>
      <w:r>
        <w:rPr>
          <w:rFonts w:eastAsia="Times New Roman" w:cs="Times New Roman"/>
          <w:szCs w:val="24"/>
        </w:rPr>
        <w:t>ve</w:t>
      </w:r>
      <w:r>
        <w:rPr>
          <w:rFonts w:eastAsia="Times New Roman" w:cs="Times New Roman"/>
          <w:color w:val="000000"/>
          <w:szCs w:val="24"/>
        </w:rPr>
        <w:t xml:space="preserve"> </w:t>
      </w:r>
      <w:r w:rsidR="00710C50">
        <w:rPr>
          <w:rFonts w:eastAsia="Times New Roman" w:cs="Times New Roman"/>
          <w:color w:val="000000"/>
          <w:szCs w:val="24"/>
        </w:rPr>
        <w:t>success of</w:t>
      </w:r>
      <w:r>
        <w:rPr>
          <w:rFonts w:eastAsia="Times New Roman" w:cs="Times New Roman"/>
          <w:color w:val="000000"/>
          <w:szCs w:val="24"/>
        </w:rPr>
        <w:t xml:space="preserve"> ~90% of flowering plants (Ollerton et al., 2011; Tong et al., 2023). In marine </w:t>
      </w:r>
      <w:r w:rsidR="00127BD1">
        <w:rPr>
          <w:rFonts w:eastAsia="Times New Roman" w:cs="Times New Roman"/>
          <w:color w:val="000000"/>
          <w:szCs w:val="24"/>
        </w:rPr>
        <w:t>environments, coral</w:t>
      </w:r>
      <w:r>
        <w:rPr>
          <w:rFonts w:eastAsia="Times New Roman" w:cs="Times New Roman"/>
          <w:color w:val="000000"/>
          <w:szCs w:val="24"/>
        </w:rPr>
        <w:t xml:space="preserve"> reefs, which consist </w:t>
      </w:r>
      <w:r>
        <w:rPr>
          <w:rFonts w:eastAsia="Times New Roman" w:cs="Times New Roman"/>
          <w:szCs w:val="24"/>
        </w:rPr>
        <w:t>of</w:t>
      </w:r>
      <w:r>
        <w:rPr>
          <w:rFonts w:eastAsia="Times New Roman" w:cs="Times New Roman"/>
          <w:color w:val="000000"/>
          <w:szCs w:val="24"/>
        </w:rPr>
        <w:t xml:space="preserve"> an endosymbiosis between microscopic algae (zooxanthellae) </w:t>
      </w:r>
      <w:r w:rsidR="00127BD1">
        <w:rPr>
          <w:rFonts w:eastAsia="Times New Roman" w:cs="Times New Roman"/>
          <w:color w:val="000000"/>
          <w:szCs w:val="24"/>
        </w:rPr>
        <w:t>and corals</w:t>
      </w:r>
      <w:r>
        <w:rPr>
          <w:rFonts w:eastAsia="Times New Roman" w:cs="Times New Roman"/>
          <w:color w:val="000000"/>
          <w:szCs w:val="24"/>
        </w:rPr>
        <w:t xml:space="preserve"> wherein the coral provides its waste (CO</w:t>
      </w:r>
      <w:r>
        <w:rPr>
          <w:rFonts w:eastAsia="Times New Roman" w:cs="Times New Roman"/>
          <w:color w:val="000000"/>
          <w:sz w:val="16"/>
          <w:szCs w:val="16"/>
        </w:rPr>
        <w:t>2</w:t>
      </w:r>
      <w:r>
        <w:rPr>
          <w:rFonts w:eastAsia="Times New Roman" w:cs="Times New Roman"/>
          <w:color w:val="000000"/>
          <w:szCs w:val="24"/>
        </w:rPr>
        <w:t xml:space="preserve">, nitrogen, phosphorus) against carbon </w:t>
      </w:r>
      <w:r w:rsidR="00127BD1">
        <w:rPr>
          <w:rFonts w:eastAsia="Times New Roman" w:cs="Times New Roman"/>
          <w:color w:val="000000"/>
          <w:szCs w:val="24"/>
        </w:rPr>
        <w:t>from the</w:t>
      </w:r>
      <w:r>
        <w:rPr>
          <w:rFonts w:eastAsia="Times New Roman" w:cs="Times New Roman"/>
          <w:color w:val="000000"/>
          <w:szCs w:val="24"/>
        </w:rPr>
        <w:t xml:space="preserve"> photosynthetic zooxanthellae. This mutualistic symbiosis provides a habitat that sustains </w:t>
      </w:r>
      <w:r w:rsidR="00127BD1">
        <w:rPr>
          <w:rFonts w:eastAsia="Times New Roman" w:cs="Times New Roman"/>
          <w:color w:val="000000"/>
          <w:szCs w:val="24"/>
        </w:rPr>
        <w:t>a quarter</w:t>
      </w:r>
      <w:r>
        <w:rPr>
          <w:rFonts w:eastAsia="Times New Roman" w:cs="Times New Roman"/>
          <w:color w:val="000000"/>
          <w:szCs w:val="24"/>
        </w:rPr>
        <w:t xml:space="preserve"> of all marine species (EPA, 2022). More generally, mutualisms are key modulators </w:t>
      </w:r>
      <w:r w:rsidR="00127BD1">
        <w:rPr>
          <w:rFonts w:eastAsia="Times New Roman" w:cs="Times New Roman"/>
          <w:color w:val="000000"/>
          <w:szCs w:val="24"/>
        </w:rPr>
        <w:t>of species</w:t>
      </w:r>
      <w:r>
        <w:rPr>
          <w:rFonts w:eastAsia="Times New Roman" w:cs="Times New Roman"/>
          <w:color w:val="000000"/>
          <w:szCs w:val="24"/>
        </w:rPr>
        <w:t xml:space="preserve"> richness at the ecological and evolutionary scales, by affecting species </w:t>
      </w:r>
      <w:r w:rsidR="00127BD1">
        <w:rPr>
          <w:rFonts w:eastAsia="Times New Roman" w:cs="Times New Roman"/>
          <w:color w:val="000000"/>
          <w:szCs w:val="24"/>
        </w:rPr>
        <w:t>coexistence within</w:t>
      </w:r>
      <w:r>
        <w:rPr>
          <w:rFonts w:eastAsia="Times New Roman" w:cs="Times New Roman"/>
          <w:color w:val="000000"/>
          <w:szCs w:val="24"/>
        </w:rPr>
        <w:t xml:space="preserve"> ecosystems, and species diversification at the macroevolutionary scale (Chomicki et al.</w:t>
      </w:r>
      <w:r w:rsidR="00127BD1">
        <w:rPr>
          <w:rFonts w:eastAsia="Times New Roman" w:cs="Times New Roman"/>
          <w:color w:val="000000"/>
          <w:szCs w:val="24"/>
        </w:rPr>
        <w:t>, 2019</w:t>
      </w:r>
      <w:r>
        <w:rPr>
          <w:rFonts w:eastAsia="Times New Roman" w:cs="Times New Roman"/>
          <w:color w:val="000000"/>
          <w:szCs w:val="24"/>
        </w:rPr>
        <w:t xml:space="preserve">). </w:t>
      </w:r>
    </w:p>
    <w:p w14:paraId="0000002F" w14:textId="77777777" w:rsidR="00E420E3" w:rsidRDefault="008E5528" w:rsidP="00225F36">
      <w:pPr>
        <w:widowControl w:val="0"/>
        <w:pBdr>
          <w:top w:val="nil"/>
          <w:left w:val="nil"/>
          <w:bottom w:val="nil"/>
          <w:right w:val="nil"/>
          <w:between w:val="nil"/>
        </w:pBdr>
        <w:rPr>
          <w:rFonts w:eastAsia="Times New Roman" w:cs="Times New Roman"/>
          <w:szCs w:val="24"/>
        </w:rPr>
      </w:pPr>
      <w:r>
        <w:rPr>
          <w:rFonts w:eastAsia="Times New Roman" w:cs="Times New Roman"/>
          <w:szCs w:val="24"/>
        </w:rPr>
        <w:t xml:space="preserve">The term “mutualism” was first mentioned in 1873 by Pierre van </w:t>
      </w:r>
      <w:proofErr w:type="spellStart"/>
      <w:r>
        <w:rPr>
          <w:rFonts w:eastAsia="Times New Roman" w:cs="Times New Roman"/>
          <w:szCs w:val="24"/>
        </w:rPr>
        <w:t>Beneden</w:t>
      </w:r>
      <w:proofErr w:type="spellEnd"/>
      <w:r>
        <w:rPr>
          <w:rFonts w:eastAsia="Times New Roman" w:cs="Times New Roman"/>
          <w:szCs w:val="24"/>
        </w:rPr>
        <w:t xml:space="preserve"> to describe “mutual aid” among species (Bronstein, </w:t>
      </w:r>
      <w:r w:rsidRPr="00D064F6">
        <w:rPr>
          <w:rFonts w:eastAsia="Times New Roman" w:cs="Times New Roman"/>
          <w:szCs w:val="24"/>
        </w:rPr>
        <w:t>2015), six years before the related but distinct term “symbiosis” was introduced. The terms “mutualism” and “symbiosis” are often used interchangeably despite carrying different definitions, which has led to the misuse of both words. In 1879, Anton de Bary first defined symbiosis (Bary 1879, Bronstein, 2015) as encompassing both mutualistic and parasitic interactions yet many authors today still misuse “symbiosis” when they mean “mutualism.” The</w:t>
      </w:r>
      <w:r w:rsidRPr="005B0317">
        <w:rPr>
          <w:rFonts w:eastAsia="Times New Roman" w:cs="Times New Roman"/>
          <w:szCs w:val="24"/>
        </w:rPr>
        <w:t xml:space="preserve"> effect on fitness essentially defines the type of symbiosis. A </w:t>
      </w:r>
      <w:r w:rsidRPr="005B0317">
        <w:rPr>
          <w:rFonts w:eastAsia="Times New Roman" w:cs="Times New Roman"/>
          <w:szCs w:val="24"/>
        </w:rPr>
        <w:lastRenderedPageBreak/>
        <w:t xml:space="preserve">mutualism occurs when the overall </w:t>
      </w:r>
      <w:r>
        <w:rPr>
          <w:rFonts w:eastAsia="Times New Roman" w:cs="Times New Roman"/>
          <w:szCs w:val="24"/>
        </w:rPr>
        <w:t>fitness benefit is positive for both species, commensalism is positive for one species and neutral for the other and parasitism/predation is positive for one and negative for the other (Leigh, 2010).</w:t>
      </w:r>
    </w:p>
    <w:p w14:paraId="0C4F02E8" w14:textId="77777777" w:rsidR="00CF74F3" w:rsidRDefault="008E5528" w:rsidP="00225F36">
      <w:pPr>
        <w:widowControl w:val="0"/>
        <w:pBdr>
          <w:top w:val="nil"/>
          <w:left w:val="nil"/>
          <w:bottom w:val="nil"/>
          <w:right w:val="nil"/>
          <w:between w:val="nil"/>
        </w:pBdr>
        <w:rPr>
          <w:rFonts w:eastAsia="Times New Roman" w:cs="Times New Roman"/>
          <w:szCs w:val="24"/>
        </w:rPr>
      </w:pPr>
      <w:r>
        <w:rPr>
          <w:rFonts w:eastAsia="Times New Roman" w:cs="Times New Roman"/>
          <w:szCs w:val="24"/>
        </w:rPr>
        <w:t>Service exchange during interactions is an alternative way to classify mutualism, which can be categorised into (</w:t>
      </w:r>
      <w:proofErr w:type="spellStart"/>
      <w:r>
        <w:rPr>
          <w:rFonts w:eastAsia="Times New Roman" w:cs="Times New Roman"/>
          <w:szCs w:val="24"/>
        </w:rPr>
        <w:t>i</w:t>
      </w:r>
      <w:proofErr w:type="spellEnd"/>
      <w:r>
        <w:rPr>
          <w:rFonts w:eastAsia="Times New Roman" w:cs="Times New Roman"/>
          <w:szCs w:val="24"/>
        </w:rPr>
        <w:t>) transportation, (ii) protection, and (iii) nutrition (Bronstein, 2015).</w:t>
      </w:r>
    </w:p>
    <w:p w14:paraId="00000031" w14:textId="4E2F2FE2" w:rsidR="00E420E3" w:rsidRDefault="008E5528" w:rsidP="00225F36">
      <w:pPr>
        <w:widowControl w:val="0"/>
        <w:pBdr>
          <w:top w:val="nil"/>
          <w:left w:val="nil"/>
          <w:bottom w:val="nil"/>
          <w:right w:val="nil"/>
          <w:between w:val="nil"/>
        </w:pBdr>
        <w:rPr>
          <w:rFonts w:eastAsia="Times New Roman" w:cs="Times New Roman"/>
          <w:szCs w:val="24"/>
        </w:rPr>
      </w:pPr>
      <w:r>
        <w:rPr>
          <w:rFonts w:eastAsia="Times New Roman" w:cs="Times New Roman"/>
          <w:szCs w:val="24"/>
        </w:rPr>
        <w:t>Transportation mutualisms involve the movement of one partner, as seen in pollination. Protection mutualisms occur when one partner provides defence, either against biotic threats such as in herbivory where whistling-thorn ants (</w:t>
      </w:r>
      <w:proofErr w:type="spellStart"/>
      <w:r>
        <w:rPr>
          <w:rFonts w:eastAsia="Times New Roman" w:cs="Times New Roman"/>
          <w:i/>
          <w:iCs/>
          <w:szCs w:val="24"/>
        </w:rPr>
        <w:t>Crematogaster</w:t>
      </w:r>
      <w:proofErr w:type="spellEnd"/>
      <w:r>
        <w:rPr>
          <w:rFonts w:eastAsia="Times New Roman" w:cs="Times New Roman"/>
          <w:i/>
          <w:iCs/>
          <w:szCs w:val="24"/>
        </w:rPr>
        <w:t xml:space="preserve"> </w:t>
      </w:r>
      <w:proofErr w:type="spellStart"/>
      <w:r>
        <w:rPr>
          <w:rFonts w:eastAsia="Times New Roman" w:cs="Times New Roman"/>
          <w:i/>
          <w:iCs/>
          <w:szCs w:val="24"/>
        </w:rPr>
        <w:t>mimosae</w:t>
      </w:r>
      <w:proofErr w:type="spellEnd"/>
      <w:r>
        <w:rPr>
          <w:rFonts w:eastAsia="Times New Roman" w:cs="Times New Roman"/>
          <w:szCs w:val="24"/>
        </w:rPr>
        <w:t>) defend the swollen-thorn acacia tree (</w:t>
      </w:r>
      <w:r>
        <w:rPr>
          <w:rFonts w:eastAsia="Times New Roman" w:cs="Times New Roman"/>
          <w:i/>
          <w:iCs/>
          <w:szCs w:val="24"/>
        </w:rPr>
        <w:t xml:space="preserve">Vachellia </w:t>
      </w:r>
      <w:proofErr w:type="spellStart"/>
      <w:r>
        <w:rPr>
          <w:rFonts w:eastAsia="Times New Roman" w:cs="Times New Roman"/>
          <w:i/>
          <w:iCs/>
          <w:szCs w:val="24"/>
        </w:rPr>
        <w:t>drepanolobium</w:t>
      </w:r>
      <w:proofErr w:type="spellEnd"/>
      <w:r>
        <w:rPr>
          <w:rFonts w:eastAsia="Times New Roman" w:cs="Times New Roman"/>
          <w:szCs w:val="24"/>
        </w:rPr>
        <w:t>) from large herbivores like elephants (</w:t>
      </w:r>
      <w:r>
        <w:rPr>
          <w:rFonts w:eastAsia="Times New Roman" w:cs="Times New Roman"/>
          <w:i/>
          <w:iCs/>
          <w:szCs w:val="24"/>
        </w:rPr>
        <w:t xml:space="preserve">Loxodonta </w:t>
      </w:r>
      <w:proofErr w:type="spellStart"/>
      <w:r>
        <w:rPr>
          <w:rFonts w:eastAsia="Times New Roman" w:cs="Times New Roman"/>
          <w:i/>
          <w:iCs/>
          <w:szCs w:val="24"/>
        </w:rPr>
        <w:t>africana</w:t>
      </w:r>
      <w:proofErr w:type="spellEnd"/>
      <w:r>
        <w:rPr>
          <w:rFonts w:eastAsia="Times New Roman" w:cs="Times New Roman"/>
          <w:szCs w:val="24"/>
        </w:rPr>
        <w:t xml:space="preserve">) (Chomicki et al., 2015; Palmer, 2023) or against abiotic stress, such as when domatia shelter ant brood from harsh environmental conditions. A classic nutritional mutualism includes </w:t>
      </w:r>
      <w:r>
        <w:rPr>
          <w:rFonts w:eastAsia="Times New Roman" w:cs="Times New Roman"/>
          <w:i/>
          <w:iCs/>
          <w:szCs w:val="24"/>
        </w:rPr>
        <w:t>Rhizobium</w:t>
      </w:r>
      <w:r>
        <w:rPr>
          <w:rFonts w:eastAsia="Times New Roman" w:cs="Times New Roman"/>
          <w:szCs w:val="24"/>
        </w:rPr>
        <w:t xml:space="preserve"> bacteria involved in nitrogen-fixing symbioses with legumes and allies (Klinger et al., 2016).</w:t>
      </w:r>
    </w:p>
    <w:p w14:paraId="00000033" w14:textId="35FF6E5F" w:rsidR="00E420E3" w:rsidRPr="00F90E58" w:rsidRDefault="008E5528" w:rsidP="00F90E58">
      <w:pPr>
        <w:pStyle w:val="Heading3"/>
      </w:pPr>
      <w:bookmarkStart w:id="5" w:name="_Toc235392954"/>
      <w:r w:rsidRPr="00F90E58">
        <w:t xml:space="preserve">1.2 The importance and diversity of </w:t>
      </w:r>
      <w:r w:rsidR="009F23E6">
        <w:t>ant-plant</w:t>
      </w:r>
      <w:r w:rsidRPr="00F90E58">
        <w:t xml:space="preserve"> mutualisms</w:t>
      </w:r>
      <w:bookmarkEnd w:id="5"/>
      <w:r w:rsidRPr="00F90E58">
        <w:t xml:space="preserve"> </w:t>
      </w:r>
    </w:p>
    <w:p w14:paraId="00000034" w14:textId="1E0B0178" w:rsidR="00E420E3" w:rsidRDefault="009F23E6" w:rsidP="00225F36">
      <w:pPr>
        <w:widowControl w:val="0"/>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 xml:space="preserve">Ant-plant mutualisms have long been used as models to understand mutualism ecology </w:t>
      </w:r>
      <w:r w:rsidR="00127BD1">
        <w:rPr>
          <w:rFonts w:eastAsia="Times New Roman" w:cs="Times New Roman"/>
          <w:color w:val="000000"/>
          <w:szCs w:val="24"/>
        </w:rPr>
        <w:t>and evolution</w:t>
      </w:r>
      <w:r>
        <w:rPr>
          <w:rFonts w:eastAsia="Times New Roman" w:cs="Times New Roman"/>
          <w:color w:val="000000"/>
          <w:szCs w:val="24"/>
        </w:rPr>
        <w:t xml:space="preserve"> (Bronstein et al., 2006). Ants and plants have coexisted for over 140 million </w:t>
      </w:r>
      <w:r w:rsidR="00127BD1">
        <w:rPr>
          <w:rFonts w:eastAsia="Times New Roman" w:cs="Times New Roman"/>
          <w:color w:val="000000"/>
          <w:szCs w:val="24"/>
        </w:rPr>
        <w:t>years (</w:t>
      </w:r>
      <w:r>
        <w:rPr>
          <w:rFonts w:eastAsia="Times New Roman" w:cs="Times New Roman"/>
          <w:color w:val="000000"/>
          <w:szCs w:val="24"/>
        </w:rPr>
        <w:t xml:space="preserve">Moreau et al., 2006). As a result, a wide range of interactions between ants and plants </w:t>
      </w:r>
      <w:r w:rsidR="00127BD1">
        <w:rPr>
          <w:rFonts w:eastAsia="Times New Roman" w:cs="Times New Roman"/>
          <w:color w:val="000000"/>
          <w:szCs w:val="24"/>
        </w:rPr>
        <w:t>have evolved</w:t>
      </w:r>
      <w:r>
        <w:rPr>
          <w:rFonts w:eastAsia="Times New Roman" w:cs="Times New Roman"/>
          <w:color w:val="000000"/>
          <w:szCs w:val="24"/>
        </w:rPr>
        <w:t xml:space="preserve">, including many mutualisms (Chomicki and Renner, 2017). There are four main </w:t>
      </w:r>
      <w:r w:rsidR="00127BD1">
        <w:rPr>
          <w:rFonts w:eastAsia="Times New Roman" w:cs="Times New Roman"/>
          <w:color w:val="000000"/>
          <w:szCs w:val="24"/>
        </w:rPr>
        <w:t>types of</w:t>
      </w:r>
      <w:r>
        <w:rPr>
          <w:rFonts w:eastAsia="Times New Roman" w:cs="Times New Roman"/>
          <w:color w:val="000000"/>
          <w:szCs w:val="24"/>
        </w:rPr>
        <w:t xml:space="preserve"> ant-plant mutualisms: seed dispersal by ants (myrmecochory), extrafloral nectary (EFN)- based defence mutualisms, domatium-based ant-plant symbioses, and plant </w:t>
      </w:r>
      <w:r w:rsidR="00127BD1">
        <w:rPr>
          <w:rFonts w:eastAsia="Times New Roman" w:cs="Times New Roman"/>
          <w:color w:val="000000"/>
          <w:szCs w:val="24"/>
        </w:rPr>
        <w:t>cultivation mutualisms</w:t>
      </w:r>
      <w:r>
        <w:rPr>
          <w:rFonts w:eastAsia="Times New Roman" w:cs="Times New Roman"/>
          <w:color w:val="000000"/>
          <w:szCs w:val="24"/>
        </w:rPr>
        <w:t xml:space="preserve">. Below I outline the importance and diversity of each of these four types </w:t>
      </w:r>
      <w:r w:rsidR="00127BD1">
        <w:rPr>
          <w:rFonts w:eastAsia="Times New Roman" w:cs="Times New Roman"/>
          <w:color w:val="000000"/>
          <w:szCs w:val="24"/>
        </w:rPr>
        <w:t>of ant</w:t>
      </w:r>
      <w:r>
        <w:rPr>
          <w:rFonts w:eastAsia="Times New Roman" w:cs="Times New Roman"/>
          <w:color w:val="000000"/>
          <w:szCs w:val="24"/>
        </w:rPr>
        <w:t xml:space="preserve">-plant mutualisms.  </w:t>
      </w:r>
    </w:p>
    <w:p w14:paraId="00000037" w14:textId="4DECCB90" w:rsidR="00E420E3" w:rsidRDefault="008E5528" w:rsidP="00225F36">
      <w:pPr>
        <w:widowControl w:val="0"/>
        <w:pBdr>
          <w:top w:val="nil"/>
          <w:left w:val="nil"/>
          <w:bottom w:val="nil"/>
          <w:right w:val="nil"/>
          <w:between w:val="nil"/>
        </w:pBdr>
        <w:ind w:right="-52" w:firstLine="5"/>
        <w:rPr>
          <w:rFonts w:eastAsia="Times New Roman" w:cs="Times New Roman"/>
          <w:color w:val="000000"/>
          <w:szCs w:val="24"/>
        </w:rPr>
      </w:pPr>
      <w:r>
        <w:rPr>
          <w:rFonts w:eastAsia="Times New Roman" w:cs="Times New Roman"/>
          <w:color w:val="000000"/>
          <w:szCs w:val="24"/>
        </w:rPr>
        <w:t xml:space="preserve">Myrmecochory is a form of seed dispersal mediated by ants that feed on a lipid and protein rich appendage of seeds called </w:t>
      </w:r>
      <w:proofErr w:type="spellStart"/>
      <w:r>
        <w:rPr>
          <w:rFonts w:eastAsia="Times New Roman" w:cs="Times New Roman"/>
          <w:color w:val="000000"/>
          <w:szCs w:val="24"/>
        </w:rPr>
        <w:t>elaiosomes</w:t>
      </w:r>
      <w:proofErr w:type="spellEnd"/>
      <w:r>
        <w:rPr>
          <w:rFonts w:eastAsia="Times New Roman" w:cs="Times New Roman"/>
          <w:color w:val="000000"/>
          <w:szCs w:val="24"/>
        </w:rPr>
        <w:t xml:space="preserve">. The ants collect the seeds, carry them, take </w:t>
      </w:r>
      <w:r w:rsidR="00127BD1">
        <w:rPr>
          <w:rFonts w:eastAsia="Times New Roman" w:cs="Times New Roman"/>
          <w:color w:val="000000"/>
          <w:szCs w:val="24"/>
        </w:rPr>
        <w:t xml:space="preserve">the </w:t>
      </w:r>
      <w:proofErr w:type="spellStart"/>
      <w:r w:rsidR="00127BD1">
        <w:rPr>
          <w:rFonts w:eastAsia="Times New Roman" w:cs="Times New Roman"/>
          <w:color w:val="000000"/>
          <w:szCs w:val="24"/>
        </w:rPr>
        <w:t>elaiosome</w:t>
      </w:r>
      <w:proofErr w:type="spellEnd"/>
      <w:r>
        <w:rPr>
          <w:rFonts w:eastAsia="Times New Roman" w:cs="Times New Roman"/>
          <w:color w:val="000000"/>
          <w:szCs w:val="24"/>
        </w:rPr>
        <w:t xml:space="preserve"> and discard the seed, which can then germinate. This mutualism involves </w:t>
      </w:r>
      <w:r w:rsidR="00127BD1">
        <w:rPr>
          <w:rFonts w:eastAsia="Times New Roman" w:cs="Times New Roman"/>
          <w:color w:val="000000"/>
          <w:szCs w:val="24"/>
        </w:rPr>
        <w:t>some 11,000</w:t>
      </w:r>
      <w:r>
        <w:rPr>
          <w:rFonts w:eastAsia="Times New Roman" w:cs="Times New Roman"/>
          <w:color w:val="000000"/>
          <w:szCs w:val="24"/>
        </w:rPr>
        <w:t xml:space="preserve"> angiosperm species in 334 genera and 77 families that have evolved </w:t>
      </w:r>
      <w:proofErr w:type="spellStart"/>
      <w:r w:rsidR="00DF3759">
        <w:rPr>
          <w:rFonts w:eastAsia="Times New Roman" w:cs="Times New Roman"/>
          <w:color w:val="000000"/>
          <w:szCs w:val="24"/>
        </w:rPr>
        <w:t>elaiosomes</w:t>
      </w:r>
      <w:proofErr w:type="spellEnd"/>
      <w:r w:rsidR="00DF3759">
        <w:rPr>
          <w:rFonts w:eastAsia="Times New Roman" w:cs="Times New Roman"/>
          <w:szCs w:val="24"/>
        </w:rPr>
        <w:t>. These</w:t>
      </w:r>
      <w:r>
        <w:rPr>
          <w:rFonts w:eastAsia="Times New Roman" w:cs="Times New Roman"/>
          <w:color w:val="000000"/>
          <w:szCs w:val="24"/>
        </w:rPr>
        <w:t xml:space="preserve"> </w:t>
      </w:r>
      <w:r w:rsidR="00127BD1">
        <w:rPr>
          <w:rFonts w:eastAsia="Times New Roman" w:cs="Times New Roman"/>
          <w:color w:val="000000"/>
          <w:szCs w:val="24"/>
        </w:rPr>
        <w:t>are globally</w:t>
      </w:r>
      <w:r>
        <w:rPr>
          <w:rFonts w:eastAsia="Times New Roman" w:cs="Times New Roman"/>
          <w:color w:val="000000"/>
          <w:szCs w:val="24"/>
        </w:rPr>
        <w:t xml:space="preserve"> distributed, with the majority being in arid warm-temperate regions (Lengyel et al., </w:t>
      </w:r>
      <w:r w:rsidR="00127BD1">
        <w:rPr>
          <w:rFonts w:eastAsia="Times New Roman" w:cs="Times New Roman"/>
          <w:color w:val="000000"/>
          <w:szCs w:val="24"/>
        </w:rPr>
        <w:t>2010; Nelsen</w:t>
      </w:r>
      <w:r>
        <w:rPr>
          <w:rFonts w:eastAsia="Times New Roman" w:cs="Times New Roman"/>
          <w:color w:val="000000"/>
          <w:szCs w:val="24"/>
        </w:rPr>
        <w:t xml:space="preserve"> et al., 2018). Myrmecochory enables plants to expand their range size, increasing </w:t>
      </w:r>
      <w:r w:rsidR="00127BD1">
        <w:rPr>
          <w:rFonts w:eastAsia="Times New Roman" w:cs="Times New Roman"/>
          <w:color w:val="000000"/>
          <w:szCs w:val="24"/>
        </w:rPr>
        <w:t>their chance</w:t>
      </w:r>
      <w:r>
        <w:rPr>
          <w:rFonts w:eastAsia="Times New Roman" w:cs="Times New Roman"/>
          <w:color w:val="000000"/>
          <w:szCs w:val="24"/>
        </w:rPr>
        <w:t xml:space="preserve"> of survival and reduc</w:t>
      </w:r>
      <w:r>
        <w:rPr>
          <w:rFonts w:eastAsia="Times New Roman" w:cs="Times New Roman"/>
          <w:szCs w:val="24"/>
        </w:rPr>
        <w:t>ing</w:t>
      </w:r>
      <w:r>
        <w:rPr>
          <w:rFonts w:eastAsia="Times New Roman" w:cs="Times New Roman"/>
          <w:color w:val="000000"/>
          <w:szCs w:val="24"/>
        </w:rPr>
        <w:t xml:space="preserve"> competition with other plant species (Richardson et al., 2000).  Myrmecochory enables plants to have the optimal chance of evading predators and to </w:t>
      </w:r>
      <w:r w:rsidR="00127BD1">
        <w:rPr>
          <w:rFonts w:eastAsia="Times New Roman" w:cs="Times New Roman"/>
          <w:color w:val="000000"/>
          <w:szCs w:val="24"/>
        </w:rPr>
        <w:t>establish in</w:t>
      </w:r>
      <w:r>
        <w:rPr>
          <w:rFonts w:eastAsia="Times New Roman" w:cs="Times New Roman"/>
          <w:color w:val="000000"/>
          <w:szCs w:val="24"/>
        </w:rPr>
        <w:t xml:space="preserve"> new habitats (Hughes and Westoby, 1992; Azcarate and </w:t>
      </w:r>
      <w:proofErr w:type="spellStart"/>
      <w:r>
        <w:rPr>
          <w:rFonts w:eastAsia="Times New Roman" w:cs="Times New Roman"/>
          <w:color w:val="000000"/>
          <w:szCs w:val="24"/>
        </w:rPr>
        <w:t>Manzanon</w:t>
      </w:r>
      <w:proofErr w:type="spellEnd"/>
      <w:r>
        <w:rPr>
          <w:rFonts w:eastAsia="Times New Roman" w:cs="Times New Roman"/>
          <w:color w:val="000000"/>
          <w:szCs w:val="24"/>
        </w:rPr>
        <w:t xml:space="preserve">, 2011). Specific </w:t>
      </w:r>
      <w:r>
        <w:rPr>
          <w:rFonts w:eastAsia="Times New Roman" w:cs="Times New Roman"/>
          <w:color w:val="000000"/>
          <w:szCs w:val="24"/>
        </w:rPr>
        <w:lastRenderedPageBreak/>
        <w:t xml:space="preserve">timing, spatial pattern and volume of seed release enables plants to specifically associate with </w:t>
      </w:r>
      <w:r w:rsidR="00127BD1">
        <w:rPr>
          <w:rFonts w:eastAsia="Times New Roman" w:cs="Times New Roman"/>
          <w:color w:val="000000"/>
          <w:szCs w:val="24"/>
        </w:rPr>
        <w:t>efficient ant</w:t>
      </w:r>
      <w:r>
        <w:rPr>
          <w:rFonts w:eastAsia="Times New Roman" w:cs="Times New Roman"/>
          <w:color w:val="000000"/>
          <w:szCs w:val="24"/>
        </w:rPr>
        <w:t xml:space="preserve"> dispersers (Leal et al., 2013).  </w:t>
      </w:r>
    </w:p>
    <w:p w14:paraId="00000038" w14:textId="595B364E" w:rsidR="00E420E3" w:rsidRDefault="008E5528" w:rsidP="00225F36">
      <w:pPr>
        <w:widowControl w:val="0"/>
        <w:pBdr>
          <w:top w:val="nil"/>
          <w:left w:val="nil"/>
          <w:bottom w:val="nil"/>
          <w:right w:val="nil"/>
          <w:between w:val="nil"/>
        </w:pBdr>
        <w:ind w:right="-52" w:firstLine="6"/>
        <w:rPr>
          <w:rFonts w:eastAsia="Times New Roman" w:cs="Times New Roman"/>
          <w:color w:val="000000"/>
          <w:szCs w:val="24"/>
        </w:rPr>
      </w:pPr>
      <w:r>
        <w:rPr>
          <w:rFonts w:eastAsia="Times New Roman" w:cs="Times New Roman"/>
          <w:color w:val="000000"/>
          <w:szCs w:val="24"/>
        </w:rPr>
        <w:t xml:space="preserve">The second type of </w:t>
      </w:r>
      <w:r w:rsidR="009F23E6">
        <w:rPr>
          <w:rFonts w:eastAsia="Times New Roman" w:cs="Times New Roman"/>
          <w:color w:val="000000"/>
          <w:szCs w:val="24"/>
        </w:rPr>
        <w:t>ant-plant</w:t>
      </w:r>
      <w:r>
        <w:rPr>
          <w:rFonts w:eastAsia="Times New Roman" w:cs="Times New Roman"/>
          <w:color w:val="000000"/>
          <w:szCs w:val="24"/>
        </w:rPr>
        <w:t xml:space="preserve"> mutualisms is extrafloral nectary (EFN)-based indirect defence.  Direct defences in plants consist of traits that provide mechanical or chemical protection on </w:t>
      </w:r>
      <w:r w:rsidR="00127BD1">
        <w:rPr>
          <w:rFonts w:eastAsia="Times New Roman" w:cs="Times New Roman"/>
          <w:color w:val="000000"/>
          <w:szCs w:val="24"/>
        </w:rPr>
        <w:t>the surface</w:t>
      </w:r>
      <w:r>
        <w:rPr>
          <w:rFonts w:eastAsia="Times New Roman" w:cs="Times New Roman"/>
          <w:color w:val="000000"/>
          <w:szCs w:val="24"/>
        </w:rPr>
        <w:t xml:space="preserve"> such as thorns, thick leaves, poisonous compounds (War et al., 2012). In contrast </w:t>
      </w:r>
      <w:r w:rsidR="00127BD1">
        <w:rPr>
          <w:rFonts w:eastAsia="Times New Roman" w:cs="Times New Roman"/>
          <w:color w:val="000000"/>
          <w:szCs w:val="24"/>
        </w:rPr>
        <w:t>to direct</w:t>
      </w:r>
      <w:r>
        <w:rPr>
          <w:rFonts w:eastAsia="Times New Roman" w:cs="Times New Roman"/>
          <w:color w:val="000000"/>
          <w:szCs w:val="24"/>
        </w:rPr>
        <w:t xml:space="preserve"> defence, indirect defence involves the attraction of insect predators such as ants </w:t>
      </w:r>
      <w:r w:rsidR="00127BD1">
        <w:rPr>
          <w:rFonts w:eastAsia="Times New Roman" w:cs="Times New Roman"/>
          <w:color w:val="000000"/>
          <w:szCs w:val="24"/>
        </w:rPr>
        <w:t xml:space="preserve">or </w:t>
      </w:r>
      <w:proofErr w:type="spellStart"/>
      <w:r w:rsidR="00127BD1">
        <w:rPr>
          <w:rFonts w:eastAsia="Times New Roman" w:cs="Times New Roman"/>
          <w:color w:val="000000"/>
          <w:szCs w:val="24"/>
        </w:rPr>
        <w:t>parasitoid</w:t>
      </w:r>
      <w:proofErr w:type="spellEnd"/>
      <w:r>
        <w:rPr>
          <w:rFonts w:eastAsia="Times New Roman" w:cs="Times New Roman"/>
          <w:color w:val="000000"/>
          <w:szCs w:val="24"/>
        </w:rPr>
        <w:t xml:space="preserve"> wasps by offering a reward, and these insect predators will then in turn </w:t>
      </w:r>
      <w:r w:rsidR="00127BD1">
        <w:rPr>
          <w:rFonts w:eastAsia="Times New Roman" w:cs="Times New Roman"/>
          <w:color w:val="000000"/>
          <w:szCs w:val="24"/>
        </w:rPr>
        <w:t>repeal herbivores</w:t>
      </w:r>
      <w:r>
        <w:rPr>
          <w:rFonts w:eastAsia="Times New Roman" w:cs="Times New Roman"/>
          <w:color w:val="000000"/>
          <w:szCs w:val="24"/>
        </w:rPr>
        <w:t xml:space="preserve"> from the plant. The most numerically important mutualism involved in </w:t>
      </w:r>
      <w:r w:rsidR="00127BD1">
        <w:rPr>
          <w:rFonts w:eastAsia="Times New Roman" w:cs="Times New Roman"/>
          <w:color w:val="000000"/>
          <w:szCs w:val="24"/>
        </w:rPr>
        <w:t>indirect defence</w:t>
      </w:r>
      <w:r>
        <w:rPr>
          <w:rFonts w:eastAsia="Times New Roman" w:cs="Times New Roman"/>
          <w:color w:val="000000"/>
          <w:szCs w:val="24"/>
        </w:rPr>
        <w:t xml:space="preserve"> relies on so-called extrafloral nectaries (EFNs). Some 3941 plant species </w:t>
      </w:r>
      <w:r w:rsidR="00127BD1">
        <w:rPr>
          <w:rFonts w:eastAsia="Times New Roman" w:cs="Times New Roman"/>
          <w:color w:val="000000"/>
          <w:szCs w:val="24"/>
        </w:rPr>
        <w:t>representing 745</w:t>
      </w:r>
      <w:r>
        <w:rPr>
          <w:rFonts w:eastAsia="Times New Roman" w:cs="Times New Roman"/>
          <w:color w:val="000000"/>
          <w:szCs w:val="24"/>
        </w:rPr>
        <w:t xml:space="preserve"> genera in 108 families – mostly angiosperms but also present in ferns – have evolved </w:t>
      </w:r>
      <w:r w:rsidR="00127BD1">
        <w:rPr>
          <w:rFonts w:eastAsia="Times New Roman" w:cs="Times New Roman"/>
          <w:color w:val="000000"/>
          <w:szCs w:val="24"/>
        </w:rPr>
        <w:t>EFNs as</w:t>
      </w:r>
      <w:r>
        <w:rPr>
          <w:rFonts w:eastAsia="Times New Roman" w:cs="Times New Roman"/>
          <w:color w:val="000000"/>
          <w:szCs w:val="24"/>
        </w:rPr>
        <w:t xml:space="preserve"> a method of indirect defence (Weber and Keeler, 2013). The nectar in EFNs is made </w:t>
      </w:r>
      <w:r w:rsidR="00127BD1">
        <w:rPr>
          <w:rFonts w:eastAsia="Times New Roman" w:cs="Times New Roman"/>
          <w:color w:val="000000"/>
          <w:szCs w:val="24"/>
        </w:rPr>
        <w:t>up mostly</w:t>
      </w:r>
      <w:r>
        <w:rPr>
          <w:rFonts w:eastAsia="Times New Roman" w:cs="Times New Roman"/>
          <w:color w:val="000000"/>
          <w:szCs w:val="24"/>
        </w:rPr>
        <w:t xml:space="preserve"> of glucose and sucrose, and the EFN structure varies in size, location and </w:t>
      </w:r>
      <w:r w:rsidR="005845E5">
        <w:rPr>
          <w:rFonts w:eastAsia="Times New Roman" w:cs="Times New Roman"/>
          <w:color w:val="000000"/>
          <w:szCs w:val="24"/>
        </w:rPr>
        <w:t>form (</w:t>
      </w:r>
      <w:r>
        <w:rPr>
          <w:rFonts w:eastAsia="Times New Roman" w:cs="Times New Roman"/>
          <w:color w:val="000000"/>
          <w:szCs w:val="24"/>
        </w:rPr>
        <w:t xml:space="preserve">Vannette and Fukami, 2018). </w:t>
      </w:r>
    </w:p>
    <w:p w14:paraId="00000039" w14:textId="3E7BC5CD" w:rsidR="00E420E3" w:rsidRPr="00453AF7" w:rsidRDefault="008E5528" w:rsidP="00225F36">
      <w:pPr>
        <w:widowControl w:val="0"/>
        <w:pBdr>
          <w:top w:val="nil"/>
          <w:left w:val="nil"/>
          <w:bottom w:val="nil"/>
          <w:right w:val="nil"/>
          <w:between w:val="nil"/>
        </w:pBdr>
        <w:ind w:right="-52" w:firstLine="9"/>
        <w:rPr>
          <w:rFonts w:eastAsia="Times New Roman" w:cs="Times New Roman"/>
          <w:szCs w:val="24"/>
        </w:rPr>
      </w:pPr>
      <w:r>
        <w:rPr>
          <w:rFonts w:eastAsia="Times New Roman" w:cs="Times New Roman"/>
          <w:color w:val="000000"/>
          <w:szCs w:val="24"/>
        </w:rPr>
        <w:t xml:space="preserve">Currently, well established indirect defence </w:t>
      </w:r>
      <w:r w:rsidR="009F23E6">
        <w:rPr>
          <w:rFonts w:eastAsia="Times New Roman" w:cs="Times New Roman"/>
          <w:color w:val="000000"/>
          <w:szCs w:val="24"/>
        </w:rPr>
        <w:t>ant-plant</w:t>
      </w:r>
      <w:r>
        <w:rPr>
          <w:rFonts w:eastAsia="Times New Roman" w:cs="Times New Roman"/>
          <w:color w:val="000000"/>
          <w:szCs w:val="24"/>
        </w:rPr>
        <w:t xml:space="preserve"> systems serve as fruitful model </w:t>
      </w:r>
      <w:r w:rsidR="00127BD1">
        <w:rPr>
          <w:rFonts w:eastAsia="Times New Roman" w:cs="Times New Roman"/>
          <w:color w:val="000000"/>
          <w:szCs w:val="24"/>
        </w:rPr>
        <w:t>systems to</w:t>
      </w:r>
      <w:r>
        <w:rPr>
          <w:rFonts w:eastAsia="Times New Roman" w:cs="Times New Roman"/>
          <w:color w:val="000000"/>
          <w:szCs w:val="24"/>
        </w:rPr>
        <w:t xml:space="preserve"> the ecology of mutualism and trophic interactions (Heil et al., 2010; Kobayashi et al., </w:t>
      </w:r>
      <w:r w:rsidR="00127BD1">
        <w:rPr>
          <w:rFonts w:eastAsia="Times New Roman" w:cs="Times New Roman"/>
          <w:color w:val="000000"/>
          <w:szCs w:val="24"/>
        </w:rPr>
        <w:t>2008; Mondor</w:t>
      </w:r>
      <w:r>
        <w:rPr>
          <w:rFonts w:eastAsia="Times New Roman" w:cs="Times New Roman"/>
          <w:color w:val="000000"/>
          <w:szCs w:val="24"/>
        </w:rPr>
        <w:t xml:space="preserve"> and Addicott, 2003). EFNs-based indirect defence is often deployed in </w:t>
      </w:r>
      <w:proofErr w:type="spellStart"/>
      <w:r w:rsidR="00127BD1">
        <w:rPr>
          <w:rFonts w:eastAsia="Times New Roman" w:cs="Times New Roman"/>
          <w:color w:val="000000"/>
          <w:szCs w:val="24"/>
        </w:rPr>
        <w:t>ontogenic</w:t>
      </w:r>
      <w:proofErr w:type="spellEnd"/>
      <w:r w:rsidR="00127BD1">
        <w:rPr>
          <w:rFonts w:eastAsia="Times New Roman" w:cs="Times New Roman"/>
          <w:color w:val="000000"/>
          <w:szCs w:val="24"/>
        </w:rPr>
        <w:t xml:space="preserve"> phases</w:t>
      </w:r>
      <w:r>
        <w:rPr>
          <w:rFonts w:eastAsia="Times New Roman" w:cs="Times New Roman"/>
          <w:color w:val="000000"/>
          <w:szCs w:val="24"/>
        </w:rPr>
        <w:t xml:space="preserve"> where the plant is most vulnerable. This is the case in early leaf development, which </w:t>
      </w:r>
      <w:r w:rsidR="00127BD1">
        <w:rPr>
          <w:rFonts w:eastAsia="Times New Roman" w:cs="Times New Roman"/>
          <w:color w:val="000000"/>
          <w:szCs w:val="24"/>
        </w:rPr>
        <w:t>is the</w:t>
      </w:r>
      <w:r>
        <w:rPr>
          <w:rFonts w:eastAsia="Times New Roman" w:cs="Times New Roman"/>
          <w:color w:val="000000"/>
          <w:szCs w:val="24"/>
        </w:rPr>
        <w:t xml:space="preserve"> most desirable stage for many herbivorous insects (Heil and Bueno, 2007). Many </w:t>
      </w:r>
      <w:r w:rsidR="00127BD1">
        <w:rPr>
          <w:rFonts w:eastAsia="Times New Roman" w:cs="Times New Roman"/>
          <w:color w:val="000000"/>
          <w:szCs w:val="24"/>
        </w:rPr>
        <w:t>plant species</w:t>
      </w:r>
      <w:r>
        <w:rPr>
          <w:rFonts w:eastAsia="Times New Roman" w:cs="Times New Roman"/>
          <w:color w:val="000000"/>
          <w:szCs w:val="24"/>
        </w:rPr>
        <w:t xml:space="preserve"> have evolved an indirect defence mechanism to counter the lack of defence </w:t>
      </w:r>
      <w:r w:rsidR="00127BD1">
        <w:rPr>
          <w:rFonts w:eastAsia="Times New Roman" w:cs="Times New Roman"/>
          <w:color w:val="000000"/>
          <w:szCs w:val="24"/>
        </w:rPr>
        <w:t>for vulnerable</w:t>
      </w:r>
      <w:r>
        <w:rPr>
          <w:rFonts w:eastAsia="Times New Roman" w:cs="Times New Roman"/>
          <w:color w:val="000000"/>
          <w:szCs w:val="24"/>
        </w:rPr>
        <w:t xml:space="preserve"> plant parts by producing EFNs rewards on the surface of the leaf, inducing ants </w:t>
      </w:r>
      <w:r w:rsidR="00127BD1">
        <w:rPr>
          <w:rFonts w:eastAsia="Times New Roman" w:cs="Times New Roman"/>
          <w:color w:val="000000"/>
          <w:szCs w:val="24"/>
        </w:rPr>
        <w:t>to patrol</w:t>
      </w:r>
      <w:r>
        <w:rPr>
          <w:rFonts w:eastAsia="Times New Roman" w:cs="Times New Roman"/>
          <w:color w:val="000000"/>
          <w:szCs w:val="24"/>
        </w:rPr>
        <w:t xml:space="preserve"> and defend such young leaves (Heil and Bueno, 2007). Biotic and abiotic stresses </w:t>
      </w:r>
      <w:r w:rsidR="00127BD1">
        <w:rPr>
          <w:rFonts w:eastAsia="Times New Roman" w:cs="Times New Roman"/>
          <w:color w:val="000000"/>
          <w:szCs w:val="24"/>
        </w:rPr>
        <w:t>induce EFN</w:t>
      </w:r>
      <w:r>
        <w:rPr>
          <w:rFonts w:eastAsia="Times New Roman" w:cs="Times New Roman"/>
          <w:color w:val="000000"/>
          <w:szCs w:val="24"/>
        </w:rPr>
        <w:t xml:space="preserve"> production depending on the damage induced to the plant (Heil et al., 2000; </w:t>
      </w:r>
      <w:proofErr w:type="spellStart"/>
      <w:r w:rsidR="00127BD1">
        <w:rPr>
          <w:rFonts w:eastAsia="Times New Roman" w:cs="Times New Roman"/>
          <w:color w:val="000000"/>
          <w:szCs w:val="24"/>
        </w:rPr>
        <w:t>Linsenmair</w:t>
      </w:r>
      <w:proofErr w:type="spellEnd"/>
      <w:r w:rsidR="00127BD1">
        <w:rPr>
          <w:rFonts w:eastAsia="Times New Roman" w:cs="Times New Roman"/>
          <w:color w:val="000000"/>
          <w:szCs w:val="24"/>
        </w:rPr>
        <w:t xml:space="preserve"> et al.</w:t>
      </w:r>
      <w:r>
        <w:rPr>
          <w:rFonts w:eastAsia="Times New Roman" w:cs="Times New Roman"/>
          <w:color w:val="000000"/>
          <w:szCs w:val="24"/>
        </w:rPr>
        <w:t xml:space="preserve">, 2001). </w:t>
      </w:r>
      <w:proofErr w:type="spellStart"/>
      <w:r>
        <w:rPr>
          <w:rFonts w:eastAsia="Times New Roman" w:cs="Times New Roman"/>
          <w:color w:val="000000"/>
          <w:szCs w:val="24"/>
        </w:rPr>
        <w:t>Jasmonates</w:t>
      </w:r>
      <w:proofErr w:type="spellEnd"/>
      <w:r>
        <w:rPr>
          <w:rFonts w:eastAsia="Times New Roman" w:cs="Times New Roman"/>
          <w:color w:val="000000"/>
          <w:szCs w:val="24"/>
        </w:rPr>
        <w:t xml:space="preserve"> derived from </w:t>
      </w:r>
      <w:proofErr w:type="spellStart"/>
      <w:r>
        <w:rPr>
          <w:rFonts w:eastAsia="Times New Roman" w:cs="Times New Roman"/>
          <w:color w:val="000000"/>
          <w:szCs w:val="24"/>
        </w:rPr>
        <w:t>jasmonic</w:t>
      </w:r>
      <w:proofErr w:type="spellEnd"/>
      <w:r>
        <w:rPr>
          <w:rFonts w:eastAsia="Times New Roman" w:cs="Times New Roman"/>
          <w:color w:val="000000"/>
          <w:szCs w:val="24"/>
        </w:rPr>
        <w:t xml:space="preserve"> acid are key compounds that have </w:t>
      </w:r>
      <w:r w:rsidR="00127BD1">
        <w:rPr>
          <w:rFonts w:eastAsia="Times New Roman" w:cs="Times New Roman"/>
          <w:color w:val="000000"/>
          <w:szCs w:val="24"/>
        </w:rPr>
        <w:t>been identified</w:t>
      </w:r>
      <w:r>
        <w:rPr>
          <w:rFonts w:eastAsia="Times New Roman" w:cs="Times New Roman"/>
          <w:color w:val="000000"/>
          <w:szCs w:val="24"/>
        </w:rPr>
        <w:t xml:space="preserve"> in the plants’ response to biotic and abiotic stresses (Gatehouse, 2002; Heil et al.</w:t>
      </w:r>
      <w:r w:rsidR="006C6324">
        <w:rPr>
          <w:rFonts w:eastAsia="Times New Roman" w:cs="Times New Roman"/>
          <w:color w:val="000000"/>
          <w:szCs w:val="24"/>
        </w:rPr>
        <w:t>, 2004</w:t>
      </w:r>
      <w:r>
        <w:rPr>
          <w:rFonts w:eastAsia="Times New Roman" w:cs="Times New Roman"/>
          <w:color w:val="000000"/>
          <w:szCs w:val="24"/>
        </w:rPr>
        <w:t xml:space="preserve">). </w:t>
      </w:r>
      <w:r w:rsidR="00AC14D2" w:rsidRPr="00453AF7">
        <w:t xml:space="preserve">Herbivore damage acts as the primary trigger that up-regulates a plant's endogenous </w:t>
      </w:r>
      <w:proofErr w:type="spellStart"/>
      <w:r w:rsidR="00AC14D2" w:rsidRPr="00453AF7">
        <w:t>jasmonic</w:t>
      </w:r>
      <w:proofErr w:type="spellEnd"/>
      <w:r w:rsidR="00AC14D2" w:rsidRPr="00453AF7">
        <w:t xml:space="preserve"> acid (JA) signalling pathway (Heil et al., 2001). Elevated JA levels directly stimulate and induce the secretion of extrafloral nectar (EFN) from glands, which acts as a nutritious reward to recruit predatory ants that provide indirect defence to the plant (Heil et al., 2001; Grasso et al., 2015).</w:t>
      </w:r>
    </w:p>
    <w:p w14:paraId="0000003C" w14:textId="1E6A95EF" w:rsidR="00E420E3" w:rsidRDefault="008E5528" w:rsidP="00225F36">
      <w:pPr>
        <w:widowControl w:val="0"/>
        <w:pBdr>
          <w:top w:val="nil"/>
          <w:left w:val="nil"/>
          <w:bottom w:val="nil"/>
          <w:right w:val="nil"/>
          <w:between w:val="nil"/>
        </w:pBdr>
        <w:ind w:right="-52" w:firstLine="6"/>
        <w:rPr>
          <w:rFonts w:eastAsia="Times New Roman" w:cs="Times New Roman"/>
          <w:color w:val="000000"/>
          <w:szCs w:val="24"/>
        </w:rPr>
      </w:pPr>
      <w:r>
        <w:rPr>
          <w:rFonts w:eastAsia="Times New Roman" w:cs="Times New Roman"/>
          <w:color w:val="000000"/>
          <w:szCs w:val="24"/>
        </w:rPr>
        <w:t xml:space="preserve">The third type of ant-plant mutualisms are domatium-based ant-plant symbioses. </w:t>
      </w:r>
      <w:r w:rsidR="006C6324">
        <w:rPr>
          <w:rFonts w:eastAsia="Times New Roman" w:cs="Times New Roman"/>
          <w:color w:val="000000"/>
          <w:szCs w:val="24"/>
        </w:rPr>
        <w:t>Such symbioses</w:t>
      </w:r>
      <w:r>
        <w:rPr>
          <w:rFonts w:eastAsia="Times New Roman" w:cs="Times New Roman"/>
          <w:color w:val="000000"/>
          <w:szCs w:val="24"/>
        </w:rPr>
        <w:t xml:space="preserve"> are widespread in tropical regions and involve plants that provide nesting space </w:t>
      </w:r>
      <w:r w:rsidR="006C6324">
        <w:rPr>
          <w:rFonts w:eastAsia="Times New Roman" w:cs="Times New Roman"/>
          <w:color w:val="000000"/>
          <w:szCs w:val="24"/>
        </w:rPr>
        <w:t>in an</w:t>
      </w:r>
      <w:r>
        <w:rPr>
          <w:rFonts w:eastAsia="Times New Roman" w:cs="Times New Roman"/>
          <w:color w:val="000000"/>
          <w:szCs w:val="24"/>
        </w:rPr>
        <w:t xml:space="preserve"> evolutionarily derived modified plant structure (domatia), and sometimes also food </w:t>
      </w:r>
      <w:r w:rsidR="006C6324">
        <w:rPr>
          <w:rFonts w:eastAsia="Times New Roman" w:cs="Times New Roman"/>
          <w:color w:val="000000"/>
          <w:szCs w:val="24"/>
        </w:rPr>
        <w:t xml:space="preserve">rewards </w:t>
      </w:r>
      <w:r w:rsidR="006C6324">
        <w:rPr>
          <w:rFonts w:eastAsia="Times New Roman" w:cs="Times New Roman"/>
          <w:color w:val="000000"/>
          <w:szCs w:val="24"/>
        </w:rPr>
        <w:lastRenderedPageBreak/>
        <w:t>for</w:t>
      </w:r>
      <w:r>
        <w:rPr>
          <w:rFonts w:eastAsia="Times New Roman" w:cs="Times New Roman"/>
          <w:color w:val="000000"/>
          <w:szCs w:val="24"/>
        </w:rPr>
        <w:t xml:space="preserve"> ants in exchange from herbivore protection or/and nutrients from the ants </w:t>
      </w:r>
      <w:r>
        <w:rPr>
          <w:rFonts w:eastAsia="Times New Roman" w:cs="Times New Roman"/>
          <w:color w:val="1C1D1E"/>
          <w:szCs w:val="24"/>
        </w:rPr>
        <w:t xml:space="preserve">(Davidson </w:t>
      </w:r>
      <w:r w:rsidR="006C6324">
        <w:rPr>
          <w:rFonts w:eastAsia="Times New Roman" w:cs="Times New Roman"/>
          <w:color w:val="1C1D1E"/>
          <w:szCs w:val="24"/>
        </w:rPr>
        <w:t>and McKey</w:t>
      </w:r>
      <w:r>
        <w:rPr>
          <w:rFonts w:eastAsia="Times New Roman" w:cs="Times New Roman"/>
          <w:color w:val="1C1D1E"/>
          <w:szCs w:val="24"/>
        </w:rPr>
        <w:t xml:space="preserve">, </w:t>
      </w:r>
      <w:r>
        <w:rPr>
          <w:rFonts w:eastAsia="Times New Roman" w:cs="Times New Roman"/>
          <w:color w:val="000000"/>
          <w:szCs w:val="24"/>
        </w:rPr>
        <w:t>1993</w:t>
      </w:r>
      <w:r>
        <w:rPr>
          <w:rFonts w:eastAsia="Times New Roman" w:cs="Times New Roman"/>
          <w:color w:val="1C1D1E"/>
          <w:szCs w:val="24"/>
        </w:rPr>
        <w:t>)</w:t>
      </w:r>
      <w:r>
        <w:rPr>
          <w:rFonts w:eastAsia="Times New Roman" w:cs="Times New Roman"/>
          <w:color w:val="000000"/>
          <w:szCs w:val="24"/>
        </w:rPr>
        <w:t xml:space="preserve">. Domatium-bearing plant species involve </w:t>
      </w:r>
      <w:r>
        <w:rPr>
          <w:rFonts w:eastAsia="Times New Roman" w:cs="Times New Roman"/>
          <w:i/>
          <w:iCs/>
          <w:color w:val="000000"/>
          <w:szCs w:val="24"/>
        </w:rPr>
        <w:t>ca</w:t>
      </w:r>
      <w:r>
        <w:rPr>
          <w:rFonts w:eastAsia="Times New Roman" w:cs="Times New Roman"/>
          <w:color w:val="000000"/>
          <w:szCs w:val="24"/>
        </w:rPr>
        <w:t xml:space="preserve">. 700 species in 50 families </w:t>
      </w:r>
      <w:r w:rsidR="006C6324">
        <w:rPr>
          <w:rFonts w:eastAsia="Times New Roman" w:cs="Times New Roman"/>
          <w:color w:val="000000"/>
          <w:szCs w:val="24"/>
        </w:rPr>
        <w:t>that provide</w:t>
      </w:r>
      <w:r>
        <w:rPr>
          <w:rFonts w:eastAsia="Times New Roman" w:cs="Times New Roman"/>
          <w:color w:val="000000"/>
          <w:szCs w:val="24"/>
        </w:rPr>
        <w:t xml:space="preserve"> ants with protection and nesting space (Chomicki and Renner, 2015). Domatia can result from the modification of diverse plant parts, such as hollow thorns, hollow stems, or </w:t>
      </w:r>
      <w:r w:rsidR="006C6324">
        <w:rPr>
          <w:rFonts w:eastAsia="Times New Roman" w:cs="Times New Roman"/>
          <w:color w:val="000000"/>
          <w:szCs w:val="24"/>
        </w:rPr>
        <w:t>leaf pouches</w:t>
      </w:r>
      <w:r>
        <w:rPr>
          <w:rFonts w:eastAsia="Times New Roman" w:cs="Times New Roman"/>
          <w:color w:val="000000"/>
          <w:szCs w:val="24"/>
        </w:rPr>
        <w:t xml:space="preserve"> (</w:t>
      </w:r>
      <w:r>
        <w:rPr>
          <w:rFonts w:eastAsia="Times New Roman" w:cs="Times New Roman"/>
          <w:color w:val="1C1D1E"/>
          <w:szCs w:val="24"/>
        </w:rPr>
        <w:t xml:space="preserve">Davidson and McKey, 1993; Tepe et al., 2007; </w:t>
      </w:r>
      <w:r>
        <w:rPr>
          <w:rFonts w:eastAsia="Times New Roman" w:cs="Times New Roman"/>
          <w:color w:val="000000"/>
          <w:szCs w:val="24"/>
        </w:rPr>
        <w:t xml:space="preserve">Chomicki and Renner, 2015). In </w:t>
      </w:r>
      <w:r w:rsidR="006C6324">
        <w:rPr>
          <w:rFonts w:eastAsia="Times New Roman" w:cs="Times New Roman"/>
          <w:color w:val="000000"/>
          <w:szCs w:val="24"/>
        </w:rPr>
        <w:t>some species</w:t>
      </w:r>
      <w:r>
        <w:rPr>
          <w:rFonts w:eastAsia="Times New Roman" w:cs="Times New Roman"/>
          <w:color w:val="000000"/>
          <w:szCs w:val="24"/>
        </w:rPr>
        <w:t xml:space="preserve">, the </w:t>
      </w:r>
      <w:r w:rsidR="009F23E6">
        <w:rPr>
          <w:rFonts w:eastAsia="Times New Roman" w:cs="Times New Roman"/>
          <w:color w:val="000000"/>
          <w:szCs w:val="24"/>
        </w:rPr>
        <w:t>ant-plant</w:t>
      </w:r>
      <w:r>
        <w:rPr>
          <w:rFonts w:eastAsia="Times New Roman" w:cs="Times New Roman"/>
          <w:color w:val="000000"/>
          <w:szCs w:val="24"/>
        </w:rPr>
        <w:t xml:space="preserve"> symbiosis contributes towards plant nutrition with ants </w:t>
      </w:r>
      <w:r w:rsidR="006C6324">
        <w:rPr>
          <w:rFonts w:eastAsia="Times New Roman" w:cs="Times New Roman"/>
          <w:color w:val="000000"/>
          <w:szCs w:val="24"/>
        </w:rPr>
        <w:t>providing nutrients</w:t>
      </w:r>
      <w:r>
        <w:rPr>
          <w:rFonts w:eastAsia="Times New Roman" w:cs="Times New Roman"/>
          <w:color w:val="000000"/>
          <w:szCs w:val="24"/>
        </w:rPr>
        <w:t xml:space="preserve"> resulting from by-products from ant waste or from the remains of dead ants (</w:t>
      </w:r>
      <w:r w:rsidR="006C6324">
        <w:rPr>
          <w:rFonts w:eastAsia="Times New Roman" w:cs="Times New Roman"/>
          <w:color w:val="000000"/>
          <w:szCs w:val="24"/>
        </w:rPr>
        <w:t>Gay, 1993</w:t>
      </w:r>
      <w:r>
        <w:rPr>
          <w:rFonts w:eastAsia="Times New Roman" w:cs="Times New Roman"/>
          <w:color w:val="000000"/>
          <w:szCs w:val="24"/>
        </w:rPr>
        <w:t xml:space="preserve">; Treseder et al., 1995; Chomicki and Renner, 2019). In some </w:t>
      </w:r>
      <w:r w:rsidR="009F23E6">
        <w:rPr>
          <w:rFonts w:eastAsia="Times New Roman" w:cs="Times New Roman"/>
          <w:color w:val="000000"/>
          <w:szCs w:val="24"/>
        </w:rPr>
        <w:t>ant-plant</w:t>
      </w:r>
      <w:r>
        <w:rPr>
          <w:rFonts w:eastAsia="Times New Roman" w:cs="Times New Roman"/>
          <w:color w:val="000000"/>
          <w:szCs w:val="24"/>
        </w:rPr>
        <w:t xml:space="preserve"> symbioses, </w:t>
      </w:r>
      <w:r w:rsidR="006C6324">
        <w:rPr>
          <w:rFonts w:eastAsia="Times New Roman" w:cs="Times New Roman"/>
          <w:color w:val="000000"/>
          <w:szCs w:val="24"/>
        </w:rPr>
        <w:t>ants prevent</w:t>
      </w:r>
      <w:r>
        <w:rPr>
          <w:rFonts w:eastAsia="Times New Roman" w:cs="Times New Roman"/>
          <w:color w:val="000000"/>
          <w:szCs w:val="24"/>
        </w:rPr>
        <w:t xml:space="preserve"> other plants, including vines, from shading their host plant from light by pruning a</w:t>
      </w:r>
      <w:r w:rsidR="006C6324">
        <w:rPr>
          <w:rFonts w:eastAsia="Times New Roman" w:cs="Times New Roman"/>
          <w:color w:val="000000"/>
          <w:szCs w:val="24"/>
        </w:rPr>
        <w:t>nd with</w:t>
      </w:r>
      <w:r w:rsidR="00474D21">
        <w:rPr>
          <w:rFonts w:eastAsia="Times New Roman" w:cs="Times New Roman"/>
          <w:color w:val="000000"/>
          <w:szCs w:val="24"/>
        </w:rPr>
        <w:t xml:space="preserve"> </w:t>
      </w:r>
      <w:r>
        <w:rPr>
          <w:rFonts w:eastAsia="Times New Roman" w:cs="Times New Roman"/>
          <w:color w:val="000000"/>
          <w:szCs w:val="24"/>
        </w:rPr>
        <w:t xml:space="preserve">some species releasing formic acid or other toxic secretions on non-host plants, </w:t>
      </w:r>
      <w:r w:rsidR="00474D21">
        <w:rPr>
          <w:rFonts w:eastAsia="Times New Roman" w:cs="Times New Roman"/>
          <w:color w:val="000000"/>
          <w:szCs w:val="24"/>
        </w:rPr>
        <w:t>facilitating the</w:t>
      </w:r>
      <w:r>
        <w:rPr>
          <w:rFonts w:eastAsia="Times New Roman" w:cs="Times New Roman"/>
          <w:color w:val="000000"/>
          <w:szCs w:val="24"/>
        </w:rPr>
        <w:t xml:space="preserve"> growth of their host plants (Frederickson and Gordon, 2007; Frederickson, 2005). </w:t>
      </w:r>
    </w:p>
    <w:p w14:paraId="0000003E" w14:textId="51ACB46B" w:rsidR="00E420E3" w:rsidRDefault="008E5528" w:rsidP="00225F36">
      <w:pPr>
        <w:widowControl w:val="0"/>
        <w:pBdr>
          <w:top w:val="nil"/>
          <w:left w:val="nil"/>
          <w:bottom w:val="nil"/>
          <w:right w:val="nil"/>
          <w:between w:val="nil"/>
        </w:pBdr>
        <w:ind w:right="-52" w:firstLine="4"/>
        <w:rPr>
          <w:rFonts w:eastAsia="Times New Roman" w:cs="Times New Roman"/>
          <w:color w:val="000000"/>
          <w:szCs w:val="24"/>
        </w:rPr>
      </w:pPr>
      <w:r>
        <w:rPr>
          <w:rFonts w:eastAsia="Times New Roman" w:cs="Times New Roman"/>
          <w:color w:val="000000"/>
          <w:szCs w:val="24"/>
        </w:rPr>
        <w:t xml:space="preserve">Finally, the last type of </w:t>
      </w:r>
      <w:r w:rsidR="009F23E6">
        <w:rPr>
          <w:rFonts w:eastAsia="Times New Roman" w:cs="Times New Roman"/>
          <w:color w:val="000000"/>
          <w:szCs w:val="24"/>
        </w:rPr>
        <w:t>ant-plant</w:t>
      </w:r>
      <w:r>
        <w:rPr>
          <w:rFonts w:eastAsia="Times New Roman" w:cs="Times New Roman"/>
          <w:color w:val="000000"/>
          <w:szCs w:val="24"/>
        </w:rPr>
        <w:t xml:space="preserve"> mutualisms is plant cultivation by ants. </w:t>
      </w:r>
      <w:r w:rsidR="00474D21">
        <w:rPr>
          <w:rFonts w:eastAsia="Times New Roman" w:cs="Times New Roman"/>
          <w:color w:val="000000"/>
          <w:szCs w:val="24"/>
        </w:rPr>
        <w:t>Agriculture benchmarked</w:t>
      </w:r>
      <w:r>
        <w:rPr>
          <w:rFonts w:eastAsia="Times New Roman" w:cs="Times New Roman"/>
          <w:color w:val="000000"/>
          <w:szCs w:val="24"/>
        </w:rPr>
        <w:t xml:space="preserve"> a time point whereby the human world progressed in sustaining communities </w:t>
      </w:r>
      <w:r w:rsidR="00474D21">
        <w:rPr>
          <w:rFonts w:eastAsia="Times New Roman" w:cs="Times New Roman"/>
          <w:color w:val="000000"/>
          <w:szCs w:val="24"/>
        </w:rPr>
        <w:t>for consumption</w:t>
      </w:r>
      <w:r>
        <w:rPr>
          <w:rFonts w:eastAsia="Times New Roman" w:cs="Times New Roman"/>
          <w:color w:val="000000"/>
          <w:szCs w:val="24"/>
        </w:rPr>
        <w:t xml:space="preserve"> (Pennisi, 2003). Beyond human capabilities lies complex ecological </w:t>
      </w:r>
      <w:r w:rsidR="00474D21">
        <w:rPr>
          <w:rFonts w:eastAsia="Times New Roman" w:cs="Times New Roman"/>
          <w:color w:val="000000"/>
          <w:szCs w:val="24"/>
        </w:rPr>
        <w:t>interactions that</w:t>
      </w:r>
      <w:r>
        <w:rPr>
          <w:rFonts w:eastAsia="Times New Roman" w:cs="Times New Roman"/>
          <w:color w:val="000000"/>
          <w:szCs w:val="24"/>
        </w:rPr>
        <w:t xml:space="preserve"> operate on ‘farming-like’ systems that evolved across the tree of life (Mueller et al., 2</w:t>
      </w:r>
      <w:r w:rsidR="00474D21">
        <w:rPr>
          <w:rFonts w:eastAsia="Times New Roman" w:cs="Times New Roman"/>
          <w:color w:val="000000"/>
          <w:szCs w:val="24"/>
        </w:rPr>
        <w:t>2005; Chicklet</w:t>
      </w:r>
      <w:r>
        <w:rPr>
          <w:rFonts w:eastAsia="Times New Roman" w:cs="Times New Roman"/>
          <w:color w:val="000000"/>
          <w:szCs w:val="24"/>
        </w:rPr>
        <w:t xml:space="preserve"> al., 2020a). Beyond farming-like systems, true agriculture has arisen in </w:t>
      </w:r>
      <w:r w:rsidR="00474D21">
        <w:rPr>
          <w:rFonts w:eastAsia="Times New Roman" w:cs="Times New Roman"/>
          <w:color w:val="000000"/>
          <w:szCs w:val="24"/>
        </w:rPr>
        <w:t>only eusocial</w:t>
      </w:r>
      <w:r>
        <w:rPr>
          <w:rFonts w:eastAsia="Times New Roman" w:cs="Times New Roman"/>
          <w:color w:val="000000"/>
          <w:szCs w:val="24"/>
        </w:rPr>
        <w:t xml:space="preserve"> or </w:t>
      </w:r>
      <w:proofErr w:type="spellStart"/>
      <w:r>
        <w:rPr>
          <w:rFonts w:eastAsia="Times New Roman" w:cs="Times New Roman"/>
          <w:color w:val="000000"/>
          <w:szCs w:val="24"/>
        </w:rPr>
        <w:t>subsocial</w:t>
      </w:r>
      <w:proofErr w:type="spellEnd"/>
      <w:r>
        <w:rPr>
          <w:rFonts w:eastAsia="Times New Roman" w:cs="Times New Roman"/>
          <w:color w:val="000000"/>
          <w:szCs w:val="24"/>
        </w:rPr>
        <w:t xml:space="preserve"> insects including ants, beetles and termites that farm fungi (Mueller et al.</w:t>
      </w:r>
      <w:r w:rsidR="00474D21">
        <w:rPr>
          <w:rFonts w:eastAsia="Times New Roman" w:cs="Times New Roman"/>
          <w:color w:val="000000"/>
          <w:szCs w:val="24"/>
        </w:rPr>
        <w:t>, 2005</w:t>
      </w:r>
      <w:r>
        <w:rPr>
          <w:rFonts w:eastAsia="Times New Roman" w:cs="Times New Roman"/>
          <w:color w:val="000000"/>
          <w:szCs w:val="24"/>
        </w:rPr>
        <w:t xml:space="preserve">). True agriculture is defined by four key characteristics: habitual planning, </w:t>
      </w:r>
      <w:r w:rsidR="00474D21">
        <w:rPr>
          <w:rFonts w:eastAsia="Times New Roman" w:cs="Times New Roman"/>
          <w:color w:val="000000"/>
          <w:szCs w:val="24"/>
        </w:rPr>
        <w:t>cultivation, harvest</w:t>
      </w:r>
      <w:r>
        <w:rPr>
          <w:rFonts w:eastAsia="Times New Roman" w:cs="Times New Roman"/>
          <w:color w:val="000000"/>
          <w:szCs w:val="24"/>
        </w:rPr>
        <w:t xml:space="preserve">, and dependency on crops for consumption (Mueller et al., 2005). Beyond </w:t>
      </w:r>
      <w:r w:rsidR="00474D21">
        <w:rPr>
          <w:rFonts w:eastAsia="Times New Roman" w:cs="Times New Roman"/>
          <w:color w:val="000000"/>
          <w:szCs w:val="24"/>
        </w:rPr>
        <w:t>fungus farming</w:t>
      </w:r>
      <w:r>
        <w:rPr>
          <w:rFonts w:eastAsia="Times New Roman" w:cs="Times New Roman"/>
          <w:color w:val="000000"/>
          <w:szCs w:val="24"/>
        </w:rPr>
        <w:t xml:space="preserve">, an obligate agriculture involving one ant species – </w:t>
      </w:r>
      <w:proofErr w:type="spellStart"/>
      <w:r>
        <w:rPr>
          <w:rFonts w:eastAsia="Times New Roman" w:cs="Times New Roman"/>
          <w:i/>
          <w:iCs/>
          <w:color w:val="000000"/>
          <w:szCs w:val="24"/>
        </w:rPr>
        <w:t>Philidris</w:t>
      </w:r>
      <w:proofErr w:type="spellEnd"/>
      <w:r>
        <w:rPr>
          <w:rFonts w:eastAsia="Times New Roman" w:cs="Times New Roman"/>
          <w:i/>
          <w:iCs/>
          <w:color w:val="000000"/>
          <w:szCs w:val="24"/>
        </w:rPr>
        <w:t xml:space="preserve"> nagasau </w:t>
      </w:r>
      <w:r>
        <w:rPr>
          <w:rFonts w:eastAsia="Times New Roman" w:cs="Times New Roman"/>
          <w:color w:val="000000"/>
          <w:szCs w:val="24"/>
        </w:rPr>
        <w:t xml:space="preserve">– that farms </w:t>
      </w:r>
      <w:r w:rsidR="00D626CD">
        <w:rPr>
          <w:rFonts w:eastAsia="Times New Roman" w:cs="Times New Roman"/>
          <w:color w:val="000000"/>
          <w:szCs w:val="24"/>
        </w:rPr>
        <w:t>six species</w:t>
      </w:r>
      <w:r>
        <w:rPr>
          <w:rFonts w:eastAsia="Times New Roman" w:cs="Times New Roman"/>
          <w:color w:val="000000"/>
          <w:szCs w:val="24"/>
        </w:rPr>
        <w:t xml:space="preserve"> of epiphytic plants from the genus </w:t>
      </w:r>
      <w:proofErr w:type="spellStart"/>
      <w:r>
        <w:rPr>
          <w:rFonts w:eastAsia="Times New Roman" w:cs="Times New Roman"/>
          <w:i/>
          <w:iCs/>
          <w:color w:val="000000"/>
          <w:szCs w:val="24"/>
        </w:rPr>
        <w:t>Squamellaria</w:t>
      </w:r>
      <w:proofErr w:type="spellEnd"/>
      <w:r>
        <w:rPr>
          <w:rFonts w:eastAsia="Times New Roman" w:cs="Times New Roman"/>
          <w:i/>
          <w:iCs/>
          <w:color w:val="000000"/>
          <w:szCs w:val="24"/>
        </w:rPr>
        <w:t xml:space="preserve"> </w:t>
      </w:r>
      <w:r w:rsidR="00655ED0">
        <w:rPr>
          <w:rFonts w:eastAsia="Times New Roman" w:cs="Times New Roman"/>
          <w:color w:val="000000"/>
          <w:szCs w:val="24"/>
        </w:rPr>
        <w:t>have</w:t>
      </w:r>
      <w:r>
        <w:rPr>
          <w:rFonts w:eastAsia="Times New Roman" w:cs="Times New Roman"/>
          <w:color w:val="000000"/>
          <w:szCs w:val="24"/>
        </w:rPr>
        <w:t xml:space="preserve"> been discovered recently in </w:t>
      </w:r>
      <w:r w:rsidR="00655ED0">
        <w:rPr>
          <w:rFonts w:eastAsia="Times New Roman" w:cs="Times New Roman"/>
          <w:color w:val="000000"/>
          <w:szCs w:val="24"/>
        </w:rPr>
        <w:t>Fiji (</w:t>
      </w:r>
      <w:r>
        <w:rPr>
          <w:rFonts w:eastAsia="Times New Roman" w:cs="Times New Roman"/>
          <w:color w:val="000000"/>
          <w:szCs w:val="24"/>
        </w:rPr>
        <w:t xml:space="preserve">Chomicki and Renner, 2016a). In addition to the Fijian </w:t>
      </w:r>
      <w:r w:rsidR="009F23E6">
        <w:rPr>
          <w:rFonts w:eastAsia="Times New Roman" w:cs="Times New Roman"/>
          <w:color w:val="000000"/>
          <w:szCs w:val="24"/>
        </w:rPr>
        <w:t>ant-plant</w:t>
      </w:r>
      <w:r>
        <w:rPr>
          <w:rFonts w:eastAsia="Times New Roman" w:cs="Times New Roman"/>
          <w:color w:val="000000"/>
          <w:szCs w:val="24"/>
        </w:rPr>
        <w:t xml:space="preserve"> agriculture, a wide range of plant cultivation mutualisms by ants are called ant gardens. Ant-gardens (AGs) are </w:t>
      </w:r>
      <w:r w:rsidR="009F23E6">
        <w:rPr>
          <w:rFonts w:eastAsia="Times New Roman" w:cs="Times New Roman"/>
          <w:color w:val="000000"/>
          <w:szCs w:val="24"/>
        </w:rPr>
        <w:t>ant-</w:t>
      </w:r>
      <w:r w:rsidR="00655ED0">
        <w:rPr>
          <w:rFonts w:eastAsia="Times New Roman" w:cs="Times New Roman"/>
          <w:color w:val="000000"/>
          <w:szCs w:val="24"/>
        </w:rPr>
        <w:t>plant mutualisms</w:t>
      </w:r>
      <w:r>
        <w:rPr>
          <w:rFonts w:eastAsia="Times New Roman" w:cs="Times New Roman"/>
          <w:color w:val="000000"/>
          <w:szCs w:val="24"/>
        </w:rPr>
        <w:t xml:space="preserve"> whereby ants cultivate epiphytic plants to strengthen their nest and </w:t>
      </w:r>
      <w:r w:rsidR="005270D0">
        <w:rPr>
          <w:rFonts w:eastAsia="Times New Roman" w:cs="Times New Roman"/>
          <w:color w:val="000000"/>
          <w:szCs w:val="24"/>
        </w:rPr>
        <w:t>sometimes provide</w:t>
      </w:r>
      <w:r>
        <w:rPr>
          <w:rFonts w:eastAsia="Times New Roman" w:cs="Times New Roman"/>
          <w:color w:val="000000"/>
          <w:szCs w:val="24"/>
        </w:rPr>
        <w:t xml:space="preserve"> food rewards as well (Davidson, 1988). In the Neotropics, ant-garden plants </w:t>
      </w:r>
      <w:r w:rsidR="005270D0">
        <w:rPr>
          <w:rFonts w:eastAsia="Times New Roman" w:cs="Times New Roman"/>
          <w:color w:val="000000"/>
          <w:szCs w:val="24"/>
        </w:rPr>
        <w:t>lack domatia</w:t>
      </w:r>
      <w:r>
        <w:rPr>
          <w:rFonts w:eastAsia="Times New Roman" w:cs="Times New Roman"/>
          <w:color w:val="000000"/>
          <w:szCs w:val="24"/>
        </w:rPr>
        <w:t xml:space="preserve"> and consist in a group of epiphytes that are planted in and strengthen the carton </w:t>
      </w:r>
      <w:r w:rsidR="005270D0">
        <w:rPr>
          <w:rFonts w:eastAsia="Times New Roman" w:cs="Times New Roman"/>
          <w:color w:val="000000"/>
          <w:szCs w:val="24"/>
        </w:rPr>
        <w:t>nest of</w:t>
      </w:r>
      <w:r>
        <w:rPr>
          <w:rFonts w:eastAsia="Times New Roman" w:cs="Times New Roman"/>
          <w:color w:val="000000"/>
          <w:szCs w:val="24"/>
        </w:rPr>
        <w:t xml:space="preserve"> the cultivating ants. In South-East Asia and Australasia, some ant-garden plants </w:t>
      </w:r>
      <w:r w:rsidR="005270D0">
        <w:rPr>
          <w:rFonts w:eastAsia="Times New Roman" w:cs="Times New Roman"/>
          <w:color w:val="000000"/>
          <w:szCs w:val="24"/>
        </w:rPr>
        <w:t>bear domatia</w:t>
      </w:r>
      <w:r>
        <w:rPr>
          <w:rFonts w:eastAsia="Times New Roman" w:cs="Times New Roman"/>
          <w:color w:val="000000"/>
          <w:szCs w:val="24"/>
        </w:rPr>
        <w:t>, and thus the ant colony lives both within the carton nest and in the domatia (</w:t>
      </w:r>
      <w:r w:rsidR="005270D0">
        <w:rPr>
          <w:rFonts w:eastAsia="Times New Roman" w:cs="Times New Roman"/>
          <w:color w:val="000000"/>
          <w:szCs w:val="24"/>
        </w:rPr>
        <w:t>Kaufmann and</w:t>
      </w:r>
      <w:r>
        <w:rPr>
          <w:rFonts w:eastAsia="Times New Roman" w:cs="Times New Roman"/>
          <w:color w:val="000000"/>
          <w:szCs w:val="24"/>
        </w:rPr>
        <w:t xml:space="preserve"> Maschwitz, 2006). The carton nest in which the ants sow and cultivate the </w:t>
      </w:r>
      <w:r w:rsidR="005270D0">
        <w:rPr>
          <w:rFonts w:eastAsia="Times New Roman" w:cs="Times New Roman"/>
          <w:color w:val="000000"/>
          <w:szCs w:val="24"/>
        </w:rPr>
        <w:t>epiphytes consists</w:t>
      </w:r>
      <w:r>
        <w:rPr>
          <w:rFonts w:eastAsia="Times New Roman" w:cs="Times New Roman"/>
          <w:color w:val="000000"/>
          <w:szCs w:val="24"/>
        </w:rPr>
        <w:t xml:space="preserve"> of vegetational debris and other biological materials that are nitrogen-rich and </w:t>
      </w:r>
      <w:r w:rsidR="005270D0">
        <w:rPr>
          <w:rFonts w:eastAsia="Times New Roman" w:cs="Times New Roman"/>
          <w:color w:val="000000"/>
          <w:szCs w:val="24"/>
        </w:rPr>
        <w:t>enable ant</w:t>
      </w:r>
      <w:r w:rsidR="009F23E6">
        <w:rPr>
          <w:rFonts w:eastAsia="Times New Roman" w:cs="Times New Roman"/>
          <w:color w:val="000000"/>
          <w:szCs w:val="24"/>
        </w:rPr>
        <w:t>-plant</w:t>
      </w:r>
      <w:r>
        <w:rPr>
          <w:rFonts w:eastAsia="Times New Roman" w:cs="Times New Roman"/>
          <w:color w:val="000000"/>
          <w:szCs w:val="24"/>
        </w:rPr>
        <w:t xml:space="preserve"> growth (Marini-Filho, 1999). AGs are a form of ant cultivation occurring in </w:t>
      </w:r>
      <w:r w:rsidR="005270D0">
        <w:rPr>
          <w:rFonts w:eastAsia="Times New Roman" w:cs="Times New Roman"/>
          <w:color w:val="000000"/>
          <w:szCs w:val="24"/>
        </w:rPr>
        <w:t>different geographical</w:t>
      </w:r>
      <w:r>
        <w:rPr>
          <w:rFonts w:eastAsia="Times New Roman" w:cs="Times New Roman"/>
          <w:color w:val="000000"/>
          <w:szCs w:val="24"/>
        </w:rPr>
        <w:t xml:space="preserve"> locations: Neotropics, Australasia, Southeast Asian and Fiji (Davidson, </w:t>
      </w:r>
      <w:r w:rsidR="005270D0">
        <w:rPr>
          <w:rFonts w:eastAsia="Times New Roman" w:cs="Times New Roman"/>
          <w:color w:val="000000"/>
          <w:szCs w:val="24"/>
        </w:rPr>
        <w:t>1988; Kaufmann</w:t>
      </w:r>
      <w:r>
        <w:rPr>
          <w:rFonts w:eastAsia="Times New Roman" w:cs="Times New Roman"/>
          <w:color w:val="000000"/>
          <w:szCs w:val="24"/>
        </w:rPr>
        <w:t xml:space="preserve"> and Mashwitz, 2006; Chomicki et al., 2017).</w:t>
      </w:r>
    </w:p>
    <w:p w14:paraId="0000003F" w14:textId="77777777" w:rsidR="00E420E3" w:rsidRDefault="008E5528" w:rsidP="00F90E58">
      <w:pPr>
        <w:pStyle w:val="Heading3"/>
      </w:pPr>
      <w:bookmarkStart w:id="6" w:name="_Toc235392955"/>
      <w:r>
        <w:lastRenderedPageBreak/>
        <w:t>1.3 Mutualistic dependence</w:t>
      </w:r>
      <w:bookmarkEnd w:id="6"/>
      <w:r>
        <w:t xml:space="preserve">  </w:t>
      </w:r>
    </w:p>
    <w:p w14:paraId="00000040" w14:textId="788F963C" w:rsidR="00E420E3" w:rsidRPr="003B1E5C" w:rsidRDefault="008E5528" w:rsidP="00225F36">
      <w:pPr>
        <w:widowControl w:val="0"/>
        <w:pBdr>
          <w:top w:val="nil"/>
          <w:left w:val="nil"/>
          <w:bottom w:val="nil"/>
          <w:right w:val="nil"/>
          <w:between w:val="nil"/>
        </w:pBdr>
        <w:rPr>
          <w:rFonts w:eastAsia="Times New Roman" w:cs="Times New Roman"/>
          <w:szCs w:val="24"/>
        </w:rPr>
      </w:pPr>
      <w:r>
        <w:rPr>
          <w:rFonts w:eastAsia="Times New Roman" w:cs="Times New Roman"/>
          <w:color w:val="000000"/>
          <w:szCs w:val="24"/>
        </w:rPr>
        <w:t xml:space="preserve">Mutualistic dependence, the level through which a species relies on its mutualistic </w:t>
      </w:r>
      <w:r w:rsidR="005270D0">
        <w:rPr>
          <w:rFonts w:eastAsia="Times New Roman" w:cs="Times New Roman"/>
          <w:color w:val="000000"/>
          <w:szCs w:val="24"/>
        </w:rPr>
        <w:t>partner typically</w:t>
      </w:r>
      <w:r>
        <w:rPr>
          <w:rFonts w:eastAsia="Times New Roman" w:cs="Times New Roman"/>
          <w:color w:val="000000"/>
          <w:szCs w:val="24"/>
        </w:rPr>
        <w:t xml:space="preserve"> involves facultative versus obligate mutualisms, the latter rely obligately on their </w:t>
      </w:r>
      <w:r w:rsidR="00E30319">
        <w:rPr>
          <w:rFonts w:eastAsia="Times New Roman" w:cs="Times New Roman"/>
          <w:color w:val="000000"/>
          <w:szCs w:val="24"/>
        </w:rPr>
        <w:t>partner for survival or reproduction.</w:t>
      </w:r>
      <w:r>
        <w:rPr>
          <w:rFonts w:eastAsia="Times New Roman" w:cs="Times New Roman"/>
          <w:color w:val="000000"/>
          <w:szCs w:val="24"/>
        </w:rPr>
        <w:t xml:space="preserve"> </w:t>
      </w:r>
      <w:r>
        <w:rPr>
          <w:rFonts w:eastAsia="Times New Roman" w:cs="Times New Roman"/>
          <w:szCs w:val="24"/>
        </w:rPr>
        <w:t xml:space="preserve">Mutualistic </w:t>
      </w:r>
      <w:r w:rsidRPr="003B1E5C">
        <w:rPr>
          <w:rFonts w:eastAsia="Times New Roman" w:cs="Times New Roman"/>
          <w:szCs w:val="24"/>
        </w:rPr>
        <w:t xml:space="preserve">dependence describes the degree to which a given partner relies on its mutualistic counterpart. </w:t>
      </w:r>
      <w:r w:rsidR="009F23E6">
        <w:rPr>
          <w:rFonts w:eastAsia="Times New Roman" w:cs="Times New Roman"/>
          <w:szCs w:val="24"/>
        </w:rPr>
        <w:t>Ant-plant</w:t>
      </w:r>
      <w:r w:rsidRPr="003B1E5C">
        <w:rPr>
          <w:rFonts w:eastAsia="Times New Roman" w:cs="Times New Roman"/>
          <w:szCs w:val="24"/>
        </w:rPr>
        <w:t xml:space="preserve"> mutualisms vary in the degree of dependence each partner has on the other. At the interaction level, associations can be classified as facultative, where each partner can survive and reproduce independently with one or more species or obligate, where at least one partner relies entirely on the other for survival or reproduction (Chomicki et al., 2020b). </w:t>
      </w:r>
      <w:r w:rsidR="009F23E6">
        <w:rPr>
          <w:rFonts w:eastAsia="Times New Roman" w:cs="Times New Roman"/>
          <w:szCs w:val="24"/>
        </w:rPr>
        <w:t>Ant-plant</w:t>
      </w:r>
      <w:r w:rsidRPr="003B1E5C">
        <w:rPr>
          <w:rFonts w:eastAsia="Times New Roman" w:cs="Times New Roman"/>
          <w:szCs w:val="24"/>
        </w:rPr>
        <w:t xml:space="preserve"> associations also vary in their degree of partner specificity. Generalist species associate with a broad, unspecified range of ant partners, whereas specialist species associate exclusively or near-exclusively with one or a few ant species (Chomicki et al., 2020b). Importantly, specificity and dependence are distinct axes: a species may be a generalist yet obligate, or a specialist yet facultative in the sense that classifying them becomes a grey area as the exact criteria for their mutualism position becomes difficult to </w:t>
      </w:r>
      <w:r w:rsidR="00453AF7" w:rsidRPr="003B1E5C">
        <w:rPr>
          <w:rFonts w:eastAsia="Times New Roman" w:cs="Times New Roman"/>
          <w:szCs w:val="24"/>
        </w:rPr>
        <w:t>pinpoint</w:t>
      </w:r>
      <w:r w:rsidRPr="003B1E5C">
        <w:rPr>
          <w:rFonts w:eastAsia="Times New Roman" w:cs="Times New Roman"/>
          <w:szCs w:val="24"/>
        </w:rPr>
        <w:t xml:space="preserve"> (</w:t>
      </w:r>
      <w:proofErr w:type="spellStart"/>
      <w:r w:rsidRPr="003B1E5C">
        <w:rPr>
          <w:rFonts w:eastAsia="Times New Roman" w:cs="Times New Roman"/>
          <w:szCs w:val="24"/>
        </w:rPr>
        <w:t>Dehling</w:t>
      </w:r>
      <w:proofErr w:type="spellEnd"/>
      <w:r w:rsidRPr="003B1E5C">
        <w:rPr>
          <w:rFonts w:eastAsia="Times New Roman" w:cs="Times New Roman"/>
          <w:szCs w:val="24"/>
        </w:rPr>
        <w:t xml:space="preserve"> et al., 2021). The model systems described below </w:t>
      </w:r>
      <w:proofErr w:type="spellStart"/>
      <w:r w:rsidRPr="003B1E5C">
        <w:rPr>
          <w:rFonts w:eastAsia="Times New Roman" w:cs="Times New Roman"/>
          <w:i/>
          <w:iCs/>
          <w:szCs w:val="24"/>
        </w:rPr>
        <w:t>Hydnophytum</w:t>
      </w:r>
      <w:proofErr w:type="spellEnd"/>
      <w:r w:rsidRPr="003B1E5C">
        <w:rPr>
          <w:rFonts w:eastAsia="Times New Roman" w:cs="Times New Roman"/>
          <w:i/>
          <w:iCs/>
          <w:szCs w:val="24"/>
        </w:rPr>
        <w:t xml:space="preserve"> </w:t>
      </w:r>
      <w:proofErr w:type="spellStart"/>
      <w:r w:rsidRPr="003B1E5C">
        <w:rPr>
          <w:rFonts w:eastAsia="Times New Roman" w:cs="Times New Roman"/>
          <w:i/>
          <w:iCs/>
          <w:szCs w:val="24"/>
        </w:rPr>
        <w:t>moseleyanum</w:t>
      </w:r>
      <w:proofErr w:type="spellEnd"/>
      <w:r w:rsidRPr="003B1E5C">
        <w:rPr>
          <w:rFonts w:eastAsia="Times New Roman" w:cs="Times New Roman"/>
          <w:szCs w:val="24"/>
        </w:rPr>
        <w:t xml:space="preserve"> and </w:t>
      </w:r>
      <w:proofErr w:type="spellStart"/>
      <w:r w:rsidRPr="003B1E5C">
        <w:rPr>
          <w:rFonts w:eastAsia="Times New Roman" w:cs="Times New Roman"/>
          <w:i/>
          <w:iCs/>
          <w:szCs w:val="24"/>
        </w:rPr>
        <w:t>Myrmecodia</w:t>
      </w:r>
      <w:proofErr w:type="spellEnd"/>
      <w:r w:rsidRPr="003B1E5C">
        <w:rPr>
          <w:rFonts w:eastAsia="Times New Roman" w:cs="Times New Roman"/>
          <w:i/>
          <w:iCs/>
          <w:szCs w:val="24"/>
        </w:rPr>
        <w:t xml:space="preserve"> </w:t>
      </w:r>
      <w:proofErr w:type="spellStart"/>
      <w:r w:rsidRPr="003B1E5C">
        <w:rPr>
          <w:rFonts w:eastAsia="Times New Roman" w:cs="Times New Roman"/>
          <w:i/>
          <w:iCs/>
          <w:szCs w:val="24"/>
        </w:rPr>
        <w:t>beccarii</w:t>
      </w:r>
      <w:proofErr w:type="spellEnd"/>
      <w:r w:rsidRPr="003B1E5C">
        <w:rPr>
          <w:rFonts w:eastAsia="Times New Roman" w:cs="Times New Roman"/>
          <w:szCs w:val="24"/>
        </w:rPr>
        <w:t xml:space="preserve"> represent contrasting positions along the facultative–obligate axis.</w:t>
      </w:r>
    </w:p>
    <w:p w14:paraId="36625800" w14:textId="77777777" w:rsidR="00FB3C94" w:rsidRDefault="008E5528" w:rsidP="00225F36">
      <w:pPr>
        <w:widowControl w:val="0"/>
        <w:pBdr>
          <w:top w:val="nil"/>
          <w:left w:val="nil"/>
          <w:bottom w:val="nil"/>
          <w:right w:val="nil"/>
          <w:between w:val="nil"/>
        </w:pBdr>
        <w:rPr>
          <w:rFonts w:eastAsia="Times New Roman" w:cs="Times New Roman"/>
          <w:szCs w:val="24"/>
        </w:rPr>
      </w:pPr>
      <w:r w:rsidRPr="003B1E5C">
        <w:rPr>
          <w:rFonts w:eastAsia="Times New Roman" w:cs="Times New Roman"/>
          <w:szCs w:val="24"/>
        </w:rPr>
        <w:t xml:space="preserve">Four pathways defining the level of mutualistic dependence have been identified: ecological constraints, trait loss, coadaptation and partner manipulation (Chomicki et al., 2020b). Below, I clarify for each pathway whether it tends to generate facultative dependence, obligate dependence, or a gradient between the two. </w:t>
      </w:r>
      <w:r>
        <w:rPr>
          <w:rFonts w:eastAsia="Times New Roman" w:cs="Times New Roman"/>
          <w:szCs w:val="24"/>
        </w:rPr>
        <w:t xml:space="preserve">Why some species develop a high level of dependence on their partner while others do not, is not fully understood. </w:t>
      </w:r>
    </w:p>
    <w:p w14:paraId="4AD5D274" w14:textId="2D1C955E" w:rsidR="00FB3C94" w:rsidRDefault="008E5528" w:rsidP="00225F36">
      <w:pPr>
        <w:widowControl w:val="0"/>
        <w:pBdr>
          <w:top w:val="nil"/>
          <w:left w:val="nil"/>
          <w:bottom w:val="nil"/>
          <w:right w:val="nil"/>
          <w:between w:val="nil"/>
        </w:pBdr>
        <w:rPr>
          <w:rFonts w:eastAsia="Times New Roman" w:cs="Times New Roman"/>
          <w:szCs w:val="24"/>
        </w:rPr>
      </w:pPr>
      <w:r>
        <w:rPr>
          <w:rFonts w:eastAsia="Times New Roman" w:cs="Times New Roman"/>
          <w:szCs w:val="24"/>
        </w:rPr>
        <w:t xml:space="preserve">The first pathway of mutualistic dependence involves environmental limitations that produce ecological constraints forcing species to depend on mutualistic partner for specific resources (Peay, 2016; Batstone et al., 2018; Chomicki et al., 2020b). Trophic levels and abiotic factors create ecological constraints influencing partner selection in mutualisms producing a gradient of dependence, ranging from facultative to obligate, depending on the severity of the </w:t>
      </w:r>
      <w:r w:rsidR="005270D0">
        <w:rPr>
          <w:rFonts w:eastAsia="Times New Roman" w:cs="Times New Roman"/>
          <w:szCs w:val="24"/>
        </w:rPr>
        <w:t>constraint (</w:t>
      </w:r>
      <w:r>
        <w:rPr>
          <w:rFonts w:eastAsia="Times New Roman" w:cs="Times New Roman"/>
          <w:szCs w:val="24"/>
        </w:rPr>
        <w:t>Bronstein, 2009; McIntire and Fajardo, 2014; Dudley, 2015).</w:t>
      </w:r>
    </w:p>
    <w:p w14:paraId="00000041" w14:textId="07F78516" w:rsidR="00E420E3" w:rsidRDefault="008E5528" w:rsidP="00225F36">
      <w:pPr>
        <w:widowControl w:val="0"/>
        <w:pBdr>
          <w:top w:val="nil"/>
          <w:left w:val="nil"/>
          <w:bottom w:val="nil"/>
          <w:right w:val="nil"/>
          <w:between w:val="nil"/>
        </w:pBdr>
        <w:rPr>
          <w:rFonts w:eastAsia="Times New Roman" w:cs="Times New Roman"/>
          <w:szCs w:val="24"/>
        </w:rPr>
      </w:pPr>
      <w:r>
        <w:rPr>
          <w:rFonts w:eastAsia="Times New Roman" w:cs="Times New Roman"/>
          <w:szCs w:val="24"/>
        </w:rPr>
        <w:t>The second pathway of mutualistic dependence evolves through new traits favouring specific mutualistic species interactions. Speciali</w:t>
      </w:r>
      <w:r w:rsidR="006C4358">
        <w:rPr>
          <w:rFonts w:eastAsia="Times New Roman" w:cs="Times New Roman"/>
          <w:szCs w:val="24"/>
        </w:rPr>
        <w:t>s</w:t>
      </w:r>
      <w:r>
        <w:rPr>
          <w:rFonts w:eastAsia="Times New Roman" w:cs="Times New Roman"/>
          <w:szCs w:val="24"/>
        </w:rPr>
        <w:t xml:space="preserve">ation inevitably excludes other species for selection. This pathway also produces a </w:t>
      </w:r>
      <w:r w:rsidRPr="008A4CAA">
        <w:rPr>
          <w:rFonts w:eastAsia="Times New Roman" w:cs="Times New Roman"/>
          <w:szCs w:val="24"/>
        </w:rPr>
        <w:t xml:space="preserve">gradient, </w:t>
      </w:r>
      <w:r>
        <w:rPr>
          <w:rFonts w:eastAsia="Times New Roman" w:cs="Times New Roman"/>
          <w:szCs w:val="24"/>
        </w:rPr>
        <w:t xml:space="preserve">from facultative to obligate, depending on how extreme the evolved trait becomes. Mutualistic dependence occurs through the evolution of the most </w:t>
      </w:r>
      <w:r>
        <w:rPr>
          <w:rFonts w:eastAsia="Times New Roman" w:cs="Times New Roman"/>
          <w:szCs w:val="24"/>
        </w:rPr>
        <w:lastRenderedPageBreak/>
        <w:t>desirable traits in an environment requiring species adaptation to benefit at least one partner (Peay, 2016). The desirable traits develop through different mechanisms: unilateral adaptation or coevolution involving reciprocal changes (</w:t>
      </w:r>
      <w:proofErr w:type="spellStart"/>
      <w:r>
        <w:rPr>
          <w:rFonts w:eastAsia="Times New Roman" w:cs="Times New Roman"/>
          <w:szCs w:val="24"/>
        </w:rPr>
        <w:t>Abrahamczyk</w:t>
      </w:r>
      <w:proofErr w:type="spellEnd"/>
      <w:r>
        <w:rPr>
          <w:rFonts w:eastAsia="Times New Roman" w:cs="Times New Roman"/>
          <w:szCs w:val="24"/>
        </w:rPr>
        <w:t xml:space="preserve"> et al., 2014; Chomicki et al., 2020b). The basic idea is that the evolution of specific mutualistic traits will make those species dependent on their mutualistic partner. For instance, evolving a long corolla renders a plant dependent on a long-beaked or long-tonged pollinator.</w:t>
      </w:r>
    </w:p>
    <w:p w14:paraId="70B0A3CB" w14:textId="77777777" w:rsidR="004238F5" w:rsidRDefault="008E5528" w:rsidP="00225F36">
      <w:pPr>
        <w:widowControl w:val="0"/>
        <w:pBdr>
          <w:top w:val="nil"/>
          <w:left w:val="nil"/>
          <w:bottom w:val="nil"/>
          <w:right w:val="nil"/>
          <w:between w:val="nil"/>
        </w:pBdr>
        <w:rPr>
          <w:rFonts w:eastAsia="Times New Roman" w:cs="Times New Roman"/>
          <w:szCs w:val="24"/>
        </w:rPr>
      </w:pPr>
      <w:r>
        <w:rPr>
          <w:rFonts w:eastAsia="Times New Roman" w:cs="Times New Roman"/>
          <w:szCs w:val="24"/>
        </w:rPr>
        <w:t xml:space="preserve">Thirdly, mutualistic dependence can evolve from trait loss leading a species or the mutual partners to become obligate mutualists (Chomicki et al., 2020b). Loss of the trait through relaxed selection for a service or resource that is now provided by a mutualistic partner is a major pathway for the evolution of obligate dependence (Lahti et al., 2009). An obligate mutualism between the ant </w:t>
      </w:r>
      <w:proofErr w:type="spellStart"/>
      <w:r w:rsidRPr="00EB18D9">
        <w:rPr>
          <w:rFonts w:eastAsia="Times New Roman" w:cs="Times New Roman"/>
          <w:i/>
          <w:iCs/>
          <w:szCs w:val="24"/>
        </w:rPr>
        <w:t>Philidris</w:t>
      </w:r>
      <w:proofErr w:type="spellEnd"/>
      <w:r w:rsidRPr="00EB18D9">
        <w:rPr>
          <w:rFonts w:eastAsia="Times New Roman" w:cs="Times New Roman"/>
          <w:i/>
          <w:iCs/>
          <w:szCs w:val="24"/>
        </w:rPr>
        <w:t xml:space="preserve"> nagasau</w:t>
      </w:r>
      <w:r>
        <w:rPr>
          <w:rFonts w:eastAsia="Times New Roman" w:cs="Times New Roman"/>
          <w:szCs w:val="24"/>
        </w:rPr>
        <w:t xml:space="preserve"> and the plant </w:t>
      </w:r>
      <w:proofErr w:type="spellStart"/>
      <w:r w:rsidRPr="00EB18D9">
        <w:rPr>
          <w:rFonts w:eastAsia="Times New Roman" w:cs="Times New Roman"/>
          <w:i/>
          <w:iCs/>
          <w:szCs w:val="24"/>
        </w:rPr>
        <w:t>Squamellaria</w:t>
      </w:r>
      <w:proofErr w:type="spellEnd"/>
      <w:r w:rsidRPr="00EB18D9">
        <w:rPr>
          <w:rFonts w:eastAsia="Times New Roman" w:cs="Times New Roman"/>
          <w:i/>
          <w:iCs/>
          <w:szCs w:val="24"/>
        </w:rPr>
        <w:t xml:space="preserve"> </w:t>
      </w:r>
      <w:r>
        <w:rPr>
          <w:rFonts w:eastAsia="Times New Roman" w:cs="Times New Roman"/>
          <w:szCs w:val="24"/>
        </w:rPr>
        <w:t xml:space="preserve">serves as an example of evolution of dependence through trait loss. </w:t>
      </w:r>
      <w:proofErr w:type="spellStart"/>
      <w:r w:rsidRPr="00EB18D9">
        <w:rPr>
          <w:rFonts w:eastAsia="Times New Roman" w:cs="Times New Roman"/>
          <w:i/>
          <w:iCs/>
          <w:szCs w:val="24"/>
        </w:rPr>
        <w:t>Philidris</w:t>
      </w:r>
      <w:proofErr w:type="spellEnd"/>
      <w:r w:rsidRPr="00EB18D9">
        <w:rPr>
          <w:rFonts w:eastAsia="Times New Roman" w:cs="Times New Roman"/>
          <w:i/>
          <w:iCs/>
          <w:szCs w:val="24"/>
        </w:rPr>
        <w:t xml:space="preserve"> nagasau</w:t>
      </w:r>
      <w:r>
        <w:rPr>
          <w:rFonts w:eastAsia="Times New Roman" w:cs="Times New Roman"/>
          <w:szCs w:val="24"/>
        </w:rPr>
        <w:t xml:space="preserve"> ants have lost the ability to produce their own carton nest driving the need for an obligate dependence on the plant domatia for nesting (Chomicki and Renner, 2016a). </w:t>
      </w:r>
    </w:p>
    <w:p w14:paraId="00000042" w14:textId="5CF651E5" w:rsidR="00E420E3" w:rsidRDefault="008E5528" w:rsidP="00225F36">
      <w:pPr>
        <w:widowControl w:val="0"/>
        <w:pBdr>
          <w:top w:val="nil"/>
          <w:left w:val="nil"/>
          <w:bottom w:val="nil"/>
          <w:right w:val="nil"/>
          <w:between w:val="nil"/>
        </w:pBdr>
        <w:rPr>
          <w:rFonts w:eastAsia="Times New Roman" w:cs="Times New Roman"/>
          <w:szCs w:val="24"/>
        </w:rPr>
      </w:pPr>
      <w:r>
        <w:rPr>
          <w:rFonts w:eastAsia="Times New Roman" w:cs="Times New Roman"/>
          <w:szCs w:val="24"/>
        </w:rPr>
        <w:t>Partner manipulation is the fourth pathway for mutualistic dependence whereby one partner forces the other into dependence leading to obligate dependence (Chomicki et al., 2020b</w:t>
      </w:r>
      <w:r w:rsidRPr="006C4358">
        <w:rPr>
          <w:rFonts w:eastAsia="Times New Roman" w:cs="Times New Roman"/>
          <w:szCs w:val="24"/>
        </w:rPr>
        <w:t xml:space="preserve">). A controlling partner benefits by restricting the other partner's options, trapping it in a state of dependence it cannot escape (Sørensen et al., 2019; Wyatt et al., 2016). The </w:t>
      </w:r>
      <w:r>
        <w:rPr>
          <w:rFonts w:eastAsia="Times New Roman" w:cs="Times New Roman"/>
          <w:szCs w:val="24"/>
        </w:rPr>
        <w:t xml:space="preserve">induced control prevents the partners’ ability to obtain resources making the controlled partner incapable of surviving on its own (Sørensen et al., 2019). For example, </w:t>
      </w:r>
      <w:r w:rsidRPr="00EB0F76">
        <w:rPr>
          <w:rFonts w:eastAsia="Times New Roman" w:cs="Times New Roman"/>
          <w:i/>
          <w:iCs/>
          <w:szCs w:val="24"/>
        </w:rPr>
        <w:t>Acacia</w:t>
      </w:r>
      <w:r>
        <w:rPr>
          <w:rFonts w:eastAsia="Times New Roman" w:cs="Times New Roman"/>
          <w:szCs w:val="24"/>
        </w:rPr>
        <w:t xml:space="preserve"> ant-plants secretes chitinase in the EFN, consumed by the ant partner </w:t>
      </w:r>
      <w:proofErr w:type="spellStart"/>
      <w:r w:rsidRPr="00D33D11">
        <w:rPr>
          <w:rFonts w:eastAsia="Times New Roman" w:cs="Times New Roman"/>
          <w:i/>
          <w:iCs/>
          <w:szCs w:val="24"/>
        </w:rPr>
        <w:t>Pseudomyrmex</w:t>
      </w:r>
      <w:proofErr w:type="spellEnd"/>
      <w:r>
        <w:rPr>
          <w:rFonts w:eastAsia="Times New Roman" w:cs="Times New Roman"/>
          <w:szCs w:val="24"/>
        </w:rPr>
        <w:t xml:space="preserve"> (Heil et al., 2014). Chitinase inhibits the sucrose-cleaving invertase forcing the ant to consume </w:t>
      </w:r>
      <w:r w:rsidRPr="00D33D11">
        <w:rPr>
          <w:rFonts w:eastAsia="Times New Roman" w:cs="Times New Roman"/>
          <w:i/>
          <w:iCs/>
          <w:szCs w:val="24"/>
        </w:rPr>
        <w:t>acacias</w:t>
      </w:r>
      <w:r w:rsidRPr="00D33D11">
        <w:rPr>
          <w:rFonts w:eastAsia="Times New Roman" w:cs="Times New Roman"/>
          <w:szCs w:val="24"/>
        </w:rPr>
        <w:t>’</w:t>
      </w:r>
      <w:r>
        <w:rPr>
          <w:rFonts w:eastAsia="Times New Roman" w:cs="Times New Roman"/>
          <w:szCs w:val="24"/>
        </w:rPr>
        <w:t xml:space="preserve"> sucrose (Heil et al., 2014). Another example includes plants secreting caffeine based floral nectar which enhances the pollinator's memory of the plant’s floral scent (Wright et al., 2013).</w:t>
      </w:r>
    </w:p>
    <w:p w14:paraId="00000044" w14:textId="43888846" w:rsidR="00E420E3" w:rsidRDefault="008E5528" w:rsidP="00D33D11">
      <w:pPr>
        <w:pStyle w:val="Heading3"/>
      </w:pPr>
      <w:bookmarkStart w:id="7" w:name="_Toc235392956"/>
      <w:r>
        <w:t>1.4 Genomic studies of mutualism</w:t>
      </w:r>
      <w:bookmarkEnd w:id="7"/>
      <w:r>
        <w:t xml:space="preserve"> </w:t>
      </w:r>
    </w:p>
    <w:p w14:paraId="58929BA1" w14:textId="202496E9" w:rsidR="00FB5816" w:rsidRDefault="008E5528" w:rsidP="00225F36">
      <w:pPr>
        <w:widowControl w:val="0"/>
        <w:pBdr>
          <w:top w:val="nil"/>
          <w:left w:val="nil"/>
          <w:bottom w:val="nil"/>
          <w:right w:val="nil"/>
          <w:between w:val="nil"/>
        </w:pBdr>
        <w:rPr>
          <w:rFonts w:eastAsia="Times New Roman" w:cs="Times New Roman"/>
          <w:szCs w:val="24"/>
        </w:rPr>
      </w:pPr>
      <w:r>
        <w:rPr>
          <w:rFonts w:eastAsia="Times New Roman" w:cs="Times New Roman"/>
          <w:color w:val="000000"/>
          <w:szCs w:val="24"/>
        </w:rPr>
        <w:t xml:space="preserve">Currently, </w:t>
      </w:r>
      <w:r>
        <w:rPr>
          <w:rFonts w:eastAsia="Times New Roman" w:cs="Times New Roman"/>
          <w:szCs w:val="24"/>
        </w:rPr>
        <w:t xml:space="preserve">our knowledge of genome evolution in mutualisms derives from bacterial endosymbiosis that has served as the genomics foundation on a ‘micro’ level to studying obligate dependence. Endosymbiosis – where one organism lives within another – has enabled major ecological transitions by opening new niches, notably in herbivorous </w:t>
      </w:r>
      <w:r w:rsidR="005270D0">
        <w:rPr>
          <w:rFonts w:eastAsia="Times New Roman" w:cs="Times New Roman"/>
          <w:szCs w:val="24"/>
        </w:rPr>
        <w:t>insects whose</w:t>
      </w:r>
      <w:r>
        <w:rPr>
          <w:rFonts w:eastAsia="Times New Roman" w:cs="Times New Roman"/>
          <w:szCs w:val="24"/>
        </w:rPr>
        <w:t xml:space="preserve"> nutrition is supported by intracellular bacterial symbionts (Oliver et al., 2003). </w:t>
      </w:r>
      <w:r w:rsidRPr="009022B4">
        <w:rPr>
          <w:rFonts w:eastAsia="Times New Roman" w:cs="Times New Roman"/>
          <w:szCs w:val="24"/>
        </w:rPr>
        <w:t>Bacterial endosymbionts typically have tiny genomes of less than 200 kilobases (</w:t>
      </w:r>
      <w:proofErr w:type="spellStart"/>
      <w:r w:rsidRPr="009022B4">
        <w:rPr>
          <w:rFonts w:eastAsia="Times New Roman" w:cs="Times New Roman"/>
          <w:szCs w:val="24"/>
        </w:rPr>
        <w:t>Kb</w:t>
      </w:r>
      <w:proofErr w:type="spellEnd"/>
      <w:r w:rsidRPr="009022B4">
        <w:rPr>
          <w:rFonts w:eastAsia="Times New Roman" w:cs="Times New Roman"/>
          <w:szCs w:val="24"/>
        </w:rPr>
        <w:t>)</w:t>
      </w:r>
      <w:r>
        <w:rPr>
          <w:rFonts w:eastAsia="Times New Roman" w:cs="Times New Roman"/>
          <w:szCs w:val="24"/>
        </w:rPr>
        <w:t>, much less than their free-living relatives (1-2 megabase (Mb)</w:t>
      </w:r>
      <w:r w:rsidR="0079254D">
        <w:rPr>
          <w:rFonts w:eastAsia="Times New Roman" w:cs="Times New Roman"/>
          <w:szCs w:val="24"/>
        </w:rPr>
        <w:t>)</w:t>
      </w:r>
      <w:r>
        <w:rPr>
          <w:rFonts w:eastAsia="Times New Roman" w:cs="Times New Roman"/>
          <w:szCs w:val="24"/>
        </w:rPr>
        <w:t xml:space="preserve"> (McCutcheon et al. 2024). Genome </w:t>
      </w:r>
      <w:r>
        <w:rPr>
          <w:rFonts w:eastAsia="Times New Roman" w:cs="Times New Roman"/>
          <w:szCs w:val="24"/>
        </w:rPr>
        <w:lastRenderedPageBreak/>
        <w:t xml:space="preserve">streamlining resulting in gene loss occurs as consequence of the </w:t>
      </w:r>
      <w:proofErr w:type="spellStart"/>
      <w:r>
        <w:rPr>
          <w:rFonts w:eastAsia="Times New Roman" w:cs="Times New Roman"/>
          <w:szCs w:val="24"/>
        </w:rPr>
        <w:t>endosymbiostic</w:t>
      </w:r>
      <w:proofErr w:type="spellEnd"/>
      <w:r>
        <w:rPr>
          <w:rFonts w:eastAsia="Times New Roman" w:cs="Times New Roman"/>
          <w:szCs w:val="24"/>
        </w:rPr>
        <w:t xml:space="preserve"> lifestyle, but it also drives the obligate dependence of the symbiont on the host, their functional gene loss being compensated by the host (McCutcheon and Moran 2012, Bennett and Moran, 2015, McCutcheon et al., 2024). While the genomic consequences of mutualisms with microbes, </w:t>
      </w:r>
      <w:proofErr w:type="gramStart"/>
      <w:r>
        <w:rPr>
          <w:rFonts w:eastAsia="Times New Roman" w:cs="Times New Roman"/>
          <w:szCs w:val="24"/>
        </w:rPr>
        <w:t>in particular</w:t>
      </w:r>
      <w:proofErr w:type="gramEnd"/>
      <w:r>
        <w:rPr>
          <w:rFonts w:eastAsia="Times New Roman" w:cs="Times New Roman"/>
          <w:szCs w:val="24"/>
        </w:rPr>
        <w:t xml:space="preserve"> </w:t>
      </w:r>
      <w:proofErr w:type="spellStart"/>
      <w:r>
        <w:rPr>
          <w:rFonts w:eastAsia="Times New Roman" w:cs="Times New Roman"/>
          <w:szCs w:val="24"/>
        </w:rPr>
        <w:t>endosymbioses</w:t>
      </w:r>
      <w:proofErr w:type="spellEnd"/>
      <w:r>
        <w:rPr>
          <w:rFonts w:eastAsia="Times New Roman" w:cs="Times New Roman"/>
          <w:szCs w:val="24"/>
        </w:rPr>
        <w:t xml:space="preserve">, is relatively well understood, the effects of mutualism on genome </w:t>
      </w:r>
      <w:r w:rsidRPr="009022B4">
        <w:rPr>
          <w:rFonts w:eastAsia="Times New Roman" w:cs="Times New Roman"/>
          <w:szCs w:val="24"/>
        </w:rPr>
        <w:t xml:space="preserve">and/or gene evolution between ‘macro’ mutualists (non-microorganisms) are poorly known. This thesis aimed to contribute to this knowledge gap. </w:t>
      </w:r>
    </w:p>
    <w:p w14:paraId="00000045" w14:textId="0B69456F" w:rsidR="00E420E3" w:rsidRPr="009022B4" w:rsidRDefault="008E5528" w:rsidP="00225F36">
      <w:pPr>
        <w:widowControl w:val="0"/>
        <w:pBdr>
          <w:top w:val="nil"/>
          <w:left w:val="nil"/>
          <w:bottom w:val="nil"/>
          <w:right w:val="nil"/>
          <w:between w:val="nil"/>
        </w:pBdr>
        <w:rPr>
          <w:rFonts w:eastAsia="Times New Roman" w:cs="Times New Roman"/>
          <w:szCs w:val="24"/>
        </w:rPr>
      </w:pPr>
      <w:r w:rsidRPr="009022B4">
        <w:rPr>
          <w:rFonts w:eastAsia="Times New Roman" w:cs="Times New Roman"/>
          <w:szCs w:val="24"/>
        </w:rPr>
        <w:t xml:space="preserve">Many </w:t>
      </w:r>
      <w:proofErr w:type="spellStart"/>
      <w:r w:rsidRPr="009022B4">
        <w:rPr>
          <w:rFonts w:eastAsia="Times New Roman" w:cs="Times New Roman"/>
          <w:szCs w:val="24"/>
        </w:rPr>
        <w:t>endosymbioses</w:t>
      </w:r>
      <w:proofErr w:type="spellEnd"/>
      <w:r w:rsidRPr="009022B4">
        <w:rPr>
          <w:rFonts w:eastAsia="Times New Roman" w:cs="Times New Roman"/>
          <w:szCs w:val="24"/>
        </w:rPr>
        <w:t xml:space="preserve"> based associations in which one organism lives within the body or cells of another are thought to originate from parasitic or commensal associations that later shift towards mutualism (Baum, 2015; Fisher et al., 2017). Although the genomic consequences of mutualism remain incompletely understood, </w:t>
      </w:r>
      <w:proofErr w:type="spellStart"/>
      <w:r w:rsidRPr="009022B4">
        <w:rPr>
          <w:rFonts w:eastAsia="Times New Roman" w:cs="Times New Roman"/>
          <w:szCs w:val="24"/>
        </w:rPr>
        <w:t>endosymbioses</w:t>
      </w:r>
      <w:proofErr w:type="spellEnd"/>
      <w:r w:rsidRPr="009022B4">
        <w:rPr>
          <w:rFonts w:eastAsia="Times New Roman" w:cs="Times New Roman"/>
          <w:szCs w:val="24"/>
        </w:rPr>
        <w:t xml:space="preserve"> provide a useful reference point because they often involve predictable genomic changes, including gene loss, metabolic complementarity, and increasing dependence between partners (Bennett and Moran, 2015; McCutcheon et al., 2019). This intimate mode of symbiosis has enabled major ecological transitions by opening new niches, notably in herbivorous insects whose nutrition is supported by intracellular bacterial symbionts (Oliver et al., 2003). Over evolutionary time, such partnerships can reshape lineages through reciprocal trait loss and compensation, effectively redistributing functions across the symbiotic consortium (Fisher et al., 2017). At the deepest timescales, endosymbiosis underpins the origins of mitochondria and plastids, which gave rise to eukaryotic respiration and oxygenic photosynthesis, respectively. In contemporary systems, symbiont-derived biochemical capabilities can likewise permit host exploitation of otherwise inhospitable environments (</w:t>
      </w:r>
      <w:proofErr w:type="spellStart"/>
      <w:r w:rsidRPr="009022B4">
        <w:rPr>
          <w:rFonts w:eastAsia="Times New Roman" w:cs="Times New Roman"/>
          <w:szCs w:val="24"/>
        </w:rPr>
        <w:t>Fukatsu</w:t>
      </w:r>
      <w:proofErr w:type="spellEnd"/>
      <w:r w:rsidRPr="009022B4">
        <w:rPr>
          <w:rFonts w:eastAsia="Times New Roman" w:cs="Times New Roman"/>
          <w:szCs w:val="24"/>
        </w:rPr>
        <w:t xml:space="preserve"> and Ishikawa, 1996</w:t>
      </w:r>
      <w:r w:rsidR="00FB5816">
        <w:rPr>
          <w:rFonts w:eastAsia="Times New Roman" w:cs="Times New Roman"/>
          <w:szCs w:val="24"/>
        </w:rPr>
        <w:t>)</w:t>
      </w:r>
      <w:r w:rsidRPr="009022B4">
        <w:rPr>
          <w:rFonts w:eastAsia="Times New Roman" w:cs="Times New Roman"/>
          <w:szCs w:val="24"/>
        </w:rPr>
        <w:t xml:space="preserve">; for instance, </w:t>
      </w:r>
      <w:proofErr w:type="spellStart"/>
      <w:r w:rsidRPr="00941570">
        <w:rPr>
          <w:rFonts w:eastAsia="Times New Roman" w:cs="Times New Roman"/>
          <w:i/>
          <w:iCs/>
          <w:szCs w:val="24"/>
        </w:rPr>
        <w:t>Buchnera</w:t>
      </w:r>
      <w:proofErr w:type="spellEnd"/>
      <w:r w:rsidRPr="009022B4">
        <w:rPr>
          <w:rFonts w:eastAsia="Times New Roman" w:cs="Times New Roman"/>
          <w:szCs w:val="24"/>
        </w:rPr>
        <w:t xml:space="preserve"> endosymbionts enable aphids to subsist almost entirely on nutritionally incomplete phloem sap by synthesising essential amino acids that the aphid cannot itself produce or obtain from its diet, allowing aphids to exploit a food source largely unavailable to other insects (Bennett and Moran, 2015).</w:t>
      </w:r>
    </w:p>
    <w:p w14:paraId="00000046" w14:textId="77777777" w:rsidR="00E420E3" w:rsidRPr="00061ADE" w:rsidRDefault="008E5528" w:rsidP="00225F36">
      <w:pPr>
        <w:widowControl w:val="0"/>
        <w:pBdr>
          <w:top w:val="nil"/>
          <w:left w:val="nil"/>
          <w:bottom w:val="nil"/>
          <w:right w:val="nil"/>
          <w:between w:val="nil"/>
        </w:pBdr>
        <w:rPr>
          <w:rFonts w:eastAsia="Times New Roman" w:cs="Times New Roman"/>
          <w:szCs w:val="24"/>
        </w:rPr>
      </w:pPr>
      <w:r>
        <w:rPr>
          <w:rFonts w:eastAsia="Times New Roman" w:cs="Times New Roman"/>
          <w:szCs w:val="24"/>
        </w:rPr>
        <w:t xml:space="preserve">In some obligate </w:t>
      </w:r>
      <w:proofErr w:type="spellStart"/>
      <w:r>
        <w:rPr>
          <w:rFonts w:eastAsia="Times New Roman" w:cs="Times New Roman"/>
          <w:szCs w:val="24"/>
        </w:rPr>
        <w:t>endosymbioses</w:t>
      </w:r>
      <w:proofErr w:type="spellEnd"/>
      <w:r>
        <w:rPr>
          <w:rFonts w:eastAsia="Times New Roman" w:cs="Times New Roman"/>
          <w:szCs w:val="24"/>
        </w:rPr>
        <w:t>, there is genomic integration between bacteria and the host (Wernegreen, 2012). How mutualism affects the rate of gene evolution is generally poorly known. Genomic integration leads to gene loss making species incapable of surviving independently as they rely heavily on their mutual partner that provides the function that the lost gene once performed (</w:t>
      </w:r>
      <w:proofErr w:type="spellStart"/>
      <w:r>
        <w:rPr>
          <w:rFonts w:eastAsia="Times New Roman" w:cs="Times New Roman"/>
          <w:szCs w:val="24"/>
        </w:rPr>
        <w:t>Fukatsu</w:t>
      </w:r>
      <w:proofErr w:type="spellEnd"/>
      <w:r>
        <w:rPr>
          <w:rFonts w:eastAsia="Times New Roman" w:cs="Times New Roman"/>
          <w:szCs w:val="24"/>
        </w:rPr>
        <w:t xml:space="preserve"> and Ishikawa, 1996; Wernegreen, 2012; McCutcheon et al., 2019). A major finding of genomic studies of endosymbiosis is the recurrent gene loss in the symbionts, which reflects the functional gain from endosymbiosis, no longer requiring original </w:t>
      </w:r>
      <w:r>
        <w:rPr>
          <w:rFonts w:eastAsia="Times New Roman" w:cs="Times New Roman"/>
          <w:szCs w:val="24"/>
        </w:rPr>
        <w:lastRenderedPageBreak/>
        <w:t xml:space="preserve">symbiont genes (Wernegreen, 2012; </w:t>
      </w:r>
      <w:proofErr w:type="spellStart"/>
      <w:r>
        <w:rPr>
          <w:rFonts w:eastAsia="Times New Roman" w:cs="Times New Roman"/>
          <w:szCs w:val="24"/>
        </w:rPr>
        <w:t>Uthanumallian</w:t>
      </w:r>
      <w:proofErr w:type="spellEnd"/>
      <w:r>
        <w:rPr>
          <w:rFonts w:eastAsia="Times New Roman" w:cs="Times New Roman"/>
          <w:szCs w:val="24"/>
        </w:rPr>
        <w:t xml:space="preserve"> et al., 2022). </w:t>
      </w:r>
      <w:r w:rsidRPr="002E099A">
        <w:rPr>
          <w:rFonts w:eastAsia="Times New Roman" w:cs="Times New Roman"/>
          <w:szCs w:val="24"/>
        </w:rPr>
        <w:t xml:space="preserve">This has been shown in fungus-farming ants such as the leafcutter ant </w:t>
      </w:r>
      <w:r w:rsidRPr="002E099A">
        <w:rPr>
          <w:rFonts w:eastAsia="Times New Roman" w:cs="Times New Roman"/>
          <w:i/>
          <w:iCs/>
          <w:szCs w:val="24"/>
        </w:rPr>
        <w:t>Atta cephalotes</w:t>
      </w:r>
      <w:r w:rsidRPr="002E099A">
        <w:rPr>
          <w:rFonts w:eastAsia="Times New Roman" w:cs="Times New Roman"/>
          <w:szCs w:val="24"/>
        </w:rPr>
        <w:t xml:space="preserve"> and its fungal cultivar </w:t>
      </w:r>
      <w:r w:rsidRPr="002E099A">
        <w:rPr>
          <w:rFonts w:eastAsia="Times New Roman" w:cs="Times New Roman"/>
          <w:i/>
          <w:iCs/>
          <w:szCs w:val="24"/>
        </w:rPr>
        <w:t xml:space="preserve">Leucoagaricus </w:t>
      </w:r>
      <w:proofErr w:type="spellStart"/>
      <w:r w:rsidRPr="002E099A">
        <w:rPr>
          <w:rFonts w:eastAsia="Times New Roman" w:cs="Times New Roman"/>
          <w:i/>
          <w:iCs/>
          <w:szCs w:val="24"/>
        </w:rPr>
        <w:t>gongylophorus</w:t>
      </w:r>
      <w:proofErr w:type="spellEnd"/>
      <w:r w:rsidRPr="002E099A">
        <w:rPr>
          <w:rFonts w:eastAsia="Times New Roman" w:cs="Times New Roman"/>
          <w:szCs w:val="24"/>
        </w:rPr>
        <w:t>, wherein the fungus has caused the ant lineage to lose its arginine biosynthesis genes, compensating instead by providing arginine directly to the ant for nutrition and rendering the host obligately dependent (Nygaard et al., 2016).</w:t>
      </w:r>
      <w:r>
        <w:rPr>
          <w:rFonts w:eastAsia="Times New Roman" w:cs="Times New Roman"/>
          <w:szCs w:val="24"/>
        </w:rPr>
        <w:t>Whether the evolution of obligate dependence in macro-mutualism similarly involves gene loss remains a major unanswered question</w:t>
      </w:r>
      <w:r w:rsidRPr="00061ADE">
        <w:rPr>
          <w:rFonts w:eastAsia="Times New Roman" w:cs="Times New Roman"/>
          <w:szCs w:val="24"/>
        </w:rPr>
        <w:t>, and while this thesis does not test for gene loss directly, it lays the genomic and experimental groundwork including duplication-aware reference genomes and characterisation of ant-responsive gene expression needed to address this question in future work.</w:t>
      </w:r>
    </w:p>
    <w:p w14:paraId="223F926D" w14:textId="77777777" w:rsidR="003C5DB0" w:rsidRDefault="008E5528" w:rsidP="00225F36">
      <w:pPr>
        <w:widowControl w:val="0"/>
        <w:pBdr>
          <w:top w:val="nil"/>
          <w:left w:val="nil"/>
          <w:bottom w:val="nil"/>
          <w:right w:val="nil"/>
          <w:between w:val="nil"/>
        </w:pBdr>
        <w:rPr>
          <w:rFonts w:eastAsia="Times New Roman" w:cs="Times New Roman"/>
          <w:szCs w:val="24"/>
        </w:rPr>
      </w:pPr>
      <w:r w:rsidRPr="00061ADE">
        <w:rPr>
          <w:rFonts w:eastAsia="Times New Roman" w:cs="Times New Roman"/>
          <w:szCs w:val="24"/>
        </w:rPr>
        <w:t>Addressing questions of gene loss and evolutionary dependence in plants requires consideration of gene duplication, which is widespread due to ancient and recurrent whole-genome duplication events. Following duplication, genes may be retained, lost, or diverge in function, generating large gene families containing closely related paralogues (</w:t>
      </w:r>
      <w:proofErr w:type="spellStart"/>
      <w:r w:rsidRPr="00061ADE">
        <w:rPr>
          <w:rFonts w:eastAsia="Times New Roman" w:cs="Times New Roman"/>
          <w:szCs w:val="24"/>
        </w:rPr>
        <w:t>Panchy</w:t>
      </w:r>
      <w:proofErr w:type="spellEnd"/>
      <w:r w:rsidRPr="00061ADE">
        <w:rPr>
          <w:rFonts w:eastAsia="Times New Roman" w:cs="Times New Roman"/>
          <w:szCs w:val="24"/>
        </w:rPr>
        <w:t xml:space="preserve"> et al., 2016; Van de Peer et al., 2017). These duplicated genes can complicate comparative genomic analyses because apparent differences in gene content, copy number, or expression may reflect variation in genome architecture rather than evolutionary changes associated with mutualism. </w:t>
      </w:r>
    </w:p>
    <w:p w14:paraId="045AD4F1" w14:textId="3624449E" w:rsidR="003C5DB0" w:rsidRDefault="008E5528" w:rsidP="00225F36">
      <w:pPr>
        <w:widowControl w:val="0"/>
        <w:pBdr>
          <w:top w:val="nil"/>
          <w:left w:val="nil"/>
          <w:bottom w:val="nil"/>
          <w:right w:val="nil"/>
          <w:between w:val="nil"/>
        </w:pBdr>
        <w:rPr>
          <w:rFonts w:eastAsia="Times New Roman" w:cs="Times New Roman"/>
          <w:szCs w:val="24"/>
        </w:rPr>
      </w:pPr>
      <w:r w:rsidRPr="00061ADE">
        <w:rPr>
          <w:rFonts w:eastAsia="Times New Roman" w:cs="Times New Roman"/>
          <w:szCs w:val="24"/>
        </w:rPr>
        <w:t xml:space="preserve">Accurate assessment of genomic changes linked to obligate dependence therefore requires a framework capable of distinguishing orthologous genes from duplicated paralogues. A </w:t>
      </w:r>
      <w:r>
        <w:rPr>
          <w:rFonts w:eastAsia="Times New Roman" w:cs="Times New Roman"/>
          <w:szCs w:val="24"/>
        </w:rPr>
        <w:t xml:space="preserve">duplication-aware genomic framework is therefore a necessary first step for any reliable comparative genomic or transcriptomic analysis in these species. This is especially relevant here because nitrogen-transporter gene </w:t>
      </w:r>
      <w:r w:rsidR="005270D0">
        <w:rPr>
          <w:rFonts w:eastAsia="Times New Roman" w:cs="Times New Roman"/>
          <w:szCs w:val="24"/>
        </w:rPr>
        <w:t>families including</w:t>
      </w:r>
      <w:r>
        <w:rPr>
          <w:rFonts w:eastAsia="Times New Roman" w:cs="Times New Roman"/>
          <w:szCs w:val="24"/>
        </w:rPr>
        <w:t xml:space="preserve"> ammonium transporters (AMT) and nitrate transporters (NRT/NAR) often comprise multiple paralogous copies arising from ancient polyploidisation events or lineage-specific duplications (</w:t>
      </w:r>
      <w:proofErr w:type="spellStart"/>
      <w:r>
        <w:rPr>
          <w:rFonts w:eastAsia="Times New Roman" w:cs="Times New Roman"/>
          <w:szCs w:val="24"/>
        </w:rPr>
        <w:t>Panchy</w:t>
      </w:r>
      <w:proofErr w:type="spellEnd"/>
      <w:r>
        <w:rPr>
          <w:rFonts w:eastAsia="Times New Roman" w:cs="Times New Roman"/>
          <w:szCs w:val="24"/>
        </w:rPr>
        <w:t xml:space="preserve"> et al., 2016; Van de Peer et al., 2017). </w:t>
      </w:r>
    </w:p>
    <w:p w14:paraId="14CAF633" w14:textId="77777777" w:rsidR="00225F36" w:rsidRDefault="008E5528" w:rsidP="00225F36">
      <w:pPr>
        <w:widowControl w:val="0"/>
        <w:pBdr>
          <w:top w:val="nil"/>
          <w:left w:val="nil"/>
          <w:bottom w:val="nil"/>
          <w:right w:val="nil"/>
          <w:between w:val="nil"/>
        </w:pBdr>
        <w:rPr>
          <w:rFonts w:eastAsia="Times New Roman" w:cs="Times New Roman"/>
          <w:szCs w:val="24"/>
        </w:rPr>
      </w:pPr>
      <w:r>
        <w:rPr>
          <w:rFonts w:eastAsia="Times New Roman" w:cs="Times New Roman"/>
          <w:szCs w:val="24"/>
        </w:rPr>
        <w:t>In duplication-rich genomes, short reads can map ambiguously across highly similar paralogous copies, and without explicitly resolving orthologous from paralogous relationships, apparent differences in expression or copy number between species may reflect differences in genome architecture rather than biologically meaningful regulation (</w:t>
      </w:r>
      <w:proofErr w:type="spellStart"/>
      <w:r>
        <w:rPr>
          <w:rFonts w:eastAsia="Times New Roman" w:cs="Times New Roman"/>
          <w:szCs w:val="24"/>
        </w:rPr>
        <w:t>Panchy</w:t>
      </w:r>
      <w:proofErr w:type="spellEnd"/>
      <w:r>
        <w:rPr>
          <w:rFonts w:eastAsia="Times New Roman" w:cs="Times New Roman"/>
          <w:szCs w:val="24"/>
        </w:rPr>
        <w:t xml:space="preserve"> et al., 2016). Consequently, expression differences observed between facultative and obligate species could be misattributed to the evolution of dependence when they in fact reflect differences in gene copy number or assembly redundancy. </w:t>
      </w:r>
    </w:p>
    <w:p w14:paraId="00000047" w14:textId="6DACAF38" w:rsidR="00E420E3" w:rsidRDefault="008E5528" w:rsidP="00225F36">
      <w:pPr>
        <w:widowControl w:val="0"/>
        <w:pBdr>
          <w:top w:val="nil"/>
          <w:left w:val="nil"/>
          <w:bottom w:val="nil"/>
          <w:right w:val="nil"/>
          <w:between w:val="nil"/>
        </w:pBdr>
        <w:rPr>
          <w:rFonts w:eastAsia="Times New Roman" w:cs="Times New Roman"/>
          <w:szCs w:val="24"/>
        </w:rPr>
      </w:pPr>
      <w:r>
        <w:rPr>
          <w:rFonts w:eastAsia="Times New Roman" w:cs="Times New Roman"/>
          <w:szCs w:val="24"/>
        </w:rPr>
        <w:lastRenderedPageBreak/>
        <w:t xml:space="preserve">Long-read sequencing technologies have proven particularly transformative in resolving such complexity, improving assembly contiguity across repetitive and duplicated regions and supporting haplotype-aware assembly strategies essential when heterozygosity or polyploidy complicate short-read approaches (Rhoads &amp; Au, 2015; Cheng et al., 2021). Generating duplication-aware reference genomes for both model species (Chapter 2) is therefore </w:t>
      </w:r>
      <w:proofErr w:type="gramStart"/>
      <w:r>
        <w:rPr>
          <w:rFonts w:eastAsia="Times New Roman" w:cs="Times New Roman"/>
          <w:szCs w:val="24"/>
        </w:rPr>
        <w:t>a necessary prerequisite</w:t>
      </w:r>
      <w:proofErr w:type="gramEnd"/>
      <w:r>
        <w:rPr>
          <w:rFonts w:eastAsia="Times New Roman" w:cs="Times New Roman"/>
          <w:szCs w:val="24"/>
        </w:rPr>
        <w:t xml:space="preserve"> for the orthology-based comparisons and tissue-resolved transcriptomic analyses presented in Chapters 3 and 4.</w:t>
      </w:r>
    </w:p>
    <w:p w14:paraId="00000048" w14:textId="77777777" w:rsidR="00E420E3" w:rsidRDefault="008E5528" w:rsidP="00225F36">
      <w:pPr>
        <w:pStyle w:val="Heading3"/>
      </w:pPr>
      <w:bookmarkStart w:id="8" w:name="_Toc235392957"/>
      <w:r>
        <w:t xml:space="preserve">1.5 </w:t>
      </w:r>
      <w:proofErr w:type="spellStart"/>
      <w:r>
        <w:t>Hydnophytinae</w:t>
      </w:r>
      <w:bookmarkEnd w:id="8"/>
      <w:proofErr w:type="spellEnd"/>
    </w:p>
    <w:p w14:paraId="00000049" w14:textId="76194A07" w:rsidR="00E420E3" w:rsidRDefault="008E5528" w:rsidP="00225F36">
      <w:pPr>
        <w:widowControl w:val="0"/>
        <w:pBdr>
          <w:top w:val="nil"/>
          <w:left w:val="nil"/>
          <w:bottom w:val="nil"/>
          <w:right w:val="nil"/>
          <w:between w:val="nil"/>
        </w:pBdr>
      </w:pPr>
      <w:r>
        <w:rPr>
          <w:rFonts w:eastAsia="Times New Roman" w:cs="Times New Roman"/>
          <w:szCs w:val="24"/>
        </w:rPr>
        <w:t xml:space="preserve">Mutualistic dependence is relatively poorly studied, particularly in relation to genome evolution. The </w:t>
      </w:r>
      <w:proofErr w:type="spellStart"/>
      <w:r>
        <w:rPr>
          <w:rFonts w:eastAsia="Times New Roman" w:cs="Times New Roman"/>
          <w:szCs w:val="24"/>
        </w:rPr>
        <w:t>Hydnophytinae</w:t>
      </w:r>
      <w:proofErr w:type="spellEnd"/>
      <w:r>
        <w:rPr>
          <w:rFonts w:eastAsia="Times New Roman" w:cs="Times New Roman"/>
          <w:szCs w:val="24"/>
        </w:rPr>
        <w:t xml:space="preserve"> provides various mutualistic strategies, providing a great opportunity to study mutualistic dependence. There are nearly 700 known </w:t>
      </w:r>
      <w:r w:rsidR="009F23E6">
        <w:rPr>
          <w:rFonts w:eastAsia="Times New Roman" w:cs="Times New Roman"/>
          <w:szCs w:val="24"/>
        </w:rPr>
        <w:t>ant-plant</w:t>
      </w:r>
      <w:r>
        <w:rPr>
          <w:rFonts w:eastAsia="Times New Roman" w:cs="Times New Roman"/>
          <w:szCs w:val="24"/>
        </w:rPr>
        <w:t xml:space="preserve"> species (Chomicki and Renner, 2015). The largest </w:t>
      </w:r>
      <w:r w:rsidR="009F23E6">
        <w:rPr>
          <w:rFonts w:eastAsia="Times New Roman" w:cs="Times New Roman"/>
          <w:szCs w:val="24"/>
        </w:rPr>
        <w:t>ant-plant</w:t>
      </w:r>
      <w:r>
        <w:rPr>
          <w:rFonts w:eastAsia="Times New Roman" w:cs="Times New Roman"/>
          <w:szCs w:val="24"/>
        </w:rPr>
        <w:t xml:space="preserve"> clade is the </w:t>
      </w:r>
      <w:proofErr w:type="spellStart"/>
      <w:r>
        <w:rPr>
          <w:rFonts w:eastAsia="Times New Roman" w:cs="Times New Roman"/>
          <w:szCs w:val="24"/>
        </w:rPr>
        <w:t>Hydnophytinae</w:t>
      </w:r>
      <w:proofErr w:type="spellEnd"/>
      <w:r>
        <w:rPr>
          <w:rFonts w:eastAsia="Times New Roman" w:cs="Times New Roman"/>
          <w:szCs w:val="24"/>
        </w:rPr>
        <w:t xml:space="preserve"> with 105 species (Huxley and Jebb, 1991a; Huxley and Jebb, 1991c; Huxley and Jebb, 1993; Chomicki and Renner, 2016b; Chomicki and Renner, 2017; Jebb and Huxley, 2019). The </w:t>
      </w:r>
      <w:proofErr w:type="spellStart"/>
      <w:r>
        <w:rPr>
          <w:rFonts w:eastAsia="Times New Roman" w:cs="Times New Roman"/>
          <w:szCs w:val="24"/>
        </w:rPr>
        <w:t>Hydnophytinae</w:t>
      </w:r>
      <w:proofErr w:type="spellEnd"/>
      <w:r>
        <w:rPr>
          <w:rFonts w:eastAsia="Times New Roman" w:cs="Times New Roman"/>
          <w:szCs w:val="24"/>
        </w:rPr>
        <w:t xml:space="preserve"> is a great model system to study the evolution of mutualistic obligate dependence for several reasons. First, there are closely related species with facultative, obligate and species that form no ant mutualisms in this clade. Second, it is highly </w:t>
      </w:r>
      <w:r w:rsidRPr="00225F36">
        <w:rPr>
          <w:rFonts w:eastAsia="Times New Roman" w:cs="Times New Roman"/>
          <w:szCs w:val="24"/>
        </w:rPr>
        <w:t xml:space="preserve">evolutionarily replicated, with obligate dependence having evolved convergently </w:t>
      </w:r>
      <w:r>
        <w:rPr>
          <w:rFonts w:eastAsia="Times New Roman" w:cs="Times New Roman"/>
          <w:szCs w:val="24"/>
        </w:rPr>
        <w:t>at least four independent times, and facultative mutualism having been lost independently at least 12 times, enabling the genome of species that have lost symbiosis to be compared against the genome of species that have retained symbiosis (Chomicki and Renner, 2017). Third, many facultative and obligate taxa coexist within the same environment, which facilitate comparisons by excluding confounding abiotic factors (Chomicki and Renner, 2019).</w:t>
      </w:r>
    </w:p>
    <w:p w14:paraId="524FBF97" w14:textId="77777777" w:rsidR="004E2ED7" w:rsidRDefault="004E2ED7" w:rsidP="004E2ED7">
      <w:pPr>
        <w:widowControl w:val="0"/>
        <w:pBdr>
          <w:top w:val="nil"/>
          <w:left w:val="nil"/>
          <w:bottom w:val="nil"/>
          <w:right w:val="nil"/>
          <w:between w:val="nil"/>
        </w:pBdr>
        <w:spacing w:before="293" w:line="344" w:lineRule="auto"/>
        <w:ind w:right="-52" w:firstLine="5"/>
        <w:rPr>
          <w:rFonts w:eastAsia="Times New Roman" w:cs="Times New Roman"/>
          <w:szCs w:val="24"/>
        </w:rPr>
      </w:pPr>
    </w:p>
    <w:p w14:paraId="17B934AF" w14:textId="77777777" w:rsidR="004E2ED7" w:rsidRDefault="004E2ED7" w:rsidP="004E2ED7">
      <w:pPr>
        <w:widowControl w:val="0"/>
        <w:pBdr>
          <w:top w:val="nil"/>
          <w:left w:val="nil"/>
          <w:bottom w:val="nil"/>
          <w:right w:val="nil"/>
          <w:between w:val="nil"/>
        </w:pBdr>
        <w:rPr>
          <w:rFonts w:eastAsia="Times New Roman" w:cs="Times New Roman"/>
          <w:szCs w:val="24"/>
        </w:rPr>
      </w:pPr>
    </w:p>
    <w:p w14:paraId="690EBBCB" w14:textId="77777777" w:rsidR="004E2ED7" w:rsidRDefault="004E2ED7" w:rsidP="004E2ED7">
      <w:pPr>
        <w:widowControl w:val="0"/>
        <w:pBdr>
          <w:top w:val="nil"/>
          <w:left w:val="nil"/>
          <w:bottom w:val="nil"/>
          <w:right w:val="nil"/>
          <w:between w:val="nil"/>
        </w:pBdr>
        <w:rPr>
          <w:noProof/>
        </w:rPr>
      </w:pPr>
    </w:p>
    <w:p w14:paraId="4DC0CAB7" w14:textId="77777777" w:rsidR="004E2ED7" w:rsidRDefault="004E2ED7" w:rsidP="004E2ED7">
      <w:pPr>
        <w:widowControl w:val="0"/>
        <w:pBdr>
          <w:top w:val="nil"/>
          <w:left w:val="nil"/>
          <w:bottom w:val="nil"/>
          <w:right w:val="nil"/>
          <w:between w:val="nil"/>
        </w:pBdr>
        <w:rPr>
          <w:noProof/>
        </w:rPr>
      </w:pPr>
    </w:p>
    <w:p w14:paraId="0C5F8F4A" w14:textId="77777777" w:rsidR="004E2ED7" w:rsidRDefault="004E2ED7" w:rsidP="004E2ED7">
      <w:pPr>
        <w:widowControl w:val="0"/>
        <w:pBdr>
          <w:top w:val="nil"/>
          <w:left w:val="nil"/>
          <w:bottom w:val="nil"/>
          <w:right w:val="nil"/>
          <w:between w:val="nil"/>
        </w:pBdr>
        <w:rPr>
          <w:noProof/>
        </w:rPr>
      </w:pPr>
    </w:p>
    <w:p w14:paraId="1A2749AC" w14:textId="77777777" w:rsidR="003C75E1" w:rsidRDefault="003C75E1" w:rsidP="004E2ED7">
      <w:pPr>
        <w:widowControl w:val="0"/>
        <w:pBdr>
          <w:top w:val="nil"/>
          <w:left w:val="nil"/>
          <w:bottom w:val="nil"/>
          <w:right w:val="nil"/>
          <w:between w:val="nil"/>
        </w:pBdr>
        <w:rPr>
          <w:noProof/>
        </w:rPr>
      </w:pPr>
    </w:p>
    <w:p w14:paraId="2E1B7DD6" w14:textId="77777777" w:rsidR="003C75E1" w:rsidRDefault="003C75E1" w:rsidP="004E2ED7">
      <w:pPr>
        <w:widowControl w:val="0"/>
        <w:pBdr>
          <w:top w:val="nil"/>
          <w:left w:val="nil"/>
          <w:bottom w:val="nil"/>
          <w:right w:val="nil"/>
          <w:between w:val="nil"/>
        </w:pBdr>
        <w:rPr>
          <w:noProof/>
        </w:rPr>
      </w:pPr>
    </w:p>
    <w:p w14:paraId="6329D85B" w14:textId="0534BA1B" w:rsidR="003C75E1" w:rsidRDefault="00453AF7" w:rsidP="004E2ED7">
      <w:pPr>
        <w:widowControl w:val="0"/>
        <w:pBdr>
          <w:top w:val="nil"/>
          <w:left w:val="nil"/>
          <w:bottom w:val="nil"/>
          <w:right w:val="nil"/>
          <w:between w:val="nil"/>
        </w:pBdr>
        <w:rPr>
          <w:noProof/>
        </w:rPr>
      </w:pPr>
      <w:r>
        <w:rPr>
          <w:noProof/>
        </w:rPr>
        <w:lastRenderedPageBreak/>
        <w:drawing>
          <wp:anchor distT="0" distB="0" distL="114300" distR="114300" simplePos="0" relativeHeight="251663366" behindDoc="0" locked="0" layoutInCell="1" allowOverlap="1" wp14:anchorId="743E8D22" wp14:editId="0C782F6F">
            <wp:simplePos x="0" y="0"/>
            <wp:positionH relativeFrom="margin">
              <wp:align>center</wp:align>
            </wp:positionH>
            <wp:positionV relativeFrom="paragraph">
              <wp:posOffset>2540</wp:posOffset>
            </wp:positionV>
            <wp:extent cx="6108700" cy="4537075"/>
            <wp:effectExtent l="0" t="0" r="6350" b="0"/>
            <wp:wrapNone/>
            <wp:docPr id="873264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264406" name=""/>
                    <pic:cNvPicPr/>
                  </pic:nvPicPr>
                  <pic:blipFill>
                    <a:blip r:embed="rId16">
                      <a:extLst>
                        <a:ext uri="{28A0092B-C50C-407E-A947-70E740481C1C}">
                          <a14:useLocalDpi xmlns:a14="http://schemas.microsoft.com/office/drawing/2010/main" val="0"/>
                        </a:ext>
                      </a:extLst>
                    </a:blip>
                    <a:stretch>
                      <a:fillRect/>
                    </a:stretch>
                  </pic:blipFill>
                  <pic:spPr>
                    <a:xfrm>
                      <a:off x="0" y="0"/>
                      <a:ext cx="6108700" cy="4537075"/>
                    </a:xfrm>
                    <a:prstGeom prst="rect">
                      <a:avLst/>
                    </a:prstGeom>
                  </pic:spPr>
                </pic:pic>
              </a:graphicData>
            </a:graphic>
            <wp14:sizeRelH relativeFrom="page">
              <wp14:pctWidth>0</wp14:pctWidth>
            </wp14:sizeRelH>
            <wp14:sizeRelV relativeFrom="page">
              <wp14:pctHeight>0</wp14:pctHeight>
            </wp14:sizeRelV>
          </wp:anchor>
        </w:drawing>
      </w:r>
    </w:p>
    <w:p w14:paraId="4E5A4141" w14:textId="11AB9004" w:rsidR="003C75E1" w:rsidRDefault="003C75E1" w:rsidP="004E2ED7">
      <w:pPr>
        <w:widowControl w:val="0"/>
        <w:pBdr>
          <w:top w:val="nil"/>
          <w:left w:val="nil"/>
          <w:bottom w:val="nil"/>
          <w:right w:val="nil"/>
          <w:between w:val="nil"/>
        </w:pBdr>
        <w:rPr>
          <w:noProof/>
        </w:rPr>
      </w:pPr>
    </w:p>
    <w:p w14:paraId="75433908" w14:textId="77777777" w:rsidR="003C75E1" w:rsidRDefault="003C75E1" w:rsidP="004E2ED7">
      <w:pPr>
        <w:widowControl w:val="0"/>
        <w:pBdr>
          <w:top w:val="nil"/>
          <w:left w:val="nil"/>
          <w:bottom w:val="nil"/>
          <w:right w:val="nil"/>
          <w:between w:val="nil"/>
        </w:pBdr>
        <w:rPr>
          <w:noProof/>
        </w:rPr>
      </w:pPr>
    </w:p>
    <w:p w14:paraId="41557233" w14:textId="75EFA25D" w:rsidR="003C75E1" w:rsidRDefault="003C75E1" w:rsidP="004E2ED7">
      <w:pPr>
        <w:widowControl w:val="0"/>
        <w:pBdr>
          <w:top w:val="nil"/>
          <w:left w:val="nil"/>
          <w:bottom w:val="nil"/>
          <w:right w:val="nil"/>
          <w:between w:val="nil"/>
        </w:pBdr>
        <w:rPr>
          <w:noProof/>
        </w:rPr>
      </w:pPr>
    </w:p>
    <w:p w14:paraId="0A9ECF25" w14:textId="1D5FB503" w:rsidR="003C75E1" w:rsidRDefault="003C75E1" w:rsidP="004E2ED7">
      <w:pPr>
        <w:widowControl w:val="0"/>
        <w:pBdr>
          <w:top w:val="nil"/>
          <w:left w:val="nil"/>
          <w:bottom w:val="nil"/>
          <w:right w:val="nil"/>
          <w:between w:val="nil"/>
        </w:pBdr>
        <w:rPr>
          <w:noProof/>
        </w:rPr>
      </w:pPr>
    </w:p>
    <w:p w14:paraId="2AB66AFF" w14:textId="77777777" w:rsidR="003C75E1" w:rsidRDefault="003C75E1" w:rsidP="004E2ED7">
      <w:pPr>
        <w:widowControl w:val="0"/>
        <w:pBdr>
          <w:top w:val="nil"/>
          <w:left w:val="nil"/>
          <w:bottom w:val="nil"/>
          <w:right w:val="nil"/>
          <w:between w:val="nil"/>
        </w:pBdr>
        <w:rPr>
          <w:noProof/>
        </w:rPr>
      </w:pPr>
    </w:p>
    <w:p w14:paraId="59064C57" w14:textId="57635819" w:rsidR="003C75E1" w:rsidRDefault="003C75E1" w:rsidP="004E2ED7">
      <w:pPr>
        <w:widowControl w:val="0"/>
        <w:pBdr>
          <w:top w:val="nil"/>
          <w:left w:val="nil"/>
          <w:bottom w:val="nil"/>
          <w:right w:val="nil"/>
          <w:between w:val="nil"/>
        </w:pBdr>
        <w:rPr>
          <w:noProof/>
        </w:rPr>
      </w:pPr>
    </w:p>
    <w:p w14:paraId="0E2AA8B9" w14:textId="4F487202" w:rsidR="003C75E1" w:rsidRDefault="003C75E1" w:rsidP="004E2ED7">
      <w:pPr>
        <w:widowControl w:val="0"/>
        <w:pBdr>
          <w:top w:val="nil"/>
          <w:left w:val="nil"/>
          <w:bottom w:val="nil"/>
          <w:right w:val="nil"/>
          <w:between w:val="nil"/>
        </w:pBdr>
        <w:rPr>
          <w:noProof/>
        </w:rPr>
      </w:pPr>
    </w:p>
    <w:p w14:paraId="6FF69D23" w14:textId="4DF6B542" w:rsidR="003C75E1" w:rsidRDefault="003C75E1" w:rsidP="004E2ED7">
      <w:pPr>
        <w:widowControl w:val="0"/>
        <w:pBdr>
          <w:top w:val="nil"/>
          <w:left w:val="nil"/>
          <w:bottom w:val="nil"/>
          <w:right w:val="nil"/>
          <w:between w:val="nil"/>
        </w:pBdr>
        <w:rPr>
          <w:noProof/>
        </w:rPr>
      </w:pPr>
    </w:p>
    <w:p w14:paraId="4344177B" w14:textId="77777777" w:rsidR="003C75E1" w:rsidRDefault="003C75E1" w:rsidP="004E2ED7">
      <w:pPr>
        <w:widowControl w:val="0"/>
        <w:pBdr>
          <w:top w:val="nil"/>
          <w:left w:val="nil"/>
          <w:bottom w:val="nil"/>
          <w:right w:val="nil"/>
          <w:between w:val="nil"/>
        </w:pBdr>
        <w:rPr>
          <w:noProof/>
        </w:rPr>
      </w:pPr>
    </w:p>
    <w:p w14:paraId="58687FCF" w14:textId="55B58BBF" w:rsidR="003C75E1" w:rsidRDefault="003C75E1" w:rsidP="004E2ED7">
      <w:pPr>
        <w:widowControl w:val="0"/>
        <w:pBdr>
          <w:top w:val="nil"/>
          <w:left w:val="nil"/>
          <w:bottom w:val="nil"/>
          <w:right w:val="nil"/>
          <w:between w:val="nil"/>
        </w:pBdr>
        <w:rPr>
          <w:noProof/>
        </w:rPr>
      </w:pPr>
    </w:p>
    <w:p w14:paraId="4E12295D" w14:textId="0A5F0852" w:rsidR="003C75E1" w:rsidRDefault="003C75E1" w:rsidP="004E2ED7">
      <w:pPr>
        <w:widowControl w:val="0"/>
        <w:pBdr>
          <w:top w:val="nil"/>
          <w:left w:val="nil"/>
          <w:bottom w:val="nil"/>
          <w:right w:val="nil"/>
          <w:between w:val="nil"/>
        </w:pBdr>
        <w:rPr>
          <w:noProof/>
        </w:rPr>
      </w:pPr>
    </w:p>
    <w:p w14:paraId="3B67C8D6" w14:textId="544B36D6" w:rsidR="003C75E1" w:rsidRDefault="003C75E1" w:rsidP="004E2ED7">
      <w:pPr>
        <w:widowControl w:val="0"/>
        <w:pBdr>
          <w:top w:val="nil"/>
          <w:left w:val="nil"/>
          <w:bottom w:val="nil"/>
          <w:right w:val="nil"/>
          <w:between w:val="nil"/>
        </w:pBdr>
        <w:rPr>
          <w:noProof/>
        </w:rPr>
      </w:pPr>
    </w:p>
    <w:p w14:paraId="0F4626E7" w14:textId="0541798F" w:rsidR="00BA5B9E" w:rsidRPr="003E171D" w:rsidRDefault="00BA5B9E" w:rsidP="00BA5B9E">
      <w:pPr>
        <w:pStyle w:val="Caption"/>
        <w:rPr>
          <w:b/>
          <w:bCs/>
          <w:i w:val="0"/>
          <w:iCs w:val="0"/>
          <w:color w:val="auto"/>
          <w:sz w:val="24"/>
          <w:szCs w:val="24"/>
        </w:rPr>
      </w:pPr>
      <w:bookmarkStart w:id="9" w:name="_Toc235390723"/>
      <w:r w:rsidRPr="003E171D">
        <w:rPr>
          <w:b/>
          <w:bCs/>
          <w:i w:val="0"/>
          <w:iCs w:val="0"/>
          <w:color w:val="auto"/>
          <w:sz w:val="24"/>
          <w:szCs w:val="24"/>
        </w:rPr>
        <w:t xml:space="preserve">Figure </w:t>
      </w:r>
      <w:r w:rsidRPr="003E171D">
        <w:rPr>
          <w:b/>
          <w:bCs/>
          <w:i w:val="0"/>
          <w:iCs w:val="0"/>
          <w:color w:val="auto"/>
          <w:sz w:val="24"/>
          <w:szCs w:val="24"/>
        </w:rPr>
        <w:fldChar w:fldCharType="begin"/>
      </w:r>
      <w:r w:rsidRPr="003E171D">
        <w:rPr>
          <w:b/>
          <w:bCs/>
          <w:i w:val="0"/>
          <w:iCs w:val="0"/>
          <w:color w:val="auto"/>
          <w:sz w:val="24"/>
          <w:szCs w:val="24"/>
        </w:rPr>
        <w:instrText xml:space="preserve"> SEQ Figure \* ARABIC </w:instrText>
      </w:r>
      <w:r w:rsidRPr="003E171D">
        <w:rPr>
          <w:b/>
          <w:bCs/>
          <w:i w:val="0"/>
          <w:iCs w:val="0"/>
          <w:color w:val="auto"/>
          <w:sz w:val="24"/>
          <w:szCs w:val="24"/>
        </w:rPr>
        <w:fldChar w:fldCharType="separate"/>
      </w:r>
      <w:r w:rsidR="008248B6" w:rsidRPr="003E171D">
        <w:rPr>
          <w:b/>
          <w:bCs/>
          <w:i w:val="0"/>
          <w:iCs w:val="0"/>
          <w:noProof/>
          <w:color w:val="auto"/>
          <w:sz w:val="24"/>
          <w:szCs w:val="24"/>
        </w:rPr>
        <w:t>1</w:t>
      </w:r>
      <w:r w:rsidRPr="003E171D">
        <w:rPr>
          <w:b/>
          <w:bCs/>
          <w:i w:val="0"/>
          <w:iCs w:val="0"/>
          <w:color w:val="auto"/>
          <w:sz w:val="24"/>
          <w:szCs w:val="24"/>
        </w:rPr>
        <w:fldChar w:fldCharType="end"/>
      </w:r>
      <w:r w:rsidR="00201466">
        <w:rPr>
          <w:b/>
          <w:bCs/>
          <w:i w:val="0"/>
          <w:iCs w:val="0"/>
          <w:color w:val="auto"/>
          <w:sz w:val="24"/>
          <w:szCs w:val="24"/>
        </w:rPr>
        <w:t>.</w:t>
      </w:r>
      <w:r w:rsidRPr="003E171D">
        <w:rPr>
          <w:b/>
          <w:bCs/>
          <w:i w:val="0"/>
          <w:iCs w:val="0"/>
          <w:color w:val="auto"/>
          <w:sz w:val="24"/>
          <w:szCs w:val="24"/>
        </w:rPr>
        <w:t xml:space="preserve"> </w:t>
      </w:r>
      <w:r w:rsidRPr="00096BD8">
        <w:rPr>
          <w:i w:val="0"/>
          <w:iCs w:val="0"/>
          <w:color w:val="auto"/>
          <w:sz w:val="24"/>
          <w:szCs w:val="24"/>
        </w:rPr>
        <w:t>Internal caudex morphology and chamber differentiation in myrmecophytes.</w:t>
      </w:r>
      <w:bookmarkEnd w:id="9"/>
    </w:p>
    <w:p w14:paraId="1B0F6A69" w14:textId="61AACA6C" w:rsidR="00594D19" w:rsidRPr="00A92B06" w:rsidRDefault="00594D19" w:rsidP="004E2ED7">
      <w:pPr>
        <w:widowControl w:val="0"/>
        <w:pBdr>
          <w:top w:val="nil"/>
          <w:left w:val="nil"/>
          <w:bottom w:val="nil"/>
          <w:right w:val="nil"/>
          <w:between w:val="nil"/>
        </w:pBdr>
        <w:rPr>
          <w:rFonts w:eastAsia="Times New Roman" w:cs="Times New Roman"/>
          <w:szCs w:val="24"/>
        </w:rPr>
      </w:pPr>
      <w:r w:rsidRPr="00A92B06">
        <w:rPr>
          <w:rFonts w:eastAsia="Times New Roman" w:cs="Times New Roman"/>
          <w:szCs w:val="24"/>
        </w:rPr>
        <w:t xml:space="preserve">Cross-sections of the tubers of </w:t>
      </w:r>
      <w:proofErr w:type="spellStart"/>
      <w:r w:rsidRPr="00A92B06">
        <w:rPr>
          <w:rFonts w:eastAsia="Times New Roman" w:cs="Times New Roman"/>
          <w:i/>
          <w:iCs/>
          <w:szCs w:val="24"/>
        </w:rPr>
        <w:t>Myrmecodia</w:t>
      </w:r>
      <w:proofErr w:type="spellEnd"/>
      <w:r w:rsidRPr="00A92B06">
        <w:rPr>
          <w:rFonts w:eastAsia="Times New Roman" w:cs="Times New Roman"/>
          <w:i/>
          <w:iCs/>
          <w:szCs w:val="24"/>
        </w:rPr>
        <w:t xml:space="preserve"> </w:t>
      </w:r>
      <w:proofErr w:type="spellStart"/>
      <w:r w:rsidRPr="00A92B06">
        <w:rPr>
          <w:rFonts w:eastAsia="Times New Roman" w:cs="Times New Roman"/>
          <w:i/>
          <w:iCs/>
          <w:szCs w:val="24"/>
        </w:rPr>
        <w:t>beccarii</w:t>
      </w:r>
      <w:proofErr w:type="spellEnd"/>
      <w:r w:rsidRPr="00A92B06">
        <w:rPr>
          <w:rFonts w:eastAsia="Times New Roman" w:cs="Times New Roman"/>
          <w:szCs w:val="24"/>
        </w:rPr>
        <w:t xml:space="preserve"> (left) and </w:t>
      </w:r>
      <w:proofErr w:type="spellStart"/>
      <w:r w:rsidRPr="00A92B06">
        <w:rPr>
          <w:rFonts w:eastAsia="Times New Roman" w:cs="Times New Roman"/>
          <w:i/>
          <w:iCs/>
          <w:szCs w:val="24"/>
        </w:rPr>
        <w:t>Hydnophytum</w:t>
      </w:r>
      <w:proofErr w:type="spellEnd"/>
      <w:r w:rsidRPr="00A92B06">
        <w:rPr>
          <w:rFonts w:eastAsia="Times New Roman" w:cs="Times New Roman"/>
          <w:i/>
          <w:iCs/>
          <w:szCs w:val="24"/>
        </w:rPr>
        <w:t xml:space="preserve"> </w:t>
      </w:r>
      <w:proofErr w:type="spellStart"/>
      <w:r w:rsidRPr="00A92B06">
        <w:rPr>
          <w:rFonts w:eastAsia="Times New Roman" w:cs="Times New Roman"/>
          <w:i/>
          <w:iCs/>
          <w:szCs w:val="24"/>
        </w:rPr>
        <w:t>moseleyanum</w:t>
      </w:r>
      <w:proofErr w:type="spellEnd"/>
      <w:r w:rsidRPr="00A92B06">
        <w:rPr>
          <w:rFonts w:eastAsia="Times New Roman" w:cs="Times New Roman"/>
          <w:szCs w:val="24"/>
        </w:rPr>
        <w:t xml:space="preserve"> (right) showing the inner labyrinth systems. Arrows indicate the main structural components: the protective outer tuber tissue, the dark-walled warty chambers utili</w:t>
      </w:r>
      <w:r w:rsidR="008330DB">
        <w:rPr>
          <w:rFonts w:eastAsia="Times New Roman" w:cs="Times New Roman"/>
          <w:szCs w:val="24"/>
        </w:rPr>
        <w:t>s</w:t>
      </w:r>
      <w:r w:rsidRPr="00A92B06">
        <w:rPr>
          <w:rFonts w:eastAsia="Times New Roman" w:cs="Times New Roman"/>
          <w:szCs w:val="24"/>
        </w:rPr>
        <w:t>ed for nutrient absorption from ant waste, and the smooth-walled chambers typically utili</w:t>
      </w:r>
      <w:r w:rsidR="008330DB">
        <w:rPr>
          <w:rFonts w:eastAsia="Times New Roman" w:cs="Times New Roman"/>
          <w:szCs w:val="24"/>
        </w:rPr>
        <w:t>s</w:t>
      </w:r>
      <w:r w:rsidRPr="00A92B06">
        <w:rPr>
          <w:rFonts w:eastAsia="Times New Roman" w:cs="Times New Roman"/>
          <w:szCs w:val="24"/>
        </w:rPr>
        <w:t>ed by ants for nesting and brood rearing.</w:t>
      </w:r>
    </w:p>
    <w:p w14:paraId="0000004A" w14:textId="0B4A3558" w:rsidR="00E420E3" w:rsidRPr="00A92B06" w:rsidRDefault="008E5528" w:rsidP="004E2ED7">
      <w:pPr>
        <w:widowControl w:val="0"/>
        <w:pBdr>
          <w:top w:val="nil"/>
          <w:left w:val="nil"/>
          <w:bottom w:val="nil"/>
          <w:right w:val="nil"/>
          <w:between w:val="nil"/>
        </w:pBdr>
        <w:tabs>
          <w:tab w:val="left" w:pos="8647"/>
        </w:tabs>
        <w:rPr>
          <w:rFonts w:eastAsia="Times New Roman" w:cs="Times New Roman"/>
          <w:szCs w:val="24"/>
        </w:rPr>
      </w:pPr>
      <w:proofErr w:type="spellStart"/>
      <w:r w:rsidRPr="00A92B06">
        <w:rPr>
          <w:rFonts w:eastAsia="Times New Roman" w:cs="Times New Roman"/>
          <w:szCs w:val="24"/>
        </w:rPr>
        <w:t>Hydnophytinae</w:t>
      </w:r>
      <w:proofErr w:type="spellEnd"/>
      <w:r w:rsidRPr="00A92B06">
        <w:rPr>
          <w:rFonts w:eastAsia="Times New Roman" w:cs="Times New Roman"/>
          <w:szCs w:val="24"/>
        </w:rPr>
        <w:t xml:space="preserve"> (</w:t>
      </w:r>
      <w:proofErr w:type="spellStart"/>
      <w:r w:rsidRPr="00A92B06">
        <w:rPr>
          <w:rFonts w:eastAsia="Times New Roman" w:cs="Times New Roman"/>
          <w:szCs w:val="24"/>
        </w:rPr>
        <w:t>Rubiaceae</w:t>
      </w:r>
      <w:proofErr w:type="spellEnd"/>
      <w:r w:rsidRPr="00A92B06">
        <w:rPr>
          <w:rFonts w:eastAsia="Times New Roman" w:cs="Times New Roman"/>
          <w:szCs w:val="24"/>
        </w:rPr>
        <w:t>) are epiphytic ant-plants distributed across South-East Asia, New Guinea and the Pacific. All species develop a swollen, tuber-like stem (Domatium) that is naturally hollowed into a network of interconnected chambers</w:t>
      </w:r>
      <w:r w:rsidR="00594D19" w:rsidRPr="00A92B06">
        <w:rPr>
          <w:rFonts w:eastAsia="Times New Roman" w:cs="Times New Roman"/>
          <w:szCs w:val="24"/>
        </w:rPr>
        <w:t xml:space="preserve"> (Fig</w:t>
      </w:r>
      <w:r w:rsidR="00C958E2">
        <w:rPr>
          <w:rFonts w:eastAsia="Times New Roman" w:cs="Times New Roman"/>
          <w:szCs w:val="24"/>
        </w:rPr>
        <w:t>. 1</w:t>
      </w:r>
      <w:r w:rsidR="006D4FC7" w:rsidRPr="00A92B06">
        <w:rPr>
          <w:rFonts w:eastAsia="Times New Roman" w:cs="Times New Roman"/>
          <w:szCs w:val="24"/>
        </w:rPr>
        <w:t>)</w:t>
      </w:r>
      <w:r w:rsidRPr="00A92B06">
        <w:rPr>
          <w:rFonts w:eastAsia="Times New Roman" w:cs="Times New Roman"/>
          <w:szCs w:val="24"/>
        </w:rPr>
        <w:t xml:space="preserve">. Some chambers have a smooth lining and serve purely as nesting space for ants, while others are lined with dense, absorptive warty structures known where ants deposit waste, debris and prey remains into these chambers, and the warty tissue absorb the resulting nitrogen and other nutrients directly from the decomposing material, forming the structural basis of the nutritional mutualism (Huxley and Jebb, 1993; Chomicki and Renner, 2015). Species vary widely in how reliant they are on this </w:t>
      </w:r>
      <w:r w:rsidR="005270D0" w:rsidRPr="00A92B06">
        <w:rPr>
          <w:rFonts w:eastAsia="Times New Roman" w:cs="Times New Roman"/>
          <w:szCs w:val="24"/>
        </w:rPr>
        <w:t>relationship,</w:t>
      </w:r>
      <w:r w:rsidRPr="00A92B06">
        <w:rPr>
          <w:rFonts w:eastAsia="Times New Roman" w:cs="Times New Roman"/>
          <w:szCs w:val="24"/>
        </w:rPr>
        <w:t xml:space="preserve"> and part of their survival is anchoring themselves to trees, however little to </w:t>
      </w:r>
      <w:r w:rsidRPr="00A92B06">
        <w:rPr>
          <w:rFonts w:eastAsia="Times New Roman" w:cs="Times New Roman"/>
          <w:szCs w:val="24"/>
        </w:rPr>
        <w:lastRenderedPageBreak/>
        <w:t xml:space="preserve">no research has been done to say how this has anchoring mechanism </w:t>
      </w:r>
      <w:r w:rsidR="005270D0" w:rsidRPr="00A92B06">
        <w:rPr>
          <w:rFonts w:eastAsia="Times New Roman" w:cs="Times New Roman"/>
          <w:szCs w:val="24"/>
        </w:rPr>
        <w:t>functions and</w:t>
      </w:r>
      <w:r w:rsidRPr="00A92B06">
        <w:rPr>
          <w:rFonts w:eastAsia="Times New Roman" w:cs="Times New Roman"/>
          <w:szCs w:val="24"/>
        </w:rPr>
        <w:t xml:space="preserve"> remains suggestive in function rather than absolute. </w:t>
      </w:r>
      <w:proofErr w:type="spellStart"/>
      <w:r w:rsidRPr="002B7444">
        <w:rPr>
          <w:rFonts w:eastAsia="Times New Roman" w:cs="Times New Roman"/>
          <w:i/>
          <w:iCs/>
          <w:szCs w:val="24"/>
        </w:rPr>
        <w:t>Myrmecodia</w:t>
      </w:r>
      <w:proofErr w:type="spellEnd"/>
      <w:r w:rsidRPr="002B7444">
        <w:rPr>
          <w:rFonts w:eastAsia="Times New Roman" w:cs="Times New Roman"/>
          <w:i/>
          <w:iCs/>
          <w:szCs w:val="24"/>
        </w:rPr>
        <w:t xml:space="preserve"> </w:t>
      </w:r>
      <w:proofErr w:type="spellStart"/>
      <w:r w:rsidRPr="002B7444">
        <w:rPr>
          <w:rFonts w:eastAsia="Times New Roman" w:cs="Times New Roman"/>
          <w:i/>
          <w:iCs/>
          <w:szCs w:val="24"/>
        </w:rPr>
        <w:t>beccarii</w:t>
      </w:r>
      <w:proofErr w:type="spellEnd"/>
      <w:r w:rsidRPr="00A92B06">
        <w:rPr>
          <w:rFonts w:eastAsia="Times New Roman" w:cs="Times New Roman"/>
          <w:szCs w:val="24"/>
        </w:rPr>
        <w:t xml:space="preserve"> operates as an obligate mutualist, strictly relying on its symbiotic ant partner (</w:t>
      </w:r>
      <w:proofErr w:type="spellStart"/>
      <w:r w:rsidRPr="003C6F88">
        <w:rPr>
          <w:rFonts w:eastAsia="Times New Roman" w:cs="Times New Roman"/>
          <w:i/>
          <w:iCs/>
          <w:szCs w:val="24"/>
        </w:rPr>
        <w:t>Philidris</w:t>
      </w:r>
      <w:proofErr w:type="spellEnd"/>
      <w:r w:rsidRPr="003C6F88">
        <w:rPr>
          <w:rFonts w:eastAsia="Times New Roman" w:cs="Times New Roman"/>
          <w:i/>
          <w:iCs/>
          <w:szCs w:val="24"/>
        </w:rPr>
        <w:t xml:space="preserve"> cordata</w:t>
      </w:r>
      <w:r w:rsidRPr="00A92B06">
        <w:rPr>
          <w:rFonts w:eastAsia="Times New Roman" w:cs="Times New Roman"/>
          <w:szCs w:val="24"/>
        </w:rPr>
        <w:t xml:space="preserve">) for vital nitrogen and nutrient assimilation within nutrient-depleted mangrove habitats (Volp et al., 2022). Stable isotope tracking confirms that this tight nutritional reliance creates an obligate bond necessary for the plant's survival in the wild (Volp et al., 2022). Conversely, </w:t>
      </w:r>
      <w:proofErr w:type="spellStart"/>
      <w:r w:rsidRPr="003C6F88">
        <w:rPr>
          <w:rFonts w:eastAsia="Times New Roman" w:cs="Times New Roman"/>
          <w:i/>
          <w:iCs/>
          <w:szCs w:val="24"/>
        </w:rPr>
        <w:t>Hydnophytum</w:t>
      </w:r>
      <w:proofErr w:type="spellEnd"/>
      <w:r w:rsidRPr="003C6F88">
        <w:rPr>
          <w:rFonts w:eastAsia="Times New Roman" w:cs="Times New Roman"/>
          <w:i/>
          <w:iCs/>
          <w:szCs w:val="24"/>
        </w:rPr>
        <w:t xml:space="preserve"> </w:t>
      </w:r>
      <w:proofErr w:type="spellStart"/>
      <w:r w:rsidRPr="003C6F88">
        <w:rPr>
          <w:rFonts w:eastAsia="Times New Roman" w:cs="Times New Roman"/>
          <w:i/>
          <w:iCs/>
          <w:szCs w:val="24"/>
        </w:rPr>
        <w:t>moseleyanum</w:t>
      </w:r>
      <w:proofErr w:type="spellEnd"/>
      <w:r w:rsidRPr="00A92B06">
        <w:rPr>
          <w:rFonts w:eastAsia="Times New Roman" w:cs="Times New Roman"/>
          <w:szCs w:val="24"/>
        </w:rPr>
        <w:t xml:space="preserve"> displays a facultative strategy, maintaining a flexible relationship where it interfaces with broad, opportunistic, and unpredictable multi-species ant networks rather than a single specific partner (Jebb, 1991). Phylogenetic and structural mapping across these genera confirms that while </w:t>
      </w:r>
      <w:r w:rsidRPr="003C6F88">
        <w:rPr>
          <w:rFonts w:eastAsia="Times New Roman" w:cs="Times New Roman"/>
          <w:i/>
          <w:iCs/>
          <w:szCs w:val="24"/>
        </w:rPr>
        <w:t xml:space="preserve">M. </w:t>
      </w:r>
      <w:proofErr w:type="spellStart"/>
      <w:r w:rsidRPr="003C6F88">
        <w:rPr>
          <w:rFonts w:eastAsia="Times New Roman" w:cs="Times New Roman"/>
          <w:i/>
          <w:iCs/>
          <w:szCs w:val="24"/>
        </w:rPr>
        <w:t>beccarii</w:t>
      </w:r>
      <w:proofErr w:type="spellEnd"/>
      <w:r w:rsidRPr="00A92B06">
        <w:rPr>
          <w:rFonts w:eastAsia="Times New Roman" w:cs="Times New Roman"/>
          <w:szCs w:val="24"/>
        </w:rPr>
        <w:t xml:space="preserve"> represents a highly speciali</w:t>
      </w:r>
      <w:r w:rsidR="00516242">
        <w:rPr>
          <w:rFonts w:eastAsia="Times New Roman" w:cs="Times New Roman"/>
          <w:szCs w:val="24"/>
        </w:rPr>
        <w:t>s</w:t>
      </w:r>
      <w:r w:rsidRPr="00A92B06">
        <w:rPr>
          <w:rFonts w:eastAsia="Times New Roman" w:cs="Times New Roman"/>
          <w:szCs w:val="24"/>
        </w:rPr>
        <w:t xml:space="preserve">ed, derived obligate lineage, </w:t>
      </w:r>
      <w:r w:rsidRPr="003C6F88">
        <w:rPr>
          <w:rFonts w:eastAsia="Times New Roman" w:cs="Times New Roman"/>
          <w:i/>
          <w:iCs/>
          <w:szCs w:val="24"/>
        </w:rPr>
        <w:t xml:space="preserve">H. </w:t>
      </w:r>
      <w:proofErr w:type="spellStart"/>
      <w:r w:rsidRPr="003C6F88">
        <w:rPr>
          <w:rFonts w:eastAsia="Times New Roman" w:cs="Times New Roman"/>
          <w:i/>
          <w:iCs/>
          <w:szCs w:val="24"/>
        </w:rPr>
        <w:t>moseleyanum</w:t>
      </w:r>
      <w:proofErr w:type="spellEnd"/>
      <w:r w:rsidRPr="00A92B06">
        <w:rPr>
          <w:rFonts w:eastAsia="Times New Roman" w:cs="Times New Roman"/>
          <w:szCs w:val="24"/>
        </w:rPr>
        <w:t xml:space="preserve"> retains generalist, facultative tendencies that enable it to occupy flexible niches without a strict reliance on a permanent resident colony (Chomicki et al., 2019).</w:t>
      </w:r>
    </w:p>
    <w:p w14:paraId="6E27A3E9" w14:textId="77777777" w:rsidR="00126014" w:rsidRDefault="008E5528" w:rsidP="00A92B06">
      <w:pPr>
        <w:widowControl w:val="0"/>
        <w:pBdr>
          <w:top w:val="nil"/>
          <w:left w:val="nil"/>
          <w:bottom w:val="nil"/>
          <w:right w:val="nil"/>
          <w:between w:val="nil"/>
        </w:pBdr>
        <w:tabs>
          <w:tab w:val="left" w:pos="8931"/>
        </w:tabs>
        <w:rPr>
          <w:rFonts w:eastAsia="Times New Roman" w:cs="Times New Roman"/>
          <w:szCs w:val="24"/>
        </w:rPr>
      </w:pPr>
      <w:r w:rsidRPr="00A92B06">
        <w:rPr>
          <w:rFonts w:eastAsia="Times New Roman" w:cs="Times New Roman"/>
          <w:szCs w:val="24"/>
        </w:rPr>
        <w:t xml:space="preserve">Previous work on the </w:t>
      </w:r>
      <w:proofErr w:type="spellStart"/>
      <w:r w:rsidRPr="00A92B06">
        <w:rPr>
          <w:rFonts w:eastAsia="Times New Roman" w:cs="Times New Roman"/>
          <w:szCs w:val="24"/>
        </w:rPr>
        <w:t>Hydnophytinae</w:t>
      </w:r>
      <w:proofErr w:type="spellEnd"/>
      <w:r w:rsidRPr="00A92B06">
        <w:rPr>
          <w:rFonts w:eastAsia="Times New Roman" w:cs="Times New Roman"/>
          <w:szCs w:val="24"/>
        </w:rPr>
        <w:t xml:space="preserve"> has focused mainly on describing this morphological and ecological diversity and on reconstructing its evolutionary history using molecular phylogenetics, establishing the number and direction of transitions between non-myrmecophytic, facultative and obligate states (Chomicki and Renner, 2015; Chomicki and Renner, 2016b; Chomicki and Renner, 2017); however, the genomic, transcriptomic and physiological mechanisms underlying these transitions, remains almost entirely unexplored.</w:t>
      </w:r>
    </w:p>
    <w:p w14:paraId="0000004B" w14:textId="7CAD3A4E" w:rsidR="00E420E3" w:rsidRPr="00A92B06" w:rsidRDefault="008E5528" w:rsidP="00A92B06">
      <w:pPr>
        <w:widowControl w:val="0"/>
        <w:pBdr>
          <w:top w:val="nil"/>
          <w:left w:val="nil"/>
          <w:bottom w:val="nil"/>
          <w:right w:val="nil"/>
          <w:between w:val="nil"/>
        </w:pBdr>
        <w:tabs>
          <w:tab w:val="left" w:pos="8931"/>
        </w:tabs>
        <w:rPr>
          <w:rFonts w:eastAsia="Times New Roman" w:cs="Times New Roman"/>
          <w:szCs w:val="24"/>
        </w:rPr>
      </w:pPr>
      <w:r w:rsidRPr="00A92B06">
        <w:rPr>
          <w:rFonts w:eastAsia="Times New Roman" w:cs="Times New Roman"/>
          <w:szCs w:val="24"/>
        </w:rPr>
        <w:t xml:space="preserve">The literature on </w:t>
      </w:r>
      <w:r w:rsidRPr="00A92B06">
        <w:rPr>
          <w:rFonts w:eastAsia="Times New Roman" w:cs="Times New Roman"/>
          <w:i/>
          <w:iCs/>
          <w:szCs w:val="24"/>
        </w:rPr>
        <w:t xml:space="preserve">M. </w:t>
      </w:r>
      <w:proofErr w:type="spellStart"/>
      <w:r w:rsidRPr="00A92B06">
        <w:rPr>
          <w:rFonts w:eastAsia="Times New Roman" w:cs="Times New Roman"/>
          <w:i/>
          <w:iCs/>
          <w:szCs w:val="24"/>
        </w:rPr>
        <w:t>beccarii</w:t>
      </w:r>
      <w:proofErr w:type="spellEnd"/>
      <w:r w:rsidRPr="00A92B06">
        <w:rPr>
          <w:rFonts w:eastAsia="Times New Roman" w:cs="Times New Roman"/>
          <w:szCs w:val="24"/>
        </w:rPr>
        <w:t xml:space="preserve"> and </w:t>
      </w:r>
      <w:r w:rsidRPr="00A92B06">
        <w:rPr>
          <w:rFonts w:eastAsia="Times New Roman" w:cs="Times New Roman"/>
          <w:i/>
          <w:iCs/>
          <w:szCs w:val="24"/>
        </w:rPr>
        <w:t xml:space="preserve">H. </w:t>
      </w:r>
      <w:proofErr w:type="spellStart"/>
      <w:r w:rsidRPr="00A92B06">
        <w:rPr>
          <w:rFonts w:eastAsia="Times New Roman" w:cs="Times New Roman"/>
          <w:i/>
          <w:iCs/>
          <w:szCs w:val="24"/>
        </w:rPr>
        <w:t>moseleyanum</w:t>
      </w:r>
      <w:proofErr w:type="spellEnd"/>
      <w:r w:rsidRPr="00A92B06">
        <w:rPr>
          <w:rFonts w:eastAsia="Times New Roman" w:cs="Times New Roman"/>
          <w:szCs w:val="24"/>
        </w:rPr>
        <w:t xml:space="preserve"> has received different research focus meaning a comparison of research interests between the two is not possible. Currently, </w:t>
      </w:r>
      <w:r w:rsidRPr="00A92B06">
        <w:rPr>
          <w:rFonts w:eastAsia="Times New Roman" w:cs="Times New Roman"/>
          <w:i/>
          <w:iCs/>
          <w:szCs w:val="24"/>
        </w:rPr>
        <w:t xml:space="preserve">M. </w:t>
      </w:r>
      <w:proofErr w:type="spellStart"/>
      <w:r w:rsidRPr="00A92B06">
        <w:rPr>
          <w:rFonts w:eastAsia="Times New Roman" w:cs="Times New Roman"/>
          <w:i/>
          <w:iCs/>
          <w:szCs w:val="24"/>
        </w:rPr>
        <w:t>beccarii</w:t>
      </w:r>
      <w:proofErr w:type="spellEnd"/>
      <w:r w:rsidRPr="00A92B06">
        <w:rPr>
          <w:rFonts w:eastAsia="Times New Roman" w:cs="Times New Roman"/>
          <w:i/>
          <w:iCs/>
          <w:szCs w:val="24"/>
        </w:rPr>
        <w:t xml:space="preserve"> </w:t>
      </w:r>
      <w:r w:rsidRPr="00A92B06">
        <w:rPr>
          <w:rFonts w:eastAsia="Times New Roman" w:cs="Times New Roman"/>
          <w:szCs w:val="24"/>
        </w:rPr>
        <w:t xml:space="preserve">has displayed a high partner specificity with the ant </w:t>
      </w:r>
      <w:proofErr w:type="spellStart"/>
      <w:r w:rsidRPr="00A92B06">
        <w:rPr>
          <w:rFonts w:eastAsia="Times New Roman" w:cs="Times New Roman"/>
          <w:i/>
          <w:iCs/>
          <w:szCs w:val="24"/>
        </w:rPr>
        <w:t>Philidris</w:t>
      </w:r>
      <w:proofErr w:type="spellEnd"/>
      <w:r w:rsidRPr="00A92B06">
        <w:rPr>
          <w:rFonts w:eastAsia="Times New Roman" w:cs="Times New Roman"/>
          <w:i/>
          <w:iCs/>
          <w:szCs w:val="24"/>
        </w:rPr>
        <w:t xml:space="preserve"> cordata </w:t>
      </w:r>
      <w:r w:rsidRPr="00A92B06">
        <w:rPr>
          <w:rFonts w:eastAsia="Times New Roman" w:cs="Times New Roman"/>
          <w:szCs w:val="24"/>
        </w:rPr>
        <w:t xml:space="preserve">(Dolichoderinae) (Volp &amp; Lach, 2019) that provides nitrogen directly to </w:t>
      </w:r>
      <w:r w:rsidRPr="00A92B06">
        <w:rPr>
          <w:rFonts w:eastAsia="Times New Roman" w:cs="Times New Roman"/>
          <w:i/>
          <w:iCs/>
          <w:szCs w:val="24"/>
        </w:rPr>
        <w:t xml:space="preserve">M. </w:t>
      </w:r>
      <w:proofErr w:type="spellStart"/>
      <w:r w:rsidRPr="00A92B06">
        <w:rPr>
          <w:rFonts w:eastAsia="Times New Roman" w:cs="Times New Roman"/>
          <w:i/>
          <w:iCs/>
          <w:szCs w:val="24"/>
        </w:rPr>
        <w:t>beccarii</w:t>
      </w:r>
      <w:proofErr w:type="spellEnd"/>
      <w:r w:rsidRPr="00A92B06">
        <w:rPr>
          <w:rFonts w:eastAsia="Times New Roman" w:cs="Times New Roman"/>
          <w:i/>
          <w:iCs/>
          <w:szCs w:val="24"/>
        </w:rPr>
        <w:t xml:space="preserve"> </w:t>
      </w:r>
      <w:r w:rsidRPr="00A92B06">
        <w:rPr>
          <w:rFonts w:eastAsia="Times New Roman" w:cs="Times New Roman"/>
          <w:szCs w:val="24"/>
        </w:rPr>
        <w:t xml:space="preserve">(Sommer, 1990). </w:t>
      </w:r>
      <w:r w:rsidR="005270D0" w:rsidRPr="00A92B06">
        <w:rPr>
          <w:rFonts w:eastAsia="Times New Roman" w:cs="Times New Roman"/>
          <w:szCs w:val="24"/>
        </w:rPr>
        <w:t>Whereas</w:t>
      </w:r>
      <w:r w:rsidRPr="00A92B06">
        <w:rPr>
          <w:rFonts w:eastAsia="Times New Roman" w:cs="Times New Roman"/>
          <w:szCs w:val="24"/>
        </w:rPr>
        <w:t xml:space="preserve"> </w:t>
      </w:r>
      <w:r w:rsidRPr="00A92B06">
        <w:rPr>
          <w:rFonts w:eastAsia="Times New Roman" w:cs="Times New Roman"/>
          <w:i/>
          <w:iCs/>
          <w:szCs w:val="24"/>
        </w:rPr>
        <w:t xml:space="preserve">H. </w:t>
      </w:r>
      <w:proofErr w:type="spellStart"/>
      <w:r w:rsidRPr="00A92B06">
        <w:rPr>
          <w:rFonts w:eastAsia="Times New Roman" w:cs="Times New Roman"/>
          <w:i/>
          <w:iCs/>
          <w:szCs w:val="24"/>
        </w:rPr>
        <w:t>moseleyanum</w:t>
      </w:r>
      <w:proofErr w:type="spellEnd"/>
      <w:r w:rsidRPr="00A92B06">
        <w:rPr>
          <w:rFonts w:eastAsia="Times New Roman" w:cs="Times New Roman"/>
          <w:szCs w:val="24"/>
        </w:rPr>
        <w:t xml:space="preserve"> has received focus on its morphology, developmental anatomy, and, often using it as a model for studying speciali</w:t>
      </w:r>
      <w:r w:rsidR="00516242">
        <w:rPr>
          <w:rFonts w:eastAsia="Times New Roman" w:cs="Times New Roman"/>
          <w:szCs w:val="24"/>
        </w:rPr>
        <w:t>s</w:t>
      </w:r>
      <w:r w:rsidRPr="00A92B06">
        <w:rPr>
          <w:rFonts w:eastAsia="Times New Roman" w:cs="Times New Roman"/>
          <w:szCs w:val="24"/>
        </w:rPr>
        <w:t xml:space="preserve">ed, tunnel-filled caudex structures. To date, no study has directly demonstrated the transfer of ant-derived nitrogen into the domatia of </w:t>
      </w:r>
      <w:r w:rsidRPr="00A92B06">
        <w:rPr>
          <w:rFonts w:eastAsia="Times New Roman" w:cs="Times New Roman"/>
          <w:i/>
          <w:iCs/>
          <w:szCs w:val="24"/>
        </w:rPr>
        <w:t>H</w:t>
      </w:r>
      <w:r w:rsidR="00997D5F">
        <w:rPr>
          <w:rFonts w:eastAsia="Times New Roman" w:cs="Times New Roman"/>
          <w:i/>
          <w:iCs/>
          <w:szCs w:val="24"/>
        </w:rPr>
        <w:t>.</w:t>
      </w:r>
      <w:r w:rsidRPr="00A92B06">
        <w:rPr>
          <w:rFonts w:eastAsia="Times New Roman" w:cs="Times New Roman"/>
          <w:i/>
          <w:iCs/>
          <w:szCs w:val="24"/>
        </w:rPr>
        <w:t xml:space="preserve"> </w:t>
      </w:r>
      <w:proofErr w:type="spellStart"/>
      <w:r w:rsidRPr="00A92B06">
        <w:rPr>
          <w:rFonts w:eastAsia="Times New Roman" w:cs="Times New Roman"/>
          <w:i/>
          <w:iCs/>
          <w:szCs w:val="24"/>
        </w:rPr>
        <w:t>moseleyanum</w:t>
      </w:r>
      <w:proofErr w:type="spellEnd"/>
      <w:r w:rsidRPr="00A92B06">
        <w:rPr>
          <w:rFonts w:eastAsia="Times New Roman" w:cs="Times New Roman"/>
          <w:szCs w:val="24"/>
        </w:rPr>
        <w:t xml:space="preserve">. Although stable isotope experiments have been conducted on </w:t>
      </w:r>
      <w:r w:rsidRPr="00A92B06">
        <w:rPr>
          <w:rFonts w:eastAsia="Times New Roman" w:cs="Times New Roman"/>
          <w:i/>
          <w:iCs/>
          <w:szCs w:val="24"/>
        </w:rPr>
        <w:t xml:space="preserve">H. </w:t>
      </w:r>
      <w:proofErr w:type="spellStart"/>
      <w:r w:rsidRPr="00A92B06">
        <w:rPr>
          <w:rFonts w:eastAsia="Times New Roman" w:cs="Times New Roman"/>
          <w:i/>
          <w:iCs/>
          <w:szCs w:val="24"/>
        </w:rPr>
        <w:t>moseleyanum</w:t>
      </w:r>
      <w:proofErr w:type="spellEnd"/>
      <w:r w:rsidRPr="00A92B06">
        <w:rPr>
          <w:rFonts w:eastAsia="Times New Roman" w:cs="Times New Roman"/>
          <w:szCs w:val="24"/>
        </w:rPr>
        <w:t xml:space="preserve"> by directly injecting 15N-labelled compounds into the domatia to investigate nutrient uptake by the plant. (Huxley, 1978).</w:t>
      </w:r>
    </w:p>
    <w:p w14:paraId="0000004C" w14:textId="77777777" w:rsidR="00E420E3" w:rsidRDefault="008E5528" w:rsidP="00FF69C9">
      <w:pPr>
        <w:pStyle w:val="Heading3"/>
      </w:pPr>
      <w:bookmarkStart w:id="10" w:name="_Toc235392958"/>
      <w:r>
        <w:t>1.6 Thesis aims</w:t>
      </w:r>
      <w:bookmarkEnd w:id="10"/>
    </w:p>
    <w:p w14:paraId="780F66AD" w14:textId="1D754A92" w:rsidR="00077AB1" w:rsidRDefault="008E5528" w:rsidP="00FF69C9">
      <w:pPr>
        <w:widowControl w:val="0"/>
        <w:pBdr>
          <w:top w:val="nil"/>
          <w:left w:val="nil"/>
          <w:bottom w:val="nil"/>
          <w:right w:val="nil"/>
          <w:between w:val="nil"/>
        </w:pBdr>
        <w:rPr>
          <w:rFonts w:eastAsia="Times New Roman" w:cs="Times New Roman"/>
          <w:szCs w:val="24"/>
        </w:rPr>
      </w:pPr>
      <w:r>
        <w:rPr>
          <w:rFonts w:eastAsia="Times New Roman" w:cs="Times New Roman"/>
          <w:szCs w:val="24"/>
        </w:rPr>
        <w:t xml:space="preserve">The key aim of this thesis is to understand the genomic basis of obligate dependence in </w:t>
      </w:r>
      <w:r w:rsidR="009F23E6">
        <w:rPr>
          <w:rFonts w:eastAsia="Times New Roman" w:cs="Times New Roman"/>
          <w:szCs w:val="24"/>
        </w:rPr>
        <w:t>ant-plant</w:t>
      </w:r>
      <w:r>
        <w:rPr>
          <w:rFonts w:eastAsia="Times New Roman" w:cs="Times New Roman"/>
          <w:szCs w:val="24"/>
        </w:rPr>
        <w:t xml:space="preserve"> nutritional mutualisms, using </w:t>
      </w:r>
      <w:proofErr w:type="spellStart"/>
      <w:r w:rsidRPr="00FF69C9">
        <w:rPr>
          <w:rFonts w:eastAsia="Times New Roman" w:cs="Times New Roman"/>
          <w:i/>
          <w:iCs/>
          <w:szCs w:val="24"/>
        </w:rPr>
        <w:t>Hydnophytum</w:t>
      </w:r>
      <w:proofErr w:type="spellEnd"/>
      <w:r w:rsidRPr="00FF69C9">
        <w:rPr>
          <w:rFonts w:eastAsia="Times New Roman" w:cs="Times New Roman"/>
          <w:i/>
          <w:iCs/>
          <w:szCs w:val="24"/>
        </w:rPr>
        <w:t xml:space="preserve"> </w:t>
      </w:r>
      <w:proofErr w:type="spellStart"/>
      <w:r w:rsidRPr="00FF69C9">
        <w:rPr>
          <w:rFonts w:eastAsia="Times New Roman" w:cs="Times New Roman"/>
          <w:i/>
          <w:iCs/>
          <w:szCs w:val="24"/>
        </w:rPr>
        <w:t>moseleyanum</w:t>
      </w:r>
      <w:proofErr w:type="spellEnd"/>
      <w:r>
        <w:rPr>
          <w:rFonts w:eastAsia="Times New Roman" w:cs="Times New Roman"/>
          <w:szCs w:val="24"/>
        </w:rPr>
        <w:t xml:space="preserve"> (facultative) and </w:t>
      </w:r>
      <w:proofErr w:type="spellStart"/>
      <w:r w:rsidRPr="00FF69C9">
        <w:rPr>
          <w:rFonts w:eastAsia="Times New Roman" w:cs="Times New Roman"/>
          <w:i/>
          <w:iCs/>
          <w:szCs w:val="24"/>
        </w:rPr>
        <w:t>Myrmecodia</w:t>
      </w:r>
      <w:proofErr w:type="spellEnd"/>
      <w:r w:rsidRPr="00FF69C9">
        <w:rPr>
          <w:rFonts w:eastAsia="Times New Roman" w:cs="Times New Roman"/>
          <w:i/>
          <w:iCs/>
          <w:szCs w:val="24"/>
        </w:rPr>
        <w:t xml:space="preserve"> </w:t>
      </w:r>
      <w:proofErr w:type="spellStart"/>
      <w:r w:rsidRPr="00FF69C9">
        <w:rPr>
          <w:rFonts w:eastAsia="Times New Roman" w:cs="Times New Roman"/>
          <w:i/>
          <w:iCs/>
          <w:szCs w:val="24"/>
        </w:rPr>
        <w:t>beccarii</w:t>
      </w:r>
      <w:proofErr w:type="spellEnd"/>
      <w:r>
        <w:rPr>
          <w:rFonts w:eastAsia="Times New Roman" w:cs="Times New Roman"/>
          <w:szCs w:val="24"/>
        </w:rPr>
        <w:t xml:space="preserve"> (obligate) as a comparative framework. Specifically, I ask: (</w:t>
      </w:r>
      <w:proofErr w:type="spellStart"/>
      <w:r>
        <w:rPr>
          <w:rFonts w:eastAsia="Times New Roman" w:cs="Times New Roman"/>
          <w:szCs w:val="24"/>
        </w:rPr>
        <w:t>i</w:t>
      </w:r>
      <w:proofErr w:type="spellEnd"/>
      <w:r>
        <w:rPr>
          <w:rFonts w:eastAsia="Times New Roman" w:cs="Times New Roman"/>
          <w:szCs w:val="24"/>
        </w:rPr>
        <w:t xml:space="preserve">) how do nitrogen-based </w:t>
      </w:r>
      <w:r>
        <w:rPr>
          <w:rFonts w:eastAsia="Times New Roman" w:cs="Times New Roman"/>
          <w:szCs w:val="24"/>
        </w:rPr>
        <w:lastRenderedPageBreak/>
        <w:t xml:space="preserve">nutritional mutualisms differ between facultative and obligate ant-plants? (ii) </w:t>
      </w:r>
      <w:r w:rsidRPr="00FF69C9">
        <w:rPr>
          <w:rFonts w:eastAsia="Times New Roman" w:cs="Times New Roman"/>
          <w:szCs w:val="24"/>
        </w:rPr>
        <w:t xml:space="preserve">can ant-derived nitrogen be experimentally traced into plant tissues? (iii) do patterns of nitrogen gene expression differ between tissue types? (iv) which genes are associated with nitrogen uptake in these mutualisms? (v) how is the expression of these genes altered in the presence of ants, and does this pattern of expression (ant-inducible vs. constitutive) differ between facultative and obligate ant-plants? </w:t>
      </w:r>
    </w:p>
    <w:p w14:paraId="0000004D" w14:textId="1A3B82A3" w:rsidR="00E420E3" w:rsidRPr="00FF69C9" w:rsidRDefault="008E5528" w:rsidP="00FF69C9">
      <w:pPr>
        <w:widowControl w:val="0"/>
        <w:pBdr>
          <w:top w:val="nil"/>
          <w:left w:val="nil"/>
          <w:bottom w:val="nil"/>
          <w:right w:val="nil"/>
          <w:between w:val="nil"/>
        </w:pBdr>
        <w:rPr>
          <w:rFonts w:eastAsia="Times New Roman" w:cs="Times New Roman"/>
          <w:szCs w:val="24"/>
        </w:rPr>
      </w:pPr>
      <w:r w:rsidRPr="00FF69C9">
        <w:rPr>
          <w:rFonts w:eastAsia="Times New Roman" w:cs="Times New Roman"/>
          <w:szCs w:val="24"/>
        </w:rPr>
        <w:t xml:space="preserve">To be able to address these questions, I developed a series of resources in two </w:t>
      </w:r>
      <w:proofErr w:type="spellStart"/>
      <w:r w:rsidRPr="00FF69C9">
        <w:rPr>
          <w:rFonts w:eastAsia="Times New Roman" w:cs="Times New Roman"/>
          <w:szCs w:val="24"/>
        </w:rPr>
        <w:t>Hydnophytinae</w:t>
      </w:r>
      <w:proofErr w:type="spellEnd"/>
      <w:r w:rsidRPr="00FF69C9">
        <w:rPr>
          <w:rFonts w:eastAsia="Times New Roman" w:cs="Times New Roman"/>
          <w:szCs w:val="24"/>
        </w:rPr>
        <w:t xml:space="preserve"> ant plants. In Chapter 2, I generated high-quality reference genomes for the facultative </w:t>
      </w:r>
      <w:proofErr w:type="spellStart"/>
      <w:r w:rsidRPr="00077AB1">
        <w:rPr>
          <w:rFonts w:eastAsia="Times New Roman" w:cs="Times New Roman"/>
          <w:i/>
          <w:iCs/>
          <w:szCs w:val="24"/>
        </w:rPr>
        <w:t>Hydnophytum</w:t>
      </w:r>
      <w:proofErr w:type="spellEnd"/>
      <w:r w:rsidRPr="00077AB1">
        <w:rPr>
          <w:rFonts w:eastAsia="Times New Roman" w:cs="Times New Roman"/>
          <w:i/>
          <w:iCs/>
          <w:szCs w:val="24"/>
        </w:rPr>
        <w:t xml:space="preserve"> </w:t>
      </w:r>
      <w:proofErr w:type="spellStart"/>
      <w:r w:rsidRPr="00077AB1">
        <w:rPr>
          <w:rFonts w:eastAsia="Times New Roman" w:cs="Times New Roman"/>
          <w:i/>
          <w:iCs/>
          <w:szCs w:val="24"/>
        </w:rPr>
        <w:t>moseleyanum</w:t>
      </w:r>
      <w:proofErr w:type="spellEnd"/>
      <w:r w:rsidRPr="00FF69C9">
        <w:rPr>
          <w:rFonts w:eastAsia="Times New Roman" w:cs="Times New Roman"/>
          <w:szCs w:val="24"/>
        </w:rPr>
        <w:t xml:space="preserve"> and the obligate </w:t>
      </w:r>
      <w:proofErr w:type="spellStart"/>
      <w:r w:rsidRPr="005853E5">
        <w:rPr>
          <w:rFonts w:eastAsia="Times New Roman" w:cs="Times New Roman"/>
          <w:i/>
          <w:iCs/>
          <w:szCs w:val="24"/>
        </w:rPr>
        <w:t>Myrmecodia</w:t>
      </w:r>
      <w:proofErr w:type="spellEnd"/>
      <w:r w:rsidRPr="005853E5">
        <w:rPr>
          <w:rFonts w:eastAsia="Times New Roman" w:cs="Times New Roman"/>
          <w:i/>
          <w:iCs/>
          <w:szCs w:val="24"/>
        </w:rPr>
        <w:t xml:space="preserve"> </w:t>
      </w:r>
      <w:proofErr w:type="spellStart"/>
      <w:r w:rsidRPr="005853E5">
        <w:rPr>
          <w:rFonts w:eastAsia="Times New Roman" w:cs="Times New Roman"/>
          <w:i/>
          <w:iCs/>
          <w:szCs w:val="24"/>
        </w:rPr>
        <w:t>beccarii</w:t>
      </w:r>
      <w:proofErr w:type="spellEnd"/>
      <w:r w:rsidRPr="00FF69C9">
        <w:rPr>
          <w:rFonts w:eastAsia="Times New Roman" w:cs="Times New Roman"/>
          <w:szCs w:val="24"/>
        </w:rPr>
        <w:t xml:space="preserve"> ant plants, providing the duplication-aware framework needed for orthology assignment and reliable transcriptome mapping, as introduced in Section 1.4. In Chapter 3, I established controlled greenhouse symbioses with ghost ants (</w:t>
      </w:r>
      <w:r w:rsidRPr="00B3521F">
        <w:rPr>
          <w:rFonts w:eastAsia="Times New Roman" w:cs="Times New Roman"/>
          <w:i/>
          <w:iCs/>
          <w:szCs w:val="24"/>
        </w:rPr>
        <w:t xml:space="preserve">Tapinoma </w:t>
      </w:r>
      <w:proofErr w:type="spellStart"/>
      <w:r w:rsidRPr="00B3521F">
        <w:rPr>
          <w:rFonts w:eastAsia="Times New Roman" w:cs="Times New Roman"/>
          <w:i/>
          <w:iCs/>
          <w:szCs w:val="24"/>
        </w:rPr>
        <w:t>melanocephalum</w:t>
      </w:r>
      <w:proofErr w:type="spellEnd"/>
      <w:r w:rsidRPr="00FF69C9">
        <w:rPr>
          <w:rFonts w:eastAsia="Times New Roman" w:cs="Times New Roman"/>
          <w:szCs w:val="24"/>
        </w:rPr>
        <w:t>) and these two ant-plant species and validated it as a nutritional mutualism using 15N isotope labelling. In Chapter 4, I used these genomic and experimental platforms to run a large-scale manipulation of ant presence and nutrient availability, profiling tissue-specific transcriptomic responses to identify ant-responsive nitrogen pathways and to test whether obligate dependence is associated with more constitutive nitrogen-related expression than facultative dependence. Altogether, this thesis identifies how mutualism function differs between facultative and obligate dependence and identifies a key shift towards reduced plasticity in nitrogen-uptake regulation with the evolution of obligate dependence, paving the way for future work on the genomic and ecological drivers of mutualism stability.</w:t>
      </w:r>
    </w:p>
    <w:p w14:paraId="531E3CA1" w14:textId="77777777" w:rsidR="00B3521F" w:rsidRDefault="00B3521F" w:rsidP="00B3521F">
      <w:pPr>
        <w:widowControl w:val="0"/>
        <w:pBdr>
          <w:top w:val="nil"/>
          <w:left w:val="nil"/>
          <w:bottom w:val="nil"/>
          <w:right w:val="nil"/>
          <w:between w:val="nil"/>
        </w:pBdr>
        <w:spacing w:before="2382" w:line="240" w:lineRule="auto"/>
        <w:ind w:right="410"/>
        <w:rPr>
          <w:rFonts w:eastAsia="Times New Roman" w:cs="Times New Roman"/>
          <w:szCs w:val="24"/>
        </w:rPr>
      </w:pPr>
    </w:p>
    <w:p w14:paraId="20C02C7D" w14:textId="77777777" w:rsidR="003E5961" w:rsidRDefault="003E5961" w:rsidP="00B3521F">
      <w:pPr>
        <w:widowControl w:val="0"/>
        <w:pBdr>
          <w:top w:val="nil"/>
          <w:left w:val="nil"/>
          <w:bottom w:val="nil"/>
          <w:right w:val="nil"/>
          <w:between w:val="nil"/>
        </w:pBdr>
        <w:rPr>
          <w:color w:val="000000"/>
        </w:rPr>
      </w:pPr>
    </w:p>
    <w:p w14:paraId="67335E9D" w14:textId="77777777" w:rsidR="00453AF7" w:rsidRDefault="00453AF7" w:rsidP="00B3521F">
      <w:pPr>
        <w:widowControl w:val="0"/>
        <w:pBdr>
          <w:top w:val="nil"/>
          <w:left w:val="nil"/>
          <w:bottom w:val="nil"/>
          <w:right w:val="nil"/>
          <w:between w:val="nil"/>
        </w:pBdr>
        <w:rPr>
          <w:color w:val="000000"/>
        </w:rPr>
      </w:pPr>
    </w:p>
    <w:p w14:paraId="0000004F" w14:textId="5511A3A7" w:rsidR="00E420E3" w:rsidRDefault="008E5528" w:rsidP="00B3521F">
      <w:pPr>
        <w:widowControl w:val="0"/>
        <w:pBdr>
          <w:top w:val="nil"/>
          <w:left w:val="nil"/>
          <w:bottom w:val="nil"/>
          <w:right w:val="nil"/>
          <w:between w:val="nil"/>
        </w:pBdr>
        <w:rPr>
          <w:color w:val="000000"/>
        </w:rPr>
      </w:pPr>
      <w:r>
        <w:rPr>
          <w:color w:val="000000"/>
        </w:rPr>
        <w:t xml:space="preserve"> </w:t>
      </w:r>
    </w:p>
    <w:p w14:paraId="00000050" w14:textId="77777777" w:rsidR="00E420E3" w:rsidRDefault="008E5528" w:rsidP="005442BE">
      <w:pPr>
        <w:pStyle w:val="Heading3"/>
      </w:pPr>
      <w:bookmarkStart w:id="11" w:name="_Toc235392959"/>
      <w:r>
        <w:lastRenderedPageBreak/>
        <w:t>1.7 References</w:t>
      </w:r>
      <w:bookmarkEnd w:id="11"/>
      <w:r>
        <w:t xml:space="preserve"> </w:t>
      </w:r>
    </w:p>
    <w:p w14:paraId="00000051" w14:textId="7574247F"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sidRPr="00304E12">
        <w:rPr>
          <w:rFonts w:eastAsia="Times New Roman" w:cs="Times New Roman"/>
          <w:color w:val="000000"/>
          <w:szCs w:val="24"/>
        </w:rPr>
        <w:t>Abrahamczyk, S., Souto-</w:t>
      </w:r>
      <w:proofErr w:type="spellStart"/>
      <w:r w:rsidRPr="00304E12">
        <w:rPr>
          <w:rFonts w:eastAsia="Times New Roman" w:cs="Times New Roman"/>
          <w:color w:val="000000"/>
          <w:szCs w:val="24"/>
        </w:rPr>
        <w:t>Vilarós</w:t>
      </w:r>
      <w:proofErr w:type="spellEnd"/>
      <w:r w:rsidRPr="00304E12">
        <w:rPr>
          <w:rFonts w:eastAsia="Times New Roman" w:cs="Times New Roman"/>
          <w:color w:val="000000"/>
          <w:szCs w:val="24"/>
        </w:rPr>
        <w:t>, D.</w:t>
      </w:r>
      <w:r w:rsidR="00666741">
        <w:rPr>
          <w:rFonts w:eastAsia="Times New Roman" w:cs="Times New Roman"/>
          <w:color w:val="000000"/>
          <w:szCs w:val="24"/>
        </w:rPr>
        <w:t>,</w:t>
      </w:r>
      <w:r w:rsidRPr="00304E12">
        <w:rPr>
          <w:rFonts w:eastAsia="Times New Roman" w:cs="Times New Roman"/>
          <w:color w:val="000000"/>
          <w:szCs w:val="24"/>
        </w:rPr>
        <w:t xml:space="preserve"> </w:t>
      </w:r>
      <w:r w:rsidR="00304E12" w:rsidRPr="00304E12">
        <w:rPr>
          <w:rFonts w:eastAsia="Times New Roman" w:cs="Times New Roman"/>
          <w:color w:val="000000"/>
          <w:szCs w:val="24"/>
        </w:rPr>
        <w:t>and</w:t>
      </w:r>
      <w:r w:rsidRPr="00304E12">
        <w:rPr>
          <w:rFonts w:eastAsia="Times New Roman" w:cs="Times New Roman"/>
          <w:color w:val="000000"/>
          <w:szCs w:val="24"/>
        </w:rPr>
        <w:t xml:space="preserve"> Renner, S.S. (2014). </w:t>
      </w:r>
      <w:r>
        <w:rPr>
          <w:rFonts w:eastAsia="Times New Roman" w:cs="Times New Roman"/>
          <w:color w:val="000000"/>
          <w:szCs w:val="24"/>
        </w:rPr>
        <w:t xml:space="preserve">Escape from </w:t>
      </w:r>
      <w:r w:rsidR="00104191">
        <w:rPr>
          <w:rFonts w:eastAsia="Times New Roman" w:cs="Times New Roman"/>
          <w:color w:val="000000"/>
          <w:szCs w:val="24"/>
        </w:rPr>
        <w:t>extreme specialization</w:t>
      </w:r>
      <w:r>
        <w:rPr>
          <w:rFonts w:eastAsia="Times New Roman" w:cs="Times New Roman"/>
          <w:color w:val="000000"/>
          <w:szCs w:val="24"/>
        </w:rPr>
        <w:t xml:space="preserve">: passionflowers, bats and the sword-billed hummingbird. </w:t>
      </w:r>
      <w:r>
        <w:rPr>
          <w:rFonts w:eastAsia="Times New Roman" w:cs="Times New Roman"/>
          <w:i/>
          <w:iCs/>
          <w:color w:val="000000"/>
          <w:szCs w:val="24"/>
        </w:rPr>
        <w:t>Proc</w:t>
      </w:r>
      <w:r w:rsidR="00D333C3">
        <w:rPr>
          <w:rFonts w:eastAsia="Times New Roman" w:cs="Times New Roman"/>
          <w:i/>
          <w:iCs/>
          <w:color w:val="000000"/>
          <w:szCs w:val="24"/>
        </w:rPr>
        <w:t>eedings of the</w:t>
      </w:r>
      <w:r>
        <w:rPr>
          <w:rFonts w:eastAsia="Times New Roman" w:cs="Times New Roman"/>
          <w:i/>
          <w:iCs/>
          <w:color w:val="000000"/>
          <w:szCs w:val="24"/>
        </w:rPr>
        <w:t xml:space="preserve"> R</w:t>
      </w:r>
      <w:r w:rsidR="00D333C3">
        <w:rPr>
          <w:rFonts w:eastAsia="Times New Roman" w:cs="Times New Roman"/>
          <w:i/>
          <w:iCs/>
          <w:color w:val="000000"/>
          <w:szCs w:val="24"/>
        </w:rPr>
        <w:t>oyal</w:t>
      </w:r>
      <w:r>
        <w:rPr>
          <w:rFonts w:eastAsia="Times New Roman" w:cs="Times New Roman"/>
          <w:i/>
          <w:iCs/>
          <w:color w:val="000000"/>
          <w:szCs w:val="24"/>
        </w:rPr>
        <w:t xml:space="preserve"> Soc</w:t>
      </w:r>
      <w:r w:rsidR="00D333C3">
        <w:rPr>
          <w:rFonts w:eastAsia="Times New Roman" w:cs="Times New Roman"/>
          <w:i/>
          <w:iCs/>
          <w:color w:val="000000"/>
          <w:szCs w:val="24"/>
        </w:rPr>
        <w:t>iety</w:t>
      </w:r>
      <w:r>
        <w:rPr>
          <w:rFonts w:eastAsia="Times New Roman" w:cs="Times New Roman"/>
          <w:color w:val="000000"/>
          <w:szCs w:val="24"/>
        </w:rPr>
        <w:t xml:space="preserve"> </w:t>
      </w:r>
      <w:r>
        <w:rPr>
          <w:rFonts w:eastAsia="Times New Roman" w:cs="Times New Roman"/>
          <w:i/>
          <w:iCs/>
          <w:color w:val="000000"/>
          <w:szCs w:val="24"/>
        </w:rPr>
        <w:t>B</w:t>
      </w:r>
      <w:r w:rsidR="00742705">
        <w:rPr>
          <w:rFonts w:eastAsia="Times New Roman" w:cs="Times New Roman"/>
          <w:i/>
          <w:iCs/>
          <w:color w:val="000000"/>
          <w:szCs w:val="24"/>
        </w:rPr>
        <w:t>: Biological Sciences,</w:t>
      </w:r>
      <w:r>
        <w:rPr>
          <w:rFonts w:eastAsia="Times New Roman" w:cs="Times New Roman"/>
          <w:i/>
          <w:iCs/>
          <w:color w:val="000000"/>
          <w:szCs w:val="24"/>
        </w:rPr>
        <w:t xml:space="preserve"> 281</w:t>
      </w:r>
      <w:r>
        <w:rPr>
          <w:rFonts w:eastAsia="Times New Roman" w:cs="Times New Roman"/>
          <w:color w:val="000000"/>
          <w:szCs w:val="24"/>
        </w:rPr>
        <w:t xml:space="preserve">, 20140888. </w:t>
      </w:r>
    </w:p>
    <w:p w14:paraId="00000052" w14:textId="60E735E6"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Aslan, C.E., Zavaleta, E.S., </w:t>
      </w:r>
      <w:proofErr w:type="spellStart"/>
      <w:r>
        <w:rPr>
          <w:rFonts w:eastAsia="Times New Roman" w:cs="Times New Roman"/>
          <w:color w:val="000000"/>
          <w:szCs w:val="24"/>
        </w:rPr>
        <w:t>Tershy</w:t>
      </w:r>
      <w:proofErr w:type="spellEnd"/>
      <w:r>
        <w:rPr>
          <w:rFonts w:eastAsia="Times New Roman" w:cs="Times New Roman"/>
          <w:color w:val="000000"/>
          <w:szCs w:val="24"/>
        </w:rPr>
        <w:t>, B.</w:t>
      </w:r>
      <w:r w:rsidR="00666741">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Croll, D. (2013). Mutualism </w:t>
      </w:r>
      <w:r w:rsidR="00245C37">
        <w:rPr>
          <w:rFonts w:eastAsia="Times New Roman" w:cs="Times New Roman"/>
          <w:color w:val="000000"/>
          <w:szCs w:val="24"/>
        </w:rPr>
        <w:t>d</w:t>
      </w:r>
      <w:r>
        <w:rPr>
          <w:rFonts w:eastAsia="Times New Roman" w:cs="Times New Roman"/>
          <w:color w:val="000000"/>
          <w:szCs w:val="24"/>
        </w:rPr>
        <w:t xml:space="preserve">isruption </w:t>
      </w:r>
      <w:r w:rsidR="00104191">
        <w:rPr>
          <w:rFonts w:eastAsia="Times New Roman" w:cs="Times New Roman"/>
          <w:color w:val="000000"/>
          <w:szCs w:val="24"/>
        </w:rPr>
        <w:t>threatens global</w:t>
      </w:r>
      <w:r>
        <w:rPr>
          <w:rFonts w:eastAsia="Times New Roman" w:cs="Times New Roman"/>
          <w:color w:val="000000"/>
          <w:szCs w:val="24"/>
        </w:rPr>
        <w:t xml:space="preserve"> </w:t>
      </w:r>
      <w:r w:rsidR="00245C37">
        <w:rPr>
          <w:rFonts w:eastAsia="Times New Roman" w:cs="Times New Roman"/>
          <w:color w:val="000000"/>
          <w:szCs w:val="24"/>
        </w:rPr>
        <w:t>p</w:t>
      </w:r>
      <w:r>
        <w:rPr>
          <w:rFonts w:eastAsia="Times New Roman" w:cs="Times New Roman"/>
          <w:color w:val="000000"/>
          <w:szCs w:val="24"/>
        </w:rPr>
        <w:t xml:space="preserve">lant </w:t>
      </w:r>
      <w:r w:rsidR="00245C37">
        <w:rPr>
          <w:rFonts w:eastAsia="Times New Roman" w:cs="Times New Roman"/>
          <w:color w:val="000000"/>
          <w:szCs w:val="24"/>
        </w:rPr>
        <w:t>b</w:t>
      </w:r>
      <w:r>
        <w:rPr>
          <w:rFonts w:eastAsia="Times New Roman" w:cs="Times New Roman"/>
          <w:color w:val="000000"/>
          <w:szCs w:val="24"/>
        </w:rPr>
        <w:t xml:space="preserve">iodiversity: A </w:t>
      </w:r>
      <w:r w:rsidR="00245C37">
        <w:rPr>
          <w:rFonts w:eastAsia="Times New Roman" w:cs="Times New Roman"/>
          <w:color w:val="000000"/>
          <w:szCs w:val="24"/>
        </w:rPr>
        <w:t>s</w:t>
      </w:r>
      <w:r>
        <w:rPr>
          <w:rFonts w:eastAsia="Times New Roman" w:cs="Times New Roman"/>
          <w:color w:val="000000"/>
          <w:szCs w:val="24"/>
        </w:rPr>
        <w:t xml:space="preserve">ystematic </w:t>
      </w:r>
      <w:r w:rsidR="00245C37">
        <w:rPr>
          <w:rFonts w:eastAsia="Times New Roman" w:cs="Times New Roman"/>
          <w:color w:val="000000"/>
          <w:szCs w:val="24"/>
        </w:rPr>
        <w:t>r</w:t>
      </w:r>
      <w:r>
        <w:rPr>
          <w:rFonts w:eastAsia="Times New Roman" w:cs="Times New Roman"/>
          <w:color w:val="000000"/>
          <w:szCs w:val="24"/>
        </w:rPr>
        <w:t xml:space="preserve">eview. </w:t>
      </w:r>
      <w:r>
        <w:rPr>
          <w:rFonts w:eastAsia="Times New Roman" w:cs="Times New Roman"/>
          <w:i/>
          <w:iCs/>
          <w:color w:val="000000"/>
          <w:szCs w:val="24"/>
        </w:rPr>
        <w:t>PL</w:t>
      </w:r>
      <w:r w:rsidR="000B349D">
        <w:rPr>
          <w:rFonts w:eastAsia="Times New Roman" w:cs="Times New Roman"/>
          <w:i/>
          <w:iCs/>
          <w:color w:val="000000"/>
          <w:szCs w:val="24"/>
        </w:rPr>
        <w:t>O</w:t>
      </w:r>
      <w:r>
        <w:rPr>
          <w:rFonts w:eastAsia="Times New Roman" w:cs="Times New Roman"/>
          <w:i/>
          <w:iCs/>
          <w:color w:val="000000"/>
          <w:szCs w:val="24"/>
        </w:rPr>
        <w:t>S O</w:t>
      </w:r>
      <w:r w:rsidR="000B349D">
        <w:rPr>
          <w:rFonts w:eastAsia="Times New Roman" w:cs="Times New Roman"/>
          <w:i/>
          <w:iCs/>
          <w:color w:val="000000"/>
          <w:szCs w:val="24"/>
        </w:rPr>
        <w:t>NE</w:t>
      </w:r>
      <w:r>
        <w:rPr>
          <w:rFonts w:eastAsia="Times New Roman" w:cs="Times New Roman"/>
          <w:color w:val="000000"/>
          <w:szCs w:val="24"/>
        </w:rPr>
        <w:t xml:space="preserve">, </w:t>
      </w:r>
      <w:r>
        <w:rPr>
          <w:rFonts w:eastAsia="Times New Roman" w:cs="Times New Roman"/>
          <w:i/>
          <w:iCs/>
          <w:color w:val="000000"/>
          <w:szCs w:val="24"/>
        </w:rPr>
        <w:t>8</w:t>
      </w:r>
      <w:r>
        <w:rPr>
          <w:rFonts w:eastAsia="Times New Roman" w:cs="Times New Roman"/>
          <w:color w:val="000000"/>
          <w:szCs w:val="24"/>
        </w:rPr>
        <w:t xml:space="preserve">(6), e66993. </w:t>
      </w:r>
    </w:p>
    <w:p w14:paraId="00000053" w14:textId="593D41D6"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sidRPr="00304E12">
        <w:rPr>
          <w:rFonts w:eastAsia="Times New Roman" w:cs="Times New Roman"/>
          <w:color w:val="000000"/>
          <w:szCs w:val="24"/>
        </w:rPr>
        <w:t>Azc</w:t>
      </w:r>
      <w:r w:rsidR="00D0454C" w:rsidRPr="00304E12">
        <w:rPr>
          <w:rFonts w:eastAsia="Times New Roman" w:cs="Times New Roman"/>
          <w:color w:val="000000"/>
          <w:szCs w:val="24"/>
        </w:rPr>
        <w:t>á</w:t>
      </w:r>
      <w:r w:rsidRPr="00304E12">
        <w:rPr>
          <w:rFonts w:eastAsia="Times New Roman" w:cs="Times New Roman"/>
          <w:color w:val="000000"/>
          <w:szCs w:val="24"/>
        </w:rPr>
        <w:t>rate, F.M.</w:t>
      </w:r>
      <w:r w:rsidR="00666741">
        <w:rPr>
          <w:rFonts w:eastAsia="Times New Roman" w:cs="Times New Roman"/>
          <w:color w:val="000000"/>
          <w:szCs w:val="24"/>
        </w:rPr>
        <w:t>,</w:t>
      </w:r>
      <w:r w:rsidRPr="00304E12">
        <w:rPr>
          <w:rFonts w:eastAsia="Times New Roman" w:cs="Times New Roman"/>
          <w:color w:val="000000"/>
          <w:szCs w:val="24"/>
        </w:rPr>
        <w:t xml:space="preserve"> </w:t>
      </w:r>
      <w:r w:rsidR="00304E12" w:rsidRPr="00304E12">
        <w:rPr>
          <w:rFonts w:eastAsia="Times New Roman" w:cs="Times New Roman"/>
          <w:color w:val="000000"/>
          <w:szCs w:val="24"/>
        </w:rPr>
        <w:t>and</w:t>
      </w:r>
      <w:r w:rsidR="00164FE8" w:rsidRPr="00304E12">
        <w:rPr>
          <w:rFonts w:eastAsia="Times New Roman" w:cs="Times New Roman"/>
          <w:color w:val="000000"/>
          <w:szCs w:val="24"/>
        </w:rPr>
        <w:t xml:space="preserve"> </w:t>
      </w:r>
      <w:proofErr w:type="spellStart"/>
      <w:r w:rsidRPr="00304E12">
        <w:rPr>
          <w:rFonts w:eastAsia="Times New Roman" w:cs="Times New Roman"/>
          <w:color w:val="000000"/>
          <w:szCs w:val="24"/>
        </w:rPr>
        <w:t>Manzan</w:t>
      </w:r>
      <w:r w:rsidR="00CB4C52" w:rsidRPr="00304E12">
        <w:rPr>
          <w:rFonts w:eastAsia="Times New Roman" w:cs="Times New Roman"/>
          <w:color w:val="000000"/>
          <w:szCs w:val="24"/>
        </w:rPr>
        <w:t>ó</w:t>
      </w:r>
      <w:r w:rsidRPr="00304E12">
        <w:rPr>
          <w:rFonts w:eastAsia="Times New Roman" w:cs="Times New Roman"/>
          <w:color w:val="000000"/>
          <w:szCs w:val="24"/>
        </w:rPr>
        <w:t>n</w:t>
      </w:r>
      <w:proofErr w:type="spellEnd"/>
      <w:r w:rsidRPr="00304E12">
        <w:rPr>
          <w:rFonts w:eastAsia="Times New Roman" w:cs="Times New Roman"/>
          <w:color w:val="000000"/>
          <w:szCs w:val="24"/>
        </w:rPr>
        <w:t xml:space="preserve">, P. (2011). </w:t>
      </w:r>
      <w:r>
        <w:rPr>
          <w:rFonts w:eastAsia="Times New Roman" w:cs="Times New Roman"/>
          <w:color w:val="000000"/>
          <w:szCs w:val="24"/>
        </w:rPr>
        <w:t xml:space="preserve">A fable on voracious and gourmet ants: </w:t>
      </w:r>
      <w:r w:rsidR="00CB4C52">
        <w:rPr>
          <w:rFonts w:eastAsia="Times New Roman" w:cs="Times New Roman"/>
          <w:color w:val="000000"/>
          <w:szCs w:val="24"/>
        </w:rPr>
        <w:t>A</w:t>
      </w:r>
      <w:r>
        <w:rPr>
          <w:rFonts w:eastAsia="Times New Roman" w:cs="Times New Roman"/>
          <w:color w:val="000000"/>
          <w:szCs w:val="24"/>
        </w:rPr>
        <w:t>nt-</w:t>
      </w:r>
      <w:r w:rsidR="00104191">
        <w:rPr>
          <w:rFonts w:eastAsia="Times New Roman" w:cs="Times New Roman"/>
          <w:color w:val="000000"/>
          <w:szCs w:val="24"/>
        </w:rPr>
        <w:t>seed interactions</w:t>
      </w:r>
      <w:r>
        <w:rPr>
          <w:rFonts w:eastAsia="Times New Roman" w:cs="Times New Roman"/>
          <w:color w:val="000000"/>
          <w:szCs w:val="24"/>
        </w:rPr>
        <w:t xml:space="preserve"> from predation to dispersal. In </w:t>
      </w:r>
      <w:r w:rsidR="00CB4C52">
        <w:rPr>
          <w:rFonts w:eastAsia="Times New Roman" w:cs="Times New Roman"/>
          <w:color w:val="000000"/>
          <w:szCs w:val="24"/>
        </w:rPr>
        <w:t xml:space="preserve">C. </w:t>
      </w:r>
      <w:r>
        <w:rPr>
          <w:rFonts w:eastAsia="Times New Roman" w:cs="Times New Roman"/>
          <w:color w:val="000000"/>
          <w:szCs w:val="24"/>
        </w:rPr>
        <w:t>Polidori</w:t>
      </w:r>
      <w:r w:rsidR="00067BF9">
        <w:rPr>
          <w:rFonts w:eastAsia="Times New Roman" w:cs="Times New Roman"/>
          <w:color w:val="000000"/>
          <w:szCs w:val="24"/>
        </w:rPr>
        <w:t xml:space="preserve"> </w:t>
      </w:r>
      <w:r>
        <w:rPr>
          <w:rFonts w:eastAsia="Times New Roman" w:cs="Times New Roman"/>
          <w:color w:val="000000"/>
          <w:szCs w:val="24"/>
        </w:rPr>
        <w:t>(</w:t>
      </w:r>
      <w:r w:rsidR="00067BF9">
        <w:rPr>
          <w:rFonts w:eastAsia="Times New Roman" w:cs="Times New Roman"/>
          <w:color w:val="000000"/>
          <w:szCs w:val="24"/>
        </w:rPr>
        <w:t>E</w:t>
      </w:r>
      <w:r>
        <w:rPr>
          <w:rFonts w:eastAsia="Times New Roman" w:cs="Times New Roman"/>
          <w:color w:val="000000"/>
          <w:szCs w:val="24"/>
        </w:rPr>
        <w:t>d.)</w:t>
      </w:r>
      <w:r w:rsidR="00067BF9">
        <w:rPr>
          <w:rFonts w:eastAsia="Times New Roman" w:cs="Times New Roman"/>
          <w:color w:val="000000"/>
          <w:szCs w:val="24"/>
        </w:rPr>
        <w:t>,</w:t>
      </w:r>
      <w:r>
        <w:rPr>
          <w:rFonts w:eastAsia="Times New Roman" w:cs="Times New Roman"/>
          <w:color w:val="000000"/>
          <w:szCs w:val="24"/>
        </w:rPr>
        <w:t xml:space="preserve"> </w:t>
      </w:r>
      <w:r w:rsidRPr="00067BF9">
        <w:rPr>
          <w:rFonts w:eastAsia="Times New Roman" w:cs="Times New Roman"/>
          <w:i/>
          <w:iCs/>
          <w:color w:val="000000"/>
          <w:szCs w:val="24"/>
        </w:rPr>
        <w:t xml:space="preserve">Predation in the Hymenoptera: An </w:t>
      </w:r>
      <w:r w:rsidR="00067BF9">
        <w:rPr>
          <w:rFonts w:eastAsia="Times New Roman" w:cs="Times New Roman"/>
          <w:i/>
          <w:iCs/>
          <w:color w:val="000000"/>
          <w:szCs w:val="24"/>
        </w:rPr>
        <w:t>e</w:t>
      </w:r>
      <w:r w:rsidRPr="00067BF9">
        <w:rPr>
          <w:rFonts w:eastAsia="Times New Roman" w:cs="Times New Roman"/>
          <w:i/>
          <w:iCs/>
          <w:color w:val="000000"/>
          <w:szCs w:val="24"/>
        </w:rPr>
        <w:t xml:space="preserve">volutionary </w:t>
      </w:r>
      <w:r w:rsidR="00067BF9">
        <w:rPr>
          <w:rFonts w:eastAsia="Times New Roman" w:cs="Times New Roman"/>
          <w:i/>
          <w:iCs/>
          <w:color w:val="000000"/>
          <w:szCs w:val="24"/>
        </w:rPr>
        <w:t>p</w:t>
      </w:r>
      <w:r w:rsidRPr="00067BF9">
        <w:rPr>
          <w:rFonts w:eastAsia="Times New Roman" w:cs="Times New Roman"/>
          <w:i/>
          <w:iCs/>
          <w:color w:val="000000"/>
          <w:szCs w:val="24"/>
        </w:rPr>
        <w:t>erspective</w:t>
      </w:r>
      <w:r w:rsidR="00067BF9">
        <w:rPr>
          <w:rFonts w:eastAsia="Times New Roman" w:cs="Times New Roman"/>
          <w:i/>
          <w:iCs/>
          <w:color w:val="000000"/>
          <w:szCs w:val="24"/>
        </w:rPr>
        <w:t xml:space="preserve"> (p.245).</w:t>
      </w:r>
      <w:r w:rsidRPr="00067BF9">
        <w:rPr>
          <w:rFonts w:eastAsia="Times New Roman" w:cs="Times New Roman"/>
          <w:color w:val="000000"/>
          <w:szCs w:val="24"/>
        </w:rPr>
        <w:t xml:space="preserve"> Transworld Research Network</w:t>
      </w:r>
      <w:r>
        <w:rPr>
          <w:rFonts w:eastAsia="Times New Roman" w:cs="Times New Roman"/>
          <w:color w:val="000000"/>
          <w:szCs w:val="24"/>
        </w:rPr>
        <w:t xml:space="preserve">. </w:t>
      </w:r>
    </w:p>
    <w:p w14:paraId="00000054" w14:textId="612A9FF7" w:rsidR="00E420E3" w:rsidRPr="00223D69" w:rsidRDefault="005B6392" w:rsidP="005442BE">
      <w:pPr>
        <w:widowControl w:val="0"/>
        <w:pBdr>
          <w:top w:val="nil"/>
          <w:left w:val="nil"/>
          <w:bottom w:val="nil"/>
          <w:right w:val="nil"/>
          <w:between w:val="nil"/>
        </w:pBdr>
        <w:ind w:left="567" w:hanging="567"/>
        <w:rPr>
          <w:rFonts w:eastAsia="Times New Roman" w:cs="Times New Roman"/>
          <w:i/>
          <w:iCs/>
          <w:color w:val="000000"/>
          <w:szCs w:val="24"/>
        </w:rPr>
      </w:pPr>
      <w:r>
        <w:rPr>
          <w:rFonts w:eastAsia="Times New Roman" w:cs="Times New Roman"/>
          <w:color w:val="000000"/>
          <w:szCs w:val="24"/>
        </w:rPr>
        <w:t>de Bary, A. (1879)</w:t>
      </w:r>
      <w:r w:rsidR="00223D69">
        <w:rPr>
          <w:rFonts w:eastAsia="Times New Roman" w:cs="Times New Roman"/>
          <w:color w:val="000000"/>
          <w:szCs w:val="24"/>
        </w:rPr>
        <w:t>.</w:t>
      </w:r>
      <w:r>
        <w:rPr>
          <w:rFonts w:eastAsia="Times New Roman" w:cs="Times New Roman"/>
          <w:color w:val="000000"/>
          <w:szCs w:val="24"/>
        </w:rPr>
        <w:t xml:space="preserve"> </w:t>
      </w:r>
      <w:r w:rsidRPr="00223D69">
        <w:rPr>
          <w:rFonts w:eastAsia="Times New Roman" w:cs="Times New Roman"/>
          <w:i/>
          <w:iCs/>
          <w:color w:val="000000"/>
          <w:szCs w:val="24"/>
        </w:rPr>
        <w:t xml:space="preserve">Die </w:t>
      </w:r>
      <w:proofErr w:type="spellStart"/>
      <w:r w:rsidRPr="00223D69">
        <w:rPr>
          <w:rFonts w:eastAsia="Times New Roman" w:cs="Times New Roman"/>
          <w:i/>
          <w:iCs/>
          <w:color w:val="000000"/>
          <w:szCs w:val="24"/>
        </w:rPr>
        <w:t>Erscheinung</w:t>
      </w:r>
      <w:proofErr w:type="spellEnd"/>
      <w:r w:rsidRPr="00223D69">
        <w:rPr>
          <w:rFonts w:eastAsia="Times New Roman" w:cs="Times New Roman"/>
          <w:i/>
          <w:iCs/>
          <w:color w:val="000000"/>
          <w:szCs w:val="24"/>
        </w:rPr>
        <w:t xml:space="preserve"> der Symbiose. </w:t>
      </w:r>
    </w:p>
    <w:p w14:paraId="00000055" w14:textId="72879E77"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Batstone, R.T., Carscadden, K.A., Afkhami, M.E.</w:t>
      </w:r>
      <w:r w:rsidR="00666741">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Frederickson, M.E. (2018). Using </w:t>
      </w:r>
      <w:r w:rsidR="00104191">
        <w:rPr>
          <w:rFonts w:eastAsia="Times New Roman" w:cs="Times New Roman"/>
          <w:color w:val="000000"/>
          <w:szCs w:val="24"/>
        </w:rPr>
        <w:t>niche breadth</w:t>
      </w:r>
      <w:r>
        <w:rPr>
          <w:rFonts w:eastAsia="Times New Roman" w:cs="Times New Roman"/>
          <w:color w:val="000000"/>
          <w:szCs w:val="24"/>
        </w:rPr>
        <w:t xml:space="preserve"> theory to explain generalization in mutualisms. </w:t>
      </w:r>
      <w:r>
        <w:rPr>
          <w:rFonts w:eastAsia="Times New Roman" w:cs="Times New Roman"/>
          <w:i/>
          <w:iCs/>
          <w:color w:val="000000"/>
          <w:szCs w:val="24"/>
        </w:rPr>
        <w:t>Ecology</w:t>
      </w:r>
      <w:r>
        <w:rPr>
          <w:rFonts w:eastAsia="Times New Roman" w:cs="Times New Roman"/>
          <w:color w:val="000000"/>
          <w:szCs w:val="24"/>
        </w:rPr>
        <w:t xml:space="preserve">. </w:t>
      </w:r>
      <w:r>
        <w:rPr>
          <w:rFonts w:eastAsia="Times New Roman" w:cs="Times New Roman"/>
          <w:i/>
          <w:iCs/>
          <w:color w:val="000000"/>
          <w:szCs w:val="24"/>
        </w:rPr>
        <w:t>99</w:t>
      </w:r>
      <w:r>
        <w:rPr>
          <w:rFonts w:eastAsia="Times New Roman" w:cs="Times New Roman"/>
          <w:color w:val="000000"/>
          <w:szCs w:val="24"/>
        </w:rPr>
        <w:t xml:space="preserve">, 1039–50. </w:t>
      </w:r>
    </w:p>
    <w:p w14:paraId="00000056" w14:textId="77777777"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Baum, D.A. (2015). A comparison of autogenous theories for the origin of eukaryotic cells.  </w:t>
      </w:r>
      <w:r>
        <w:rPr>
          <w:rFonts w:eastAsia="Times New Roman" w:cs="Times New Roman"/>
          <w:i/>
          <w:iCs/>
          <w:color w:val="000000"/>
          <w:szCs w:val="24"/>
        </w:rPr>
        <w:t>American Journal of Botany</w:t>
      </w:r>
      <w:r>
        <w:rPr>
          <w:rFonts w:eastAsia="Times New Roman" w:cs="Times New Roman"/>
          <w:color w:val="000000"/>
          <w:szCs w:val="24"/>
        </w:rPr>
        <w:t xml:space="preserve">, </w:t>
      </w:r>
      <w:r>
        <w:rPr>
          <w:rFonts w:eastAsia="Times New Roman" w:cs="Times New Roman"/>
          <w:i/>
          <w:iCs/>
          <w:color w:val="000000"/>
          <w:szCs w:val="24"/>
        </w:rPr>
        <w:t>102</w:t>
      </w:r>
      <w:r>
        <w:rPr>
          <w:rFonts w:eastAsia="Times New Roman" w:cs="Times New Roman"/>
          <w:color w:val="000000"/>
          <w:szCs w:val="24"/>
        </w:rPr>
        <w:t xml:space="preserve">(12), 1954–1965. </w:t>
      </w:r>
    </w:p>
    <w:p w14:paraId="00000057" w14:textId="752CF8CB"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Bennett, G.M.</w:t>
      </w:r>
      <w:r w:rsidR="00666741">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Moran, N.A. (2015). Heritable symbiosis: </w:t>
      </w:r>
      <w:r w:rsidR="00466488">
        <w:rPr>
          <w:rFonts w:eastAsia="Times New Roman" w:cs="Times New Roman"/>
          <w:color w:val="000000"/>
          <w:szCs w:val="24"/>
        </w:rPr>
        <w:t>T</w:t>
      </w:r>
      <w:r>
        <w:rPr>
          <w:rFonts w:eastAsia="Times New Roman" w:cs="Times New Roman"/>
          <w:color w:val="000000"/>
          <w:szCs w:val="24"/>
        </w:rPr>
        <w:t xml:space="preserve">he advantages and perils of </w:t>
      </w:r>
      <w:r w:rsidR="00104191">
        <w:rPr>
          <w:rFonts w:eastAsia="Times New Roman" w:cs="Times New Roman"/>
          <w:color w:val="000000"/>
          <w:szCs w:val="24"/>
        </w:rPr>
        <w:t>an evolutionary</w:t>
      </w:r>
      <w:r>
        <w:rPr>
          <w:rFonts w:eastAsia="Times New Roman" w:cs="Times New Roman"/>
          <w:color w:val="000000"/>
          <w:szCs w:val="24"/>
        </w:rPr>
        <w:t xml:space="preserve"> rabbit hole. </w:t>
      </w:r>
      <w:r>
        <w:rPr>
          <w:rFonts w:eastAsia="Times New Roman" w:cs="Times New Roman"/>
          <w:i/>
          <w:iCs/>
          <w:color w:val="000000"/>
          <w:szCs w:val="24"/>
        </w:rPr>
        <w:t>Proc</w:t>
      </w:r>
      <w:r w:rsidR="00466488">
        <w:rPr>
          <w:rFonts w:eastAsia="Times New Roman" w:cs="Times New Roman"/>
          <w:i/>
          <w:iCs/>
          <w:color w:val="000000"/>
          <w:szCs w:val="24"/>
        </w:rPr>
        <w:t>eedings of the</w:t>
      </w:r>
      <w:r>
        <w:rPr>
          <w:rFonts w:eastAsia="Times New Roman" w:cs="Times New Roman"/>
          <w:i/>
          <w:iCs/>
          <w:color w:val="000000"/>
          <w:szCs w:val="24"/>
        </w:rPr>
        <w:t xml:space="preserve"> Nat</w:t>
      </w:r>
      <w:r w:rsidR="00466488">
        <w:rPr>
          <w:rFonts w:eastAsia="Times New Roman" w:cs="Times New Roman"/>
          <w:i/>
          <w:iCs/>
          <w:color w:val="000000"/>
          <w:szCs w:val="24"/>
        </w:rPr>
        <w:t>ional</w:t>
      </w:r>
      <w:r>
        <w:rPr>
          <w:rFonts w:eastAsia="Times New Roman" w:cs="Times New Roman"/>
          <w:i/>
          <w:iCs/>
          <w:color w:val="000000"/>
          <w:szCs w:val="24"/>
        </w:rPr>
        <w:t xml:space="preserve"> Acad</w:t>
      </w:r>
      <w:r w:rsidR="00466488">
        <w:rPr>
          <w:rFonts w:eastAsia="Times New Roman" w:cs="Times New Roman"/>
          <w:i/>
          <w:iCs/>
          <w:color w:val="000000"/>
          <w:szCs w:val="24"/>
        </w:rPr>
        <w:t>emy of</w:t>
      </w:r>
      <w:r>
        <w:rPr>
          <w:rFonts w:eastAsia="Times New Roman" w:cs="Times New Roman"/>
          <w:i/>
          <w:iCs/>
          <w:color w:val="000000"/>
          <w:szCs w:val="24"/>
        </w:rPr>
        <w:t xml:space="preserve"> Sci</w:t>
      </w:r>
      <w:r w:rsidR="00466488">
        <w:rPr>
          <w:rFonts w:eastAsia="Times New Roman" w:cs="Times New Roman"/>
          <w:i/>
          <w:iCs/>
          <w:color w:val="000000"/>
          <w:szCs w:val="24"/>
        </w:rPr>
        <w:t>ences of the</w:t>
      </w:r>
      <w:r>
        <w:rPr>
          <w:rFonts w:eastAsia="Times New Roman" w:cs="Times New Roman"/>
          <w:i/>
          <w:iCs/>
          <w:color w:val="000000"/>
          <w:szCs w:val="24"/>
        </w:rPr>
        <w:t xml:space="preserve"> U</w:t>
      </w:r>
      <w:r w:rsidR="00D20CB0">
        <w:rPr>
          <w:rFonts w:eastAsia="Times New Roman" w:cs="Times New Roman"/>
          <w:i/>
          <w:iCs/>
          <w:color w:val="000000"/>
          <w:szCs w:val="24"/>
        </w:rPr>
        <w:t xml:space="preserve">nited </w:t>
      </w:r>
      <w:r>
        <w:rPr>
          <w:rFonts w:eastAsia="Times New Roman" w:cs="Times New Roman"/>
          <w:i/>
          <w:iCs/>
          <w:color w:val="000000"/>
          <w:szCs w:val="24"/>
        </w:rPr>
        <w:t>S</w:t>
      </w:r>
      <w:r w:rsidR="00D20CB0">
        <w:rPr>
          <w:rFonts w:eastAsia="Times New Roman" w:cs="Times New Roman"/>
          <w:i/>
          <w:iCs/>
          <w:color w:val="000000"/>
          <w:szCs w:val="24"/>
        </w:rPr>
        <w:t>tates of America</w:t>
      </w:r>
      <w:r>
        <w:rPr>
          <w:rFonts w:eastAsia="Times New Roman" w:cs="Times New Roman"/>
          <w:i/>
          <w:iCs/>
          <w:color w:val="000000"/>
          <w:szCs w:val="24"/>
        </w:rPr>
        <w:t>, 112</w:t>
      </w:r>
      <w:r>
        <w:rPr>
          <w:rFonts w:eastAsia="Times New Roman" w:cs="Times New Roman"/>
          <w:color w:val="000000"/>
          <w:szCs w:val="24"/>
        </w:rPr>
        <w:t xml:space="preserve">, 10169–76. </w:t>
      </w:r>
    </w:p>
    <w:p w14:paraId="00000058" w14:textId="287EE4BF"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Bonfante, P.</w:t>
      </w:r>
      <w:r w:rsidR="00666741">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Genre, A. (2010). Mechanisms underlying beneficial plant-</w:t>
      </w:r>
      <w:r w:rsidR="00104191">
        <w:rPr>
          <w:rFonts w:eastAsia="Times New Roman" w:cs="Times New Roman"/>
          <w:color w:val="000000"/>
          <w:szCs w:val="24"/>
        </w:rPr>
        <w:t>fungus interactions</w:t>
      </w:r>
      <w:r>
        <w:rPr>
          <w:rFonts w:eastAsia="Times New Roman" w:cs="Times New Roman"/>
          <w:color w:val="000000"/>
          <w:szCs w:val="24"/>
        </w:rPr>
        <w:t xml:space="preserve"> in mycorrhizal symbiosis. </w:t>
      </w:r>
      <w:r>
        <w:rPr>
          <w:rFonts w:eastAsia="Times New Roman" w:cs="Times New Roman"/>
          <w:i/>
          <w:iCs/>
          <w:color w:val="000000"/>
          <w:szCs w:val="24"/>
        </w:rPr>
        <w:t>Nature Communications</w:t>
      </w:r>
      <w:r>
        <w:rPr>
          <w:rFonts w:eastAsia="Times New Roman" w:cs="Times New Roman"/>
          <w:color w:val="000000"/>
          <w:szCs w:val="24"/>
        </w:rPr>
        <w:t xml:space="preserve">, </w:t>
      </w:r>
      <w:r>
        <w:rPr>
          <w:rFonts w:eastAsia="Times New Roman" w:cs="Times New Roman"/>
          <w:i/>
          <w:iCs/>
          <w:color w:val="000000"/>
          <w:szCs w:val="24"/>
        </w:rPr>
        <w:t>1</w:t>
      </w:r>
      <w:r>
        <w:rPr>
          <w:rFonts w:eastAsia="Times New Roman" w:cs="Times New Roman"/>
          <w:color w:val="000000"/>
          <w:szCs w:val="24"/>
        </w:rPr>
        <w:t xml:space="preserve">, 48. </w:t>
      </w:r>
    </w:p>
    <w:p w14:paraId="00000059" w14:textId="77777777"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Bronstein, J.L. (2001). The exploitation of mutualisms. </w:t>
      </w:r>
      <w:r>
        <w:rPr>
          <w:rFonts w:eastAsia="Times New Roman" w:cs="Times New Roman"/>
          <w:i/>
          <w:iCs/>
          <w:color w:val="000000"/>
          <w:szCs w:val="24"/>
        </w:rPr>
        <w:t>Ecology Letters, 4</w:t>
      </w:r>
      <w:r>
        <w:rPr>
          <w:rFonts w:eastAsia="Times New Roman" w:cs="Times New Roman"/>
          <w:color w:val="000000"/>
          <w:szCs w:val="24"/>
        </w:rPr>
        <w:t xml:space="preserve">, 277-287. </w:t>
      </w:r>
    </w:p>
    <w:p w14:paraId="0000005A" w14:textId="77777777"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Bronstein, J.L. (2009). The evolution of facilitation and mutualism. </w:t>
      </w:r>
      <w:r>
        <w:rPr>
          <w:rFonts w:eastAsia="Times New Roman" w:cs="Times New Roman"/>
          <w:i/>
          <w:iCs/>
          <w:color w:val="000000"/>
          <w:szCs w:val="24"/>
        </w:rPr>
        <w:t>Journal of Ecology, 97</w:t>
      </w:r>
      <w:r>
        <w:rPr>
          <w:rFonts w:eastAsia="Times New Roman" w:cs="Times New Roman"/>
          <w:color w:val="000000"/>
          <w:szCs w:val="24"/>
        </w:rPr>
        <w:t xml:space="preserve">,1160–1170. </w:t>
      </w:r>
    </w:p>
    <w:p w14:paraId="0000005B" w14:textId="33C741A3"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Bronstein, J.L. (2015). Mutualism</w:t>
      </w:r>
      <w:r w:rsidR="00CB2279">
        <w:rPr>
          <w:rFonts w:eastAsia="Times New Roman" w:cs="Times New Roman"/>
          <w:color w:val="000000"/>
          <w:szCs w:val="24"/>
        </w:rPr>
        <w:t>.</w:t>
      </w:r>
      <w:r>
        <w:rPr>
          <w:rFonts w:eastAsia="Times New Roman" w:cs="Times New Roman"/>
          <w:color w:val="000000"/>
          <w:szCs w:val="24"/>
        </w:rPr>
        <w:t xml:space="preserve"> </w:t>
      </w:r>
      <w:r w:rsidR="00CB2279">
        <w:rPr>
          <w:rFonts w:eastAsia="Times New Roman" w:cs="Times New Roman"/>
          <w:color w:val="000000"/>
          <w:szCs w:val="24"/>
        </w:rPr>
        <w:t>I</w:t>
      </w:r>
      <w:r>
        <w:rPr>
          <w:rFonts w:eastAsia="Times New Roman" w:cs="Times New Roman"/>
          <w:color w:val="000000"/>
          <w:szCs w:val="24"/>
        </w:rPr>
        <w:t>n Bronstein J.L.</w:t>
      </w:r>
      <w:r w:rsidR="00CB2279">
        <w:rPr>
          <w:rFonts w:eastAsia="Times New Roman" w:cs="Times New Roman"/>
          <w:color w:val="000000"/>
          <w:szCs w:val="24"/>
        </w:rPr>
        <w:t xml:space="preserve"> </w:t>
      </w:r>
      <w:r>
        <w:rPr>
          <w:rFonts w:eastAsia="Times New Roman" w:cs="Times New Roman"/>
          <w:color w:val="000000"/>
          <w:szCs w:val="24"/>
        </w:rPr>
        <w:t>(</w:t>
      </w:r>
      <w:r w:rsidR="00CB2279">
        <w:rPr>
          <w:rFonts w:eastAsia="Times New Roman" w:cs="Times New Roman"/>
          <w:color w:val="000000"/>
          <w:szCs w:val="24"/>
        </w:rPr>
        <w:t>E</w:t>
      </w:r>
      <w:r>
        <w:rPr>
          <w:rFonts w:eastAsia="Times New Roman" w:cs="Times New Roman"/>
          <w:color w:val="000000"/>
          <w:szCs w:val="24"/>
        </w:rPr>
        <w:t xml:space="preserve">d.), </w:t>
      </w:r>
      <w:r>
        <w:rPr>
          <w:rFonts w:eastAsia="Times New Roman" w:cs="Times New Roman"/>
          <w:i/>
          <w:iCs/>
          <w:color w:val="000000"/>
          <w:szCs w:val="24"/>
        </w:rPr>
        <w:t>Mutualism</w:t>
      </w:r>
      <w:r w:rsidR="00483A16">
        <w:rPr>
          <w:rFonts w:eastAsia="Times New Roman" w:cs="Times New Roman"/>
          <w:i/>
          <w:iCs/>
          <w:color w:val="000000"/>
          <w:szCs w:val="24"/>
        </w:rPr>
        <w:t xml:space="preserve"> (pp. 1-2) </w:t>
      </w:r>
      <w:r w:rsidR="00104191">
        <w:rPr>
          <w:rFonts w:eastAsia="Times New Roman" w:cs="Times New Roman"/>
          <w:color w:val="000000"/>
          <w:szCs w:val="24"/>
        </w:rPr>
        <w:t>Oxford University</w:t>
      </w:r>
      <w:r>
        <w:rPr>
          <w:rFonts w:eastAsia="Times New Roman" w:cs="Times New Roman"/>
          <w:color w:val="000000"/>
          <w:szCs w:val="24"/>
        </w:rPr>
        <w:t xml:space="preserve"> Press</w:t>
      </w:r>
      <w:r w:rsidR="00483A16">
        <w:rPr>
          <w:rFonts w:eastAsia="Times New Roman" w:cs="Times New Roman"/>
          <w:color w:val="000000"/>
          <w:szCs w:val="24"/>
        </w:rPr>
        <w:t>.</w:t>
      </w:r>
    </w:p>
    <w:p w14:paraId="0000005C" w14:textId="050400CC"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Bronstein, J.L., Alarcón, R.</w:t>
      </w:r>
      <w:r w:rsidR="00666741">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Geber, M. (2006). The evolution of plant-insect mutualisms. </w:t>
      </w:r>
      <w:r>
        <w:rPr>
          <w:rFonts w:eastAsia="Times New Roman" w:cs="Times New Roman"/>
          <w:i/>
          <w:iCs/>
          <w:color w:val="000000"/>
          <w:szCs w:val="24"/>
        </w:rPr>
        <w:t>The New Phytologist</w:t>
      </w:r>
      <w:r>
        <w:rPr>
          <w:rFonts w:eastAsia="Times New Roman" w:cs="Times New Roman"/>
          <w:color w:val="000000"/>
          <w:szCs w:val="24"/>
        </w:rPr>
        <w:t xml:space="preserve">, </w:t>
      </w:r>
      <w:r>
        <w:rPr>
          <w:rFonts w:eastAsia="Times New Roman" w:cs="Times New Roman"/>
          <w:i/>
          <w:iCs/>
          <w:color w:val="000000"/>
          <w:szCs w:val="24"/>
        </w:rPr>
        <w:t>172</w:t>
      </w:r>
      <w:r>
        <w:rPr>
          <w:rFonts w:eastAsia="Times New Roman" w:cs="Times New Roman"/>
          <w:color w:val="000000"/>
          <w:szCs w:val="24"/>
        </w:rPr>
        <w:t xml:space="preserve">(3), 412–428. </w:t>
      </w:r>
    </w:p>
    <w:p w14:paraId="0000005E" w14:textId="40093202" w:rsidR="00E420E3" w:rsidRPr="004E392E"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Chomicki, G., Janda, M.</w:t>
      </w:r>
      <w:r w:rsidR="00666741">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Renner, S.S. (2017). The assembly of ant-farmed gardens:  </w:t>
      </w:r>
      <w:r w:rsidR="004E392E">
        <w:rPr>
          <w:rFonts w:eastAsia="Times New Roman" w:cs="Times New Roman"/>
          <w:color w:val="000000"/>
          <w:szCs w:val="24"/>
        </w:rPr>
        <w:t>M</w:t>
      </w:r>
      <w:r>
        <w:rPr>
          <w:rFonts w:eastAsia="Times New Roman" w:cs="Times New Roman"/>
          <w:color w:val="000000"/>
          <w:szCs w:val="24"/>
        </w:rPr>
        <w:t>utualism specialization following host broadening.</w:t>
      </w:r>
      <w:r w:rsidR="00483A16">
        <w:rPr>
          <w:rFonts w:eastAsia="Times New Roman" w:cs="Times New Roman"/>
          <w:color w:val="000000"/>
          <w:szCs w:val="24"/>
        </w:rPr>
        <w:t xml:space="preserve"> </w:t>
      </w:r>
      <w:r w:rsidR="00483A16">
        <w:rPr>
          <w:rFonts w:eastAsia="Times New Roman" w:cs="Times New Roman"/>
          <w:i/>
          <w:iCs/>
          <w:color w:val="000000"/>
          <w:szCs w:val="24"/>
        </w:rPr>
        <w:t>Proceedings of the Royal Society</w:t>
      </w:r>
      <w:r w:rsidR="00483A16">
        <w:rPr>
          <w:rFonts w:eastAsia="Times New Roman" w:cs="Times New Roman"/>
          <w:color w:val="000000"/>
          <w:szCs w:val="24"/>
        </w:rPr>
        <w:t xml:space="preserve"> </w:t>
      </w:r>
      <w:r w:rsidR="00483A16">
        <w:rPr>
          <w:rFonts w:eastAsia="Times New Roman" w:cs="Times New Roman"/>
          <w:i/>
          <w:iCs/>
          <w:color w:val="000000"/>
          <w:szCs w:val="24"/>
        </w:rPr>
        <w:t xml:space="preserve">B: Biological Sciences, </w:t>
      </w:r>
      <w:r>
        <w:rPr>
          <w:rFonts w:eastAsia="Times New Roman" w:cs="Times New Roman"/>
          <w:i/>
          <w:iCs/>
          <w:color w:val="000000"/>
          <w:szCs w:val="24"/>
        </w:rPr>
        <w:t>284</w:t>
      </w:r>
      <w:r w:rsidR="00A50F4C">
        <w:rPr>
          <w:rFonts w:eastAsia="Times New Roman" w:cs="Times New Roman"/>
          <w:color w:val="000000"/>
          <w:szCs w:val="24"/>
        </w:rPr>
        <w:t>(1850</w:t>
      </w:r>
      <w:r w:rsidR="00104191">
        <w:rPr>
          <w:rFonts w:eastAsia="Times New Roman" w:cs="Times New Roman"/>
          <w:color w:val="000000"/>
          <w:szCs w:val="24"/>
        </w:rPr>
        <w:t>), 20161759</w:t>
      </w:r>
      <w:r>
        <w:rPr>
          <w:rFonts w:eastAsia="Times New Roman" w:cs="Times New Roman"/>
          <w:color w:val="000000"/>
          <w:szCs w:val="24"/>
        </w:rPr>
        <w:t>.</w:t>
      </w:r>
    </w:p>
    <w:p w14:paraId="0000005F" w14:textId="42CC2F8B"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lastRenderedPageBreak/>
        <w:t xml:space="preserve">Chomicki, G., </w:t>
      </w:r>
      <w:proofErr w:type="spellStart"/>
      <w:r>
        <w:rPr>
          <w:rFonts w:eastAsia="Times New Roman" w:cs="Times New Roman"/>
          <w:color w:val="000000"/>
          <w:szCs w:val="24"/>
        </w:rPr>
        <w:t>Kadereit</w:t>
      </w:r>
      <w:proofErr w:type="spellEnd"/>
      <w:r>
        <w:rPr>
          <w:rFonts w:eastAsia="Times New Roman" w:cs="Times New Roman"/>
          <w:color w:val="000000"/>
          <w:szCs w:val="24"/>
        </w:rPr>
        <w:t>, G., Renner, S.S.</w:t>
      </w:r>
      <w:r w:rsidR="00666741">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Kiers, E.T. (2020a). Trade-offs in the </w:t>
      </w:r>
      <w:r w:rsidR="00104191">
        <w:rPr>
          <w:rFonts w:eastAsia="Times New Roman" w:cs="Times New Roman"/>
          <w:color w:val="000000"/>
          <w:szCs w:val="24"/>
        </w:rPr>
        <w:t>evolution of</w:t>
      </w:r>
      <w:r>
        <w:rPr>
          <w:rFonts w:eastAsia="Times New Roman" w:cs="Times New Roman"/>
          <w:color w:val="000000"/>
          <w:szCs w:val="24"/>
        </w:rPr>
        <w:t xml:space="preserve"> plant farming by ants. </w:t>
      </w:r>
      <w:r w:rsidR="00E44532">
        <w:rPr>
          <w:rFonts w:eastAsia="Times New Roman" w:cs="Times New Roman"/>
          <w:i/>
          <w:iCs/>
          <w:color w:val="000000"/>
          <w:szCs w:val="24"/>
        </w:rPr>
        <w:t xml:space="preserve">Proceedings of the National Academy of Sciences of the </w:t>
      </w:r>
      <w:r w:rsidR="00AF5315">
        <w:rPr>
          <w:rFonts w:eastAsia="Times New Roman" w:cs="Times New Roman"/>
          <w:i/>
          <w:iCs/>
          <w:color w:val="000000"/>
          <w:szCs w:val="24"/>
        </w:rPr>
        <w:t>United</w:t>
      </w:r>
      <w:r w:rsidR="00E44532">
        <w:rPr>
          <w:rFonts w:eastAsia="Times New Roman" w:cs="Times New Roman"/>
          <w:i/>
          <w:iCs/>
          <w:color w:val="000000"/>
          <w:szCs w:val="24"/>
        </w:rPr>
        <w:t xml:space="preserve"> States of America</w:t>
      </w:r>
      <w:r>
        <w:rPr>
          <w:rFonts w:eastAsia="Times New Roman" w:cs="Times New Roman"/>
          <w:color w:val="000000"/>
          <w:szCs w:val="24"/>
        </w:rPr>
        <w:t xml:space="preserve">, </w:t>
      </w:r>
      <w:r>
        <w:rPr>
          <w:rFonts w:eastAsia="Times New Roman" w:cs="Times New Roman"/>
          <w:i/>
          <w:iCs/>
          <w:color w:val="000000"/>
          <w:szCs w:val="24"/>
        </w:rPr>
        <w:t>117</w:t>
      </w:r>
      <w:r w:rsidR="00A50F4C">
        <w:rPr>
          <w:rFonts w:eastAsia="Times New Roman" w:cs="Times New Roman"/>
          <w:color w:val="000000"/>
          <w:szCs w:val="24"/>
        </w:rPr>
        <w:t>(5)</w:t>
      </w:r>
      <w:r>
        <w:rPr>
          <w:rFonts w:eastAsia="Times New Roman" w:cs="Times New Roman"/>
          <w:color w:val="000000"/>
          <w:szCs w:val="24"/>
        </w:rPr>
        <w:t xml:space="preserve">, 2535–2543. </w:t>
      </w:r>
    </w:p>
    <w:p w14:paraId="00000060" w14:textId="3A361A82"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Chomicki, G., Kiers, E.T.</w:t>
      </w:r>
      <w:r w:rsidR="00666741">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Renner, S.S. (2020b). The Evolution of </w:t>
      </w:r>
      <w:r w:rsidR="00104191">
        <w:rPr>
          <w:rFonts w:eastAsia="Times New Roman" w:cs="Times New Roman"/>
          <w:color w:val="000000"/>
          <w:szCs w:val="24"/>
        </w:rPr>
        <w:t>Mutualistic Dependence</w:t>
      </w:r>
      <w:r>
        <w:rPr>
          <w:rFonts w:eastAsia="Times New Roman" w:cs="Times New Roman"/>
          <w:color w:val="000000"/>
          <w:szCs w:val="24"/>
        </w:rPr>
        <w:t xml:space="preserve">. </w:t>
      </w:r>
      <w:r>
        <w:rPr>
          <w:rFonts w:eastAsia="Times New Roman" w:cs="Times New Roman"/>
          <w:i/>
          <w:iCs/>
          <w:color w:val="000000"/>
          <w:szCs w:val="24"/>
        </w:rPr>
        <w:t>Annual Review of Ecology, Evolution, and Systematics</w:t>
      </w:r>
      <w:r>
        <w:rPr>
          <w:rFonts w:eastAsia="Times New Roman" w:cs="Times New Roman"/>
          <w:color w:val="000000"/>
          <w:szCs w:val="24"/>
        </w:rPr>
        <w:t xml:space="preserve">, </w:t>
      </w:r>
      <w:r>
        <w:rPr>
          <w:rFonts w:eastAsia="Times New Roman" w:cs="Times New Roman"/>
          <w:i/>
          <w:iCs/>
          <w:color w:val="000000"/>
          <w:szCs w:val="24"/>
        </w:rPr>
        <w:t>51</w:t>
      </w:r>
      <w:r>
        <w:rPr>
          <w:rFonts w:eastAsia="Times New Roman" w:cs="Times New Roman"/>
          <w:color w:val="000000"/>
          <w:szCs w:val="24"/>
        </w:rPr>
        <w:t xml:space="preserve">, 409–432. </w:t>
      </w:r>
    </w:p>
    <w:p w14:paraId="00000061" w14:textId="4B7AE6FB"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Chomicki, G.</w:t>
      </w:r>
      <w:r w:rsidR="00666741">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Renner, S.S. (2015). Phylogenetics and molecular clocks reveal the </w:t>
      </w:r>
      <w:r w:rsidR="00104191">
        <w:rPr>
          <w:rFonts w:eastAsia="Times New Roman" w:cs="Times New Roman"/>
          <w:color w:val="000000"/>
          <w:szCs w:val="24"/>
        </w:rPr>
        <w:t>repeated evolution</w:t>
      </w:r>
      <w:r>
        <w:rPr>
          <w:rFonts w:eastAsia="Times New Roman" w:cs="Times New Roman"/>
          <w:color w:val="000000"/>
          <w:szCs w:val="24"/>
        </w:rPr>
        <w:t xml:space="preserve"> of ant-plants after the late Miocene in Africa and the early Miocene in Australasia and the Neotropics. </w:t>
      </w:r>
      <w:r>
        <w:rPr>
          <w:rFonts w:eastAsia="Times New Roman" w:cs="Times New Roman"/>
          <w:i/>
          <w:iCs/>
          <w:color w:val="000000"/>
          <w:szCs w:val="24"/>
        </w:rPr>
        <w:t>The New Phytologist</w:t>
      </w:r>
      <w:r>
        <w:rPr>
          <w:rFonts w:eastAsia="Times New Roman" w:cs="Times New Roman"/>
          <w:color w:val="000000"/>
          <w:szCs w:val="24"/>
        </w:rPr>
        <w:t xml:space="preserve">, </w:t>
      </w:r>
      <w:r>
        <w:rPr>
          <w:rFonts w:eastAsia="Times New Roman" w:cs="Times New Roman"/>
          <w:i/>
          <w:iCs/>
          <w:color w:val="000000"/>
          <w:szCs w:val="24"/>
        </w:rPr>
        <w:t>207</w:t>
      </w:r>
      <w:r w:rsidR="002578E6">
        <w:rPr>
          <w:rFonts w:eastAsia="Times New Roman" w:cs="Times New Roman"/>
          <w:color w:val="000000"/>
          <w:szCs w:val="24"/>
        </w:rPr>
        <w:t>(2)</w:t>
      </w:r>
      <w:r>
        <w:rPr>
          <w:rFonts w:eastAsia="Times New Roman" w:cs="Times New Roman"/>
          <w:color w:val="000000"/>
          <w:szCs w:val="24"/>
        </w:rPr>
        <w:t xml:space="preserve">, 411–424. </w:t>
      </w:r>
    </w:p>
    <w:p w14:paraId="00000062" w14:textId="137367B1"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Chomicki, G.</w:t>
      </w:r>
      <w:r w:rsidR="00666741">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Renner, S.S. (2016a). Obligate plant farming by a specialized ant. </w:t>
      </w:r>
      <w:r w:rsidR="00104191">
        <w:rPr>
          <w:rFonts w:eastAsia="Times New Roman" w:cs="Times New Roman"/>
          <w:i/>
          <w:iCs/>
          <w:color w:val="000000"/>
          <w:szCs w:val="24"/>
        </w:rPr>
        <w:t>Nature Plants</w:t>
      </w:r>
      <w:r>
        <w:rPr>
          <w:rFonts w:eastAsia="Times New Roman" w:cs="Times New Roman"/>
          <w:color w:val="000000"/>
          <w:szCs w:val="24"/>
        </w:rPr>
        <w:t xml:space="preserve">, </w:t>
      </w:r>
      <w:r>
        <w:rPr>
          <w:rFonts w:eastAsia="Times New Roman" w:cs="Times New Roman"/>
          <w:i/>
          <w:iCs/>
          <w:color w:val="000000"/>
          <w:szCs w:val="24"/>
        </w:rPr>
        <w:t>2</w:t>
      </w:r>
      <w:r>
        <w:rPr>
          <w:rFonts w:eastAsia="Times New Roman" w:cs="Times New Roman"/>
          <w:color w:val="000000"/>
          <w:szCs w:val="24"/>
        </w:rPr>
        <w:t xml:space="preserve">, 16181. </w:t>
      </w:r>
    </w:p>
    <w:p w14:paraId="00000063" w14:textId="1CA6D68B"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Chomicki, G.</w:t>
      </w:r>
      <w:r w:rsidR="00666741">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Renner, S.S. (2016b). Evolutionary relationships and biogeography of </w:t>
      </w:r>
      <w:r w:rsidR="00104191">
        <w:rPr>
          <w:rFonts w:eastAsia="Times New Roman" w:cs="Times New Roman"/>
          <w:color w:val="000000"/>
          <w:szCs w:val="24"/>
        </w:rPr>
        <w:t>the ant</w:t>
      </w:r>
      <w:r>
        <w:rPr>
          <w:rFonts w:eastAsia="Times New Roman" w:cs="Times New Roman"/>
          <w:color w:val="000000"/>
          <w:szCs w:val="24"/>
        </w:rPr>
        <w:t xml:space="preserve">-epiphytic genus </w:t>
      </w:r>
      <w:proofErr w:type="spellStart"/>
      <w:r w:rsidRPr="001E2806">
        <w:rPr>
          <w:rFonts w:eastAsia="Times New Roman" w:cs="Times New Roman"/>
          <w:i/>
          <w:iCs/>
          <w:color w:val="000000"/>
          <w:szCs w:val="24"/>
        </w:rPr>
        <w:t>Squamellaria</w:t>
      </w:r>
      <w:proofErr w:type="spellEnd"/>
      <w:r w:rsidRPr="001E2806">
        <w:rPr>
          <w:rFonts w:eastAsia="Times New Roman" w:cs="Times New Roman"/>
          <w:i/>
          <w:iCs/>
          <w:color w:val="000000"/>
          <w:szCs w:val="24"/>
        </w:rPr>
        <w:t xml:space="preserve"> </w:t>
      </w:r>
      <w:r>
        <w:rPr>
          <w:rFonts w:eastAsia="Times New Roman" w:cs="Times New Roman"/>
          <w:color w:val="000000"/>
          <w:szCs w:val="24"/>
        </w:rPr>
        <w:t>(</w:t>
      </w:r>
      <w:proofErr w:type="spellStart"/>
      <w:r>
        <w:rPr>
          <w:rFonts w:eastAsia="Times New Roman" w:cs="Times New Roman"/>
          <w:color w:val="000000"/>
          <w:szCs w:val="24"/>
        </w:rPr>
        <w:t>Rubiaceae</w:t>
      </w:r>
      <w:proofErr w:type="spellEnd"/>
      <w:r>
        <w:rPr>
          <w:rFonts w:eastAsia="Times New Roman" w:cs="Times New Roman"/>
          <w:color w:val="000000"/>
          <w:szCs w:val="24"/>
        </w:rPr>
        <w:t xml:space="preserve">: </w:t>
      </w:r>
      <w:proofErr w:type="spellStart"/>
      <w:r>
        <w:rPr>
          <w:rFonts w:eastAsia="Times New Roman" w:cs="Times New Roman"/>
          <w:color w:val="000000"/>
          <w:szCs w:val="24"/>
        </w:rPr>
        <w:t>Psychotrieae</w:t>
      </w:r>
      <w:proofErr w:type="spellEnd"/>
      <w:r>
        <w:rPr>
          <w:rFonts w:eastAsia="Times New Roman" w:cs="Times New Roman"/>
          <w:color w:val="000000"/>
          <w:szCs w:val="24"/>
        </w:rPr>
        <w:t xml:space="preserve">) and their taxonomic implications. </w:t>
      </w:r>
      <w:r>
        <w:rPr>
          <w:rFonts w:eastAsia="Times New Roman" w:cs="Times New Roman"/>
          <w:i/>
          <w:iCs/>
          <w:color w:val="000000"/>
          <w:szCs w:val="24"/>
        </w:rPr>
        <w:t>PL</w:t>
      </w:r>
      <w:r w:rsidR="001E2806">
        <w:rPr>
          <w:rFonts w:eastAsia="Times New Roman" w:cs="Times New Roman"/>
          <w:i/>
          <w:iCs/>
          <w:color w:val="000000"/>
          <w:szCs w:val="24"/>
        </w:rPr>
        <w:t>O</w:t>
      </w:r>
      <w:r>
        <w:rPr>
          <w:rFonts w:eastAsia="Times New Roman" w:cs="Times New Roman"/>
          <w:i/>
          <w:iCs/>
          <w:color w:val="000000"/>
          <w:szCs w:val="24"/>
        </w:rPr>
        <w:t>S O</w:t>
      </w:r>
      <w:r w:rsidR="001E2806">
        <w:rPr>
          <w:rFonts w:eastAsia="Times New Roman" w:cs="Times New Roman"/>
          <w:i/>
          <w:iCs/>
          <w:color w:val="000000"/>
          <w:szCs w:val="24"/>
        </w:rPr>
        <w:t>NE</w:t>
      </w:r>
      <w:r>
        <w:rPr>
          <w:rFonts w:eastAsia="Times New Roman" w:cs="Times New Roman"/>
          <w:i/>
          <w:iCs/>
          <w:color w:val="000000"/>
          <w:szCs w:val="24"/>
        </w:rPr>
        <w:t>, 11</w:t>
      </w:r>
      <w:r>
        <w:rPr>
          <w:rFonts w:eastAsia="Times New Roman" w:cs="Times New Roman"/>
          <w:color w:val="000000"/>
          <w:szCs w:val="24"/>
        </w:rPr>
        <w:t xml:space="preserve">(3), e0151317. </w:t>
      </w:r>
    </w:p>
    <w:p w14:paraId="00000064" w14:textId="49211161"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Chomicki, G.</w:t>
      </w:r>
      <w:r w:rsidR="00666741">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Renner, S.S. (2017). Partner abundance controls mutualism stability and </w:t>
      </w:r>
      <w:r w:rsidR="00104191">
        <w:rPr>
          <w:rFonts w:eastAsia="Times New Roman" w:cs="Times New Roman"/>
          <w:color w:val="000000"/>
          <w:szCs w:val="24"/>
        </w:rPr>
        <w:t>the pace</w:t>
      </w:r>
      <w:r>
        <w:rPr>
          <w:rFonts w:eastAsia="Times New Roman" w:cs="Times New Roman"/>
          <w:color w:val="000000"/>
          <w:szCs w:val="24"/>
        </w:rPr>
        <w:t xml:space="preserve"> of morphological change over geologic time. </w:t>
      </w:r>
      <w:r w:rsidR="0077760B">
        <w:rPr>
          <w:rFonts w:eastAsia="Times New Roman" w:cs="Times New Roman"/>
          <w:i/>
          <w:iCs/>
          <w:color w:val="000000"/>
          <w:szCs w:val="24"/>
        </w:rPr>
        <w:t xml:space="preserve">Proceedings of the National Academy of Sciences of the </w:t>
      </w:r>
      <w:r w:rsidR="0041500D">
        <w:rPr>
          <w:rFonts w:eastAsia="Times New Roman" w:cs="Times New Roman"/>
          <w:i/>
          <w:iCs/>
          <w:color w:val="000000"/>
          <w:szCs w:val="24"/>
        </w:rPr>
        <w:t>United</w:t>
      </w:r>
      <w:r w:rsidR="0077760B">
        <w:rPr>
          <w:rFonts w:eastAsia="Times New Roman" w:cs="Times New Roman"/>
          <w:i/>
          <w:iCs/>
          <w:color w:val="000000"/>
          <w:szCs w:val="24"/>
        </w:rPr>
        <w:t xml:space="preserve"> States of America</w:t>
      </w:r>
      <w:r>
        <w:rPr>
          <w:rFonts w:eastAsia="Times New Roman" w:cs="Times New Roman"/>
          <w:color w:val="000000"/>
          <w:szCs w:val="24"/>
        </w:rPr>
        <w:t xml:space="preserve">, </w:t>
      </w:r>
      <w:r>
        <w:rPr>
          <w:rFonts w:eastAsia="Times New Roman" w:cs="Times New Roman"/>
          <w:i/>
          <w:iCs/>
          <w:color w:val="000000"/>
          <w:szCs w:val="24"/>
        </w:rPr>
        <w:t>114</w:t>
      </w:r>
      <w:r w:rsidR="002578E6">
        <w:rPr>
          <w:rFonts w:eastAsia="Times New Roman" w:cs="Times New Roman"/>
          <w:color w:val="000000"/>
          <w:szCs w:val="24"/>
        </w:rPr>
        <w:t>(15</w:t>
      </w:r>
      <w:r w:rsidR="00104191">
        <w:rPr>
          <w:rFonts w:eastAsia="Times New Roman" w:cs="Times New Roman"/>
          <w:color w:val="000000"/>
          <w:szCs w:val="24"/>
        </w:rPr>
        <w:t>), 3951</w:t>
      </w:r>
      <w:r>
        <w:rPr>
          <w:rFonts w:eastAsia="Times New Roman" w:cs="Times New Roman"/>
          <w:color w:val="000000"/>
          <w:szCs w:val="24"/>
        </w:rPr>
        <w:t xml:space="preserve">–3956. </w:t>
      </w:r>
    </w:p>
    <w:p w14:paraId="00000065" w14:textId="1E47B1B0"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Chomicki, G.</w:t>
      </w:r>
      <w:r w:rsidR="00666741">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sidR="00DC0A02">
        <w:rPr>
          <w:rFonts w:eastAsia="Times New Roman" w:cs="Times New Roman"/>
          <w:color w:val="000000"/>
          <w:szCs w:val="24"/>
        </w:rPr>
        <w:t xml:space="preserve"> </w:t>
      </w:r>
      <w:r>
        <w:rPr>
          <w:rFonts w:eastAsia="Times New Roman" w:cs="Times New Roman"/>
          <w:color w:val="000000"/>
          <w:szCs w:val="24"/>
        </w:rPr>
        <w:t xml:space="preserve">Renner, S.S. (2019). Farming by ants remodels nutrient uptake in epiphytes. </w:t>
      </w:r>
      <w:r>
        <w:rPr>
          <w:rFonts w:eastAsia="Times New Roman" w:cs="Times New Roman"/>
          <w:i/>
          <w:iCs/>
          <w:color w:val="000000"/>
          <w:szCs w:val="24"/>
        </w:rPr>
        <w:t>The New Phytologist</w:t>
      </w:r>
      <w:r>
        <w:rPr>
          <w:rFonts w:eastAsia="Times New Roman" w:cs="Times New Roman"/>
          <w:color w:val="000000"/>
          <w:szCs w:val="24"/>
        </w:rPr>
        <w:t xml:space="preserve">, </w:t>
      </w:r>
      <w:r>
        <w:rPr>
          <w:rFonts w:eastAsia="Times New Roman" w:cs="Times New Roman"/>
          <w:i/>
          <w:iCs/>
          <w:color w:val="000000"/>
          <w:szCs w:val="24"/>
        </w:rPr>
        <w:t>223</w:t>
      </w:r>
      <w:r w:rsidR="002578E6">
        <w:rPr>
          <w:rFonts w:eastAsia="Times New Roman" w:cs="Times New Roman"/>
          <w:color w:val="000000"/>
          <w:szCs w:val="24"/>
        </w:rPr>
        <w:t>(4)</w:t>
      </w:r>
      <w:r>
        <w:rPr>
          <w:rFonts w:eastAsia="Times New Roman" w:cs="Times New Roman"/>
          <w:color w:val="000000"/>
          <w:szCs w:val="24"/>
        </w:rPr>
        <w:t xml:space="preserve">, 2011–2023. </w:t>
      </w:r>
    </w:p>
    <w:p w14:paraId="00000066" w14:textId="07242D5B"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Chomicki, G., Weber, M., Antonelli, A., </w:t>
      </w:r>
      <w:proofErr w:type="spellStart"/>
      <w:r>
        <w:rPr>
          <w:rFonts w:eastAsia="Times New Roman" w:cs="Times New Roman"/>
          <w:color w:val="000000"/>
          <w:szCs w:val="24"/>
        </w:rPr>
        <w:t>Bascompte</w:t>
      </w:r>
      <w:proofErr w:type="spellEnd"/>
      <w:r>
        <w:rPr>
          <w:rFonts w:eastAsia="Times New Roman" w:cs="Times New Roman"/>
          <w:color w:val="000000"/>
          <w:szCs w:val="24"/>
        </w:rPr>
        <w:t>, J.</w:t>
      </w:r>
      <w:r w:rsidR="00666741">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Kiers, E.T. (2019). The impact </w:t>
      </w:r>
      <w:r w:rsidR="00104191">
        <w:rPr>
          <w:rFonts w:eastAsia="Times New Roman" w:cs="Times New Roman"/>
          <w:color w:val="000000"/>
          <w:szCs w:val="24"/>
        </w:rPr>
        <w:t>of mutualisms</w:t>
      </w:r>
      <w:r>
        <w:rPr>
          <w:rFonts w:eastAsia="Times New Roman" w:cs="Times New Roman"/>
          <w:color w:val="000000"/>
          <w:szCs w:val="24"/>
        </w:rPr>
        <w:t xml:space="preserve"> on species richness. </w:t>
      </w:r>
      <w:r>
        <w:rPr>
          <w:rFonts w:eastAsia="Times New Roman" w:cs="Times New Roman"/>
          <w:i/>
          <w:iCs/>
          <w:color w:val="000000"/>
          <w:szCs w:val="24"/>
        </w:rPr>
        <w:t>Trends in Ecology and Evolution</w:t>
      </w:r>
      <w:r>
        <w:rPr>
          <w:rFonts w:eastAsia="Times New Roman" w:cs="Times New Roman"/>
          <w:color w:val="000000"/>
          <w:szCs w:val="24"/>
        </w:rPr>
        <w:t xml:space="preserve">, </w:t>
      </w:r>
      <w:r>
        <w:rPr>
          <w:rFonts w:eastAsia="Times New Roman" w:cs="Times New Roman"/>
          <w:i/>
          <w:iCs/>
          <w:color w:val="000000"/>
          <w:szCs w:val="24"/>
        </w:rPr>
        <w:t>34</w:t>
      </w:r>
      <w:r>
        <w:rPr>
          <w:rFonts w:eastAsia="Times New Roman" w:cs="Times New Roman"/>
          <w:color w:val="000000"/>
          <w:szCs w:val="24"/>
        </w:rPr>
        <w:t xml:space="preserve">, 698-711. </w:t>
      </w:r>
    </w:p>
    <w:p w14:paraId="00000067" w14:textId="77777777"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Davidson, D.W. (1988). Ecological studies of neotropical ant gardens. </w:t>
      </w:r>
      <w:r>
        <w:rPr>
          <w:rFonts w:eastAsia="Times New Roman" w:cs="Times New Roman"/>
          <w:i/>
          <w:iCs/>
          <w:color w:val="000000"/>
          <w:szCs w:val="24"/>
        </w:rPr>
        <w:t>Ecology, 69</w:t>
      </w:r>
      <w:r>
        <w:rPr>
          <w:rFonts w:eastAsia="Times New Roman" w:cs="Times New Roman"/>
          <w:color w:val="000000"/>
          <w:szCs w:val="24"/>
        </w:rPr>
        <w:t xml:space="preserve">, 1138– 1152. </w:t>
      </w:r>
    </w:p>
    <w:p w14:paraId="00000068" w14:textId="41D19887"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Davidson, D.W.</w:t>
      </w:r>
      <w:r w:rsidR="00666741">
        <w:rPr>
          <w:rFonts w:eastAsia="Times New Roman" w:cs="Times New Roman"/>
          <w:color w:val="000000"/>
          <w:szCs w:val="24"/>
        </w:rPr>
        <w:t>, and</w:t>
      </w:r>
      <w:r>
        <w:rPr>
          <w:rFonts w:eastAsia="Times New Roman" w:cs="Times New Roman"/>
          <w:color w:val="000000"/>
          <w:szCs w:val="24"/>
        </w:rPr>
        <w:t xml:space="preserve"> McKey, D. (1993). The evolutionary ecology of symbiotic ant/</w:t>
      </w:r>
      <w:r w:rsidR="00104191">
        <w:rPr>
          <w:rFonts w:eastAsia="Times New Roman" w:cs="Times New Roman"/>
          <w:color w:val="000000"/>
          <w:szCs w:val="24"/>
        </w:rPr>
        <w:t>plant relationships</w:t>
      </w:r>
      <w:r>
        <w:rPr>
          <w:rFonts w:eastAsia="Times New Roman" w:cs="Times New Roman"/>
          <w:color w:val="000000"/>
          <w:szCs w:val="24"/>
        </w:rPr>
        <w:t xml:space="preserve">. </w:t>
      </w:r>
      <w:r>
        <w:rPr>
          <w:rFonts w:eastAsia="Times New Roman" w:cs="Times New Roman"/>
          <w:i/>
          <w:iCs/>
          <w:color w:val="000000"/>
          <w:szCs w:val="24"/>
        </w:rPr>
        <w:t>Journal of Hymenoptera Research, 2</w:t>
      </w:r>
      <w:r>
        <w:rPr>
          <w:rFonts w:eastAsia="Times New Roman" w:cs="Times New Roman"/>
          <w:color w:val="000000"/>
          <w:szCs w:val="24"/>
        </w:rPr>
        <w:t xml:space="preserve">, 13–83. </w:t>
      </w:r>
    </w:p>
    <w:p w14:paraId="00000069" w14:textId="77777777"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Dudley, S.A. (2015). Plant cooperation. </w:t>
      </w:r>
      <w:r>
        <w:rPr>
          <w:rFonts w:eastAsia="Times New Roman" w:cs="Times New Roman"/>
          <w:i/>
          <w:iCs/>
          <w:color w:val="000000"/>
          <w:szCs w:val="24"/>
        </w:rPr>
        <w:t>Annals of Botany Plants</w:t>
      </w:r>
      <w:r>
        <w:rPr>
          <w:rFonts w:eastAsia="Times New Roman" w:cs="Times New Roman"/>
          <w:color w:val="000000"/>
          <w:szCs w:val="24"/>
        </w:rPr>
        <w:t xml:space="preserve">, </w:t>
      </w:r>
      <w:r>
        <w:rPr>
          <w:rFonts w:eastAsia="Times New Roman" w:cs="Times New Roman"/>
          <w:i/>
          <w:iCs/>
          <w:color w:val="000000"/>
          <w:szCs w:val="24"/>
        </w:rPr>
        <w:t>7</w:t>
      </w:r>
      <w:r>
        <w:rPr>
          <w:rFonts w:eastAsia="Times New Roman" w:cs="Times New Roman"/>
          <w:color w:val="000000"/>
          <w:szCs w:val="24"/>
        </w:rPr>
        <w:t xml:space="preserve">, plv113. </w:t>
      </w:r>
    </w:p>
    <w:p w14:paraId="0000006A" w14:textId="6C05526D"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sidRPr="003D71C2">
        <w:rPr>
          <w:rFonts w:eastAsia="Times New Roman" w:cs="Times New Roman"/>
          <w:color w:val="000000"/>
          <w:szCs w:val="24"/>
          <w:lang w:val="pt-BR"/>
        </w:rPr>
        <w:t xml:space="preserve">EPA. (2022). </w:t>
      </w:r>
      <w:r w:rsidRPr="003D71C2">
        <w:rPr>
          <w:rFonts w:eastAsia="Times New Roman" w:cs="Times New Roman"/>
          <w:color w:val="0563C1"/>
          <w:szCs w:val="24"/>
          <w:u w:val="single"/>
          <w:lang w:val="pt-BR"/>
        </w:rPr>
        <w:t xml:space="preserve">https://www.epa.gov/coral-reefs/basic-information-about-coral-reefs. </w:t>
      </w:r>
      <w:r w:rsidR="00104191">
        <w:rPr>
          <w:rFonts w:eastAsia="Times New Roman" w:cs="Times New Roman"/>
          <w:color w:val="0563C1"/>
          <w:szCs w:val="24"/>
          <w:u w:val="single"/>
        </w:rPr>
        <w:t xml:space="preserve">Accessed </w:t>
      </w:r>
      <w:r w:rsidR="00104191">
        <w:rPr>
          <w:rFonts w:eastAsia="Times New Roman" w:cs="Times New Roman"/>
          <w:color w:val="0563C1"/>
          <w:szCs w:val="24"/>
        </w:rPr>
        <w:t>May</w:t>
      </w:r>
      <w:r>
        <w:rPr>
          <w:rFonts w:eastAsia="Times New Roman" w:cs="Times New Roman"/>
          <w:color w:val="0563C1"/>
          <w:szCs w:val="24"/>
          <w:u w:val="single"/>
        </w:rPr>
        <w:t xml:space="preserve"> 2022</w:t>
      </w:r>
      <w:r>
        <w:rPr>
          <w:rFonts w:eastAsia="Times New Roman" w:cs="Times New Roman"/>
          <w:color w:val="000000"/>
          <w:szCs w:val="24"/>
        </w:rPr>
        <w:t xml:space="preserve">. </w:t>
      </w:r>
    </w:p>
    <w:p w14:paraId="0000006C" w14:textId="6F12F57E" w:rsidR="00E420E3" w:rsidRPr="00B41661"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Field, K.J., Pressel, S., Duckett, J.G., Rimington, W.R.</w:t>
      </w:r>
      <w:r w:rsidR="00666741">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w:t>
      </w:r>
      <w:proofErr w:type="spellStart"/>
      <w:r>
        <w:rPr>
          <w:rFonts w:eastAsia="Times New Roman" w:cs="Times New Roman"/>
          <w:color w:val="000000"/>
          <w:szCs w:val="24"/>
        </w:rPr>
        <w:t>Bidartondo</w:t>
      </w:r>
      <w:proofErr w:type="spellEnd"/>
      <w:r>
        <w:rPr>
          <w:rFonts w:eastAsia="Times New Roman" w:cs="Times New Roman"/>
          <w:color w:val="000000"/>
          <w:szCs w:val="24"/>
        </w:rPr>
        <w:t xml:space="preserve">, M.I. (2015).  Symbiotic options for the conquest of land. </w:t>
      </w:r>
      <w:r>
        <w:rPr>
          <w:rFonts w:eastAsia="Times New Roman" w:cs="Times New Roman"/>
          <w:i/>
          <w:iCs/>
          <w:color w:val="000000"/>
          <w:szCs w:val="24"/>
        </w:rPr>
        <w:t>Trends in Ecology and Evolution, 30</w:t>
      </w:r>
      <w:r w:rsidR="00B478CB">
        <w:rPr>
          <w:rFonts w:eastAsia="Times New Roman" w:cs="Times New Roman"/>
          <w:color w:val="000000"/>
          <w:szCs w:val="24"/>
        </w:rPr>
        <w:t>(8)</w:t>
      </w:r>
      <w:r>
        <w:rPr>
          <w:rFonts w:eastAsia="Times New Roman" w:cs="Times New Roman"/>
          <w:color w:val="000000"/>
          <w:szCs w:val="24"/>
        </w:rPr>
        <w:t xml:space="preserve">, 477- </w:t>
      </w:r>
      <w:r>
        <w:rPr>
          <w:rFonts w:eastAsia="Times New Roman" w:cs="Times New Roman"/>
          <w:color w:val="000000"/>
          <w:szCs w:val="24"/>
        </w:rPr>
        <w:lastRenderedPageBreak/>
        <w:t>486.</w:t>
      </w:r>
    </w:p>
    <w:p w14:paraId="0000006D" w14:textId="3973E0E1"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Fisher, R.M., Henry, L.M., Cornwallis, C.K., Kiers, E.T.</w:t>
      </w:r>
      <w:r w:rsidR="00666741">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West, S.A. (2017). The </w:t>
      </w:r>
      <w:r w:rsidR="00104191">
        <w:rPr>
          <w:rFonts w:eastAsia="Times New Roman" w:cs="Times New Roman"/>
          <w:color w:val="000000"/>
          <w:szCs w:val="24"/>
        </w:rPr>
        <w:t>evolution of</w:t>
      </w:r>
      <w:r>
        <w:rPr>
          <w:rFonts w:eastAsia="Times New Roman" w:cs="Times New Roman"/>
          <w:color w:val="000000"/>
          <w:szCs w:val="24"/>
        </w:rPr>
        <w:t xml:space="preserve"> host-symbiont dependence. </w:t>
      </w:r>
      <w:r>
        <w:rPr>
          <w:rFonts w:eastAsia="Times New Roman" w:cs="Times New Roman"/>
          <w:i/>
          <w:iCs/>
          <w:color w:val="000000"/>
          <w:szCs w:val="24"/>
        </w:rPr>
        <w:t>Nature Communications, 8</w:t>
      </w:r>
      <w:r>
        <w:rPr>
          <w:rFonts w:eastAsia="Times New Roman" w:cs="Times New Roman"/>
          <w:color w:val="000000"/>
          <w:szCs w:val="24"/>
        </w:rPr>
        <w:t xml:space="preserve">, 15973. </w:t>
      </w:r>
    </w:p>
    <w:p w14:paraId="0000006E" w14:textId="2A0BCDAD"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Frederickson, M.E. (2005). Ant species confer different partner benefits on two </w:t>
      </w:r>
      <w:r w:rsidR="00104191">
        <w:rPr>
          <w:rFonts w:eastAsia="Times New Roman" w:cs="Times New Roman"/>
          <w:color w:val="000000"/>
          <w:szCs w:val="24"/>
        </w:rPr>
        <w:t>neotropical myrmecophytes</w:t>
      </w:r>
      <w:r>
        <w:rPr>
          <w:rFonts w:eastAsia="Times New Roman" w:cs="Times New Roman"/>
          <w:color w:val="000000"/>
          <w:szCs w:val="24"/>
        </w:rPr>
        <w:t xml:space="preserve">. </w:t>
      </w:r>
      <w:proofErr w:type="spellStart"/>
      <w:r>
        <w:rPr>
          <w:rFonts w:eastAsia="Times New Roman" w:cs="Times New Roman"/>
          <w:i/>
          <w:iCs/>
          <w:color w:val="000000"/>
          <w:szCs w:val="24"/>
        </w:rPr>
        <w:t>Oecologia</w:t>
      </w:r>
      <w:proofErr w:type="spellEnd"/>
      <w:r>
        <w:rPr>
          <w:rFonts w:eastAsia="Times New Roman" w:cs="Times New Roman"/>
          <w:color w:val="000000"/>
          <w:szCs w:val="24"/>
        </w:rPr>
        <w:t xml:space="preserve">, </w:t>
      </w:r>
      <w:r>
        <w:rPr>
          <w:rFonts w:eastAsia="Times New Roman" w:cs="Times New Roman"/>
          <w:i/>
          <w:iCs/>
          <w:color w:val="000000"/>
          <w:szCs w:val="24"/>
        </w:rPr>
        <w:t>143</w:t>
      </w:r>
      <w:r w:rsidR="00B478CB">
        <w:rPr>
          <w:rFonts w:eastAsia="Times New Roman" w:cs="Times New Roman"/>
          <w:color w:val="000000"/>
          <w:szCs w:val="24"/>
        </w:rPr>
        <w:t>(3)</w:t>
      </w:r>
      <w:r>
        <w:rPr>
          <w:rFonts w:eastAsia="Times New Roman" w:cs="Times New Roman"/>
          <w:color w:val="000000"/>
          <w:szCs w:val="24"/>
        </w:rPr>
        <w:t xml:space="preserve">, 387–395. </w:t>
      </w:r>
    </w:p>
    <w:p w14:paraId="0000006F" w14:textId="2457F801"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Frederickson, M.E.</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Gordon, D.M. (2007). The devil to pay: </w:t>
      </w:r>
      <w:r w:rsidR="00B41661">
        <w:rPr>
          <w:rFonts w:eastAsia="Times New Roman" w:cs="Times New Roman"/>
          <w:color w:val="000000"/>
          <w:szCs w:val="24"/>
        </w:rPr>
        <w:t>A</w:t>
      </w:r>
      <w:r>
        <w:rPr>
          <w:rFonts w:eastAsia="Times New Roman" w:cs="Times New Roman"/>
          <w:color w:val="000000"/>
          <w:szCs w:val="24"/>
        </w:rPr>
        <w:t xml:space="preserve"> cost of mutualism </w:t>
      </w:r>
      <w:r w:rsidR="00104191">
        <w:rPr>
          <w:rFonts w:eastAsia="Times New Roman" w:cs="Times New Roman"/>
          <w:color w:val="000000"/>
          <w:szCs w:val="24"/>
        </w:rPr>
        <w:t xml:space="preserve">with </w:t>
      </w:r>
      <w:proofErr w:type="spellStart"/>
      <w:r w:rsidR="00104191">
        <w:rPr>
          <w:rFonts w:eastAsia="Times New Roman" w:cs="Times New Roman"/>
          <w:color w:val="000000"/>
          <w:szCs w:val="24"/>
        </w:rPr>
        <w:t>Myrmelachista</w:t>
      </w:r>
      <w:proofErr w:type="spellEnd"/>
      <w:r w:rsidRPr="004A0AB4">
        <w:rPr>
          <w:rFonts w:eastAsia="Times New Roman" w:cs="Times New Roman"/>
          <w:i/>
          <w:iCs/>
          <w:color w:val="000000"/>
          <w:szCs w:val="24"/>
        </w:rPr>
        <w:t xml:space="preserve"> </w:t>
      </w:r>
      <w:proofErr w:type="spellStart"/>
      <w:r w:rsidRPr="004A0AB4">
        <w:rPr>
          <w:rFonts w:eastAsia="Times New Roman" w:cs="Times New Roman"/>
          <w:i/>
          <w:iCs/>
          <w:color w:val="000000"/>
          <w:szCs w:val="24"/>
        </w:rPr>
        <w:t>schumanni</w:t>
      </w:r>
      <w:proofErr w:type="spellEnd"/>
      <w:r>
        <w:rPr>
          <w:rFonts w:eastAsia="Times New Roman" w:cs="Times New Roman"/>
          <w:color w:val="000000"/>
          <w:szCs w:val="24"/>
        </w:rPr>
        <w:t xml:space="preserve"> ants in 'devil's gardens' is increased herbivory on </w:t>
      </w:r>
      <w:proofErr w:type="spellStart"/>
      <w:r w:rsidR="00104191" w:rsidRPr="004A0AB4">
        <w:rPr>
          <w:rFonts w:eastAsia="Times New Roman" w:cs="Times New Roman"/>
          <w:i/>
          <w:iCs/>
          <w:color w:val="000000"/>
          <w:szCs w:val="24"/>
        </w:rPr>
        <w:t>Duroia</w:t>
      </w:r>
      <w:proofErr w:type="spellEnd"/>
      <w:r w:rsidR="00104191" w:rsidRPr="004A0AB4">
        <w:rPr>
          <w:rFonts w:eastAsia="Times New Roman" w:cs="Times New Roman"/>
          <w:i/>
          <w:iCs/>
          <w:color w:val="000000"/>
          <w:szCs w:val="24"/>
        </w:rPr>
        <w:t xml:space="preserve"> </w:t>
      </w:r>
      <w:proofErr w:type="spellStart"/>
      <w:r w:rsidR="00104191" w:rsidRPr="004A0AB4">
        <w:rPr>
          <w:rFonts w:eastAsia="Times New Roman" w:cs="Times New Roman"/>
          <w:i/>
          <w:iCs/>
          <w:color w:val="000000"/>
          <w:szCs w:val="24"/>
        </w:rPr>
        <w:t>hirsuta</w:t>
      </w:r>
      <w:proofErr w:type="spellEnd"/>
      <w:r>
        <w:rPr>
          <w:rFonts w:eastAsia="Times New Roman" w:cs="Times New Roman"/>
          <w:color w:val="000000"/>
          <w:szCs w:val="24"/>
        </w:rPr>
        <w:t xml:space="preserve"> trees. </w:t>
      </w:r>
      <w:r w:rsidR="004A0AB4">
        <w:rPr>
          <w:rFonts w:eastAsia="Times New Roman" w:cs="Times New Roman"/>
          <w:i/>
          <w:iCs/>
          <w:color w:val="000000"/>
          <w:szCs w:val="24"/>
        </w:rPr>
        <w:t>Proceedings of the Royal Society</w:t>
      </w:r>
      <w:r w:rsidR="004A0AB4">
        <w:rPr>
          <w:rFonts w:eastAsia="Times New Roman" w:cs="Times New Roman"/>
          <w:color w:val="000000"/>
          <w:szCs w:val="24"/>
        </w:rPr>
        <w:t xml:space="preserve"> </w:t>
      </w:r>
      <w:r w:rsidR="004A0AB4">
        <w:rPr>
          <w:rFonts w:eastAsia="Times New Roman" w:cs="Times New Roman"/>
          <w:i/>
          <w:iCs/>
          <w:color w:val="000000"/>
          <w:szCs w:val="24"/>
        </w:rPr>
        <w:t>B: Biological Sciences</w:t>
      </w:r>
      <w:r>
        <w:rPr>
          <w:rFonts w:eastAsia="Times New Roman" w:cs="Times New Roman"/>
          <w:color w:val="000000"/>
          <w:szCs w:val="24"/>
        </w:rPr>
        <w:t xml:space="preserve">, </w:t>
      </w:r>
      <w:r>
        <w:rPr>
          <w:rFonts w:eastAsia="Times New Roman" w:cs="Times New Roman"/>
          <w:i/>
          <w:iCs/>
          <w:color w:val="000000"/>
          <w:szCs w:val="24"/>
        </w:rPr>
        <w:t>274</w:t>
      </w:r>
      <w:r w:rsidR="00B478CB">
        <w:rPr>
          <w:rFonts w:eastAsia="Times New Roman" w:cs="Times New Roman"/>
          <w:color w:val="000000"/>
          <w:szCs w:val="24"/>
        </w:rPr>
        <w:t>(1613)</w:t>
      </w:r>
      <w:r>
        <w:rPr>
          <w:rFonts w:eastAsia="Times New Roman" w:cs="Times New Roman"/>
          <w:color w:val="000000"/>
          <w:szCs w:val="24"/>
        </w:rPr>
        <w:t xml:space="preserve">, 1117–1123.  </w:t>
      </w:r>
    </w:p>
    <w:p w14:paraId="00000070" w14:textId="253A81C1"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proofErr w:type="spellStart"/>
      <w:r>
        <w:rPr>
          <w:rFonts w:eastAsia="Times New Roman" w:cs="Times New Roman"/>
          <w:color w:val="000000"/>
          <w:szCs w:val="24"/>
        </w:rPr>
        <w:t>Fukatsu</w:t>
      </w:r>
      <w:proofErr w:type="spellEnd"/>
      <w:r>
        <w:rPr>
          <w:rFonts w:eastAsia="Times New Roman" w:cs="Times New Roman"/>
          <w:color w:val="000000"/>
          <w:szCs w:val="24"/>
        </w:rPr>
        <w:t>, T.</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Ishikawa, H. (1996). Phylogenetic position of yeast-like symbiont </w:t>
      </w:r>
      <w:r w:rsidR="00104191">
        <w:rPr>
          <w:rFonts w:eastAsia="Times New Roman" w:cs="Times New Roman"/>
          <w:color w:val="000000"/>
          <w:szCs w:val="24"/>
        </w:rPr>
        <w:t xml:space="preserve">of </w:t>
      </w:r>
      <w:proofErr w:type="spellStart"/>
      <w:r w:rsidR="00104191">
        <w:rPr>
          <w:rFonts w:eastAsia="Times New Roman" w:cs="Times New Roman"/>
          <w:color w:val="000000"/>
          <w:szCs w:val="24"/>
        </w:rPr>
        <w:t>Hamiltonaphis</w:t>
      </w:r>
      <w:proofErr w:type="spellEnd"/>
      <w:r w:rsidRPr="0061280E">
        <w:rPr>
          <w:rFonts w:eastAsia="Times New Roman" w:cs="Times New Roman"/>
          <w:i/>
          <w:iCs/>
          <w:color w:val="000000"/>
          <w:szCs w:val="24"/>
        </w:rPr>
        <w:t xml:space="preserve"> </w:t>
      </w:r>
      <w:proofErr w:type="spellStart"/>
      <w:r w:rsidRPr="0061280E">
        <w:rPr>
          <w:rFonts w:eastAsia="Times New Roman" w:cs="Times New Roman"/>
          <w:i/>
          <w:iCs/>
          <w:color w:val="000000"/>
          <w:szCs w:val="24"/>
        </w:rPr>
        <w:t>styraci</w:t>
      </w:r>
      <w:proofErr w:type="spellEnd"/>
      <w:r>
        <w:rPr>
          <w:rFonts w:eastAsia="Times New Roman" w:cs="Times New Roman"/>
          <w:color w:val="000000"/>
          <w:szCs w:val="24"/>
        </w:rPr>
        <w:t xml:space="preserve"> (</w:t>
      </w:r>
      <w:proofErr w:type="spellStart"/>
      <w:r>
        <w:rPr>
          <w:rFonts w:eastAsia="Times New Roman" w:cs="Times New Roman"/>
          <w:color w:val="000000"/>
          <w:szCs w:val="24"/>
        </w:rPr>
        <w:t>Homoptera</w:t>
      </w:r>
      <w:proofErr w:type="spellEnd"/>
      <w:r>
        <w:rPr>
          <w:rFonts w:eastAsia="Times New Roman" w:cs="Times New Roman"/>
          <w:color w:val="000000"/>
          <w:szCs w:val="24"/>
        </w:rPr>
        <w:t xml:space="preserve">, Aphididae) based on 18S rDNA sequence. </w:t>
      </w:r>
      <w:r w:rsidR="00104191">
        <w:rPr>
          <w:rFonts w:eastAsia="Times New Roman" w:cs="Times New Roman"/>
          <w:i/>
          <w:iCs/>
          <w:color w:val="000000"/>
          <w:szCs w:val="24"/>
        </w:rPr>
        <w:t>Insect Biochemistry</w:t>
      </w:r>
      <w:r w:rsidR="0046726B">
        <w:rPr>
          <w:rFonts w:eastAsia="Times New Roman" w:cs="Times New Roman"/>
          <w:i/>
          <w:iCs/>
          <w:color w:val="000000"/>
          <w:szCs w:val="24"/>
        </w:rPr>
        <w:t xml:space="preserve"> and</w:t>
      </w:r>
      <w:r>
        <w:rPr>
          <w:rFonts w:eastAsia="Times New Roman" w:cs="Times New Roman"/>
          <w:color w:val="000000"/>
          <w:szCs w:val="24"/>
        </w:rPr>
        <w:t xml:space="preserve"> </w:t>
      </w:r>
      <w:r>
        <w:rPr>
          <w:rFonts w:eastAsia="Times New Roman" w:cs="Times New Roman"/>
          <w:i/>
          <w:iCs/>
          <w:color w:val="000000"/>
          <w:szCs w:val="24"/>
        </w:rPr>
        <w:t>Molecular Biology</w:t>
      </w:r>
      <w:r w:rsidR="0046726B">
        <w:rPr>
          <w:rFonts w:eastAsia="Times New Roman" w:cs="Times New Roman"/>
          <w:i/>
          <w:iCs/>
          <w:color w:val="000000"/>
          <w:szCs w:val="24"/>
        </w:rPr>
        <w:t>,</w:t>
      </w:r>
      <w:r>
        <w:rPr>
          <w:rFonts w:eastAsia="Times New Roman" w:cs="Times New Roman"/>
          <w:i/>
          <w:iCs/>
          <w:color w:val="000000"/>
          <w:szCs w:val="24"/>
        </w:rPr>
        <w:t xml:space="preserve"> 26</w:t>
      </w:r>
      <w:r>
        <w:rPr>
          <w:rFonts w:eastAsia="Times New Roman" w:cs="Times New Roman"/>
          <w:color w:val="000000"/>
          <w:szCs w:val="24"/>
        </w:rPr>
        <w:t xml:space="preserve">, 383–388. </w:t>
      </w:r>
    </w:p>
    <w:p w14:paraId="00000071" w14:textId="5B320D2F"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Gatehouse, J.A. (2002). Plant resistance towards insect herbivores: </w:t>
      </w:r>
      <w:r w:rsidR="0046726B">
        <w:rPr>
          <w:rFonts w:eastAsia="Times New Roman" w:cs="Times New Roman"/>
          <w:color w:val="000000"/>
          <w:szCs w:val="24"/>
        </w:rPr>
        <w:t>A</w:t>
      </w:r>
      <w:r>
        <w:rPr>
          <w:rFonts w:eastAsia="Times New Roman" w:cs="Times New Roman"/>
          <w:color w:val="000000"/>
          <w:szCs w:val="24"/>
        </w:rPr>
        <w:t xml:space="preserve"> dynamic interaction. </w:t>
      </w:r>
      <w:r>
        <w:rPr>
          <w:rFonts w:eastAsia="Times New Roman" w:cs="Times New Roman"/>
          <w:i/>
          <w:iCs/>
          <w:color w:val="000000"/>
          <w:szCs w:val="24"/>
        </w:rPr>
        <w:t>The New Phytologist</w:t>
      </w:r>
      <w:r>
        <w:rPr>
          <w:rFonts w:eastAsia="Times New Roman" w:cs="Times New Roman"/>
          <w:color w:val="000000"/>
          <w:szCs w:val="24"/>
        </w:rPr>
        <w:t xml:space="preserve">, </w:t>
      </w:r>
      <w:r>
        <w:rPr>
          <w:rFonts w:eastAsia="Times New Roman" w:cs="Times New Roman"/>
          <w:i/>
          <w:iCs/>
          <w:color w:val="000000"/>
          <w:szCs w:val="24"/>
        </w:rPr>
        <w:t>156</w:t>
      </w:r>
      <w:r w:rsidR="00B478CB">
        <w:rPr>
          <w:rFonts w:eastAsia="Times New Roman" w:cs="Times New Roman"/>
          <w:color w:val="000000"/>
          <w:szCs w:val="24"/>
        </w:rPr>
        <w:t>(2)</w:t>
      </w:r>
      <w:r>
        <w:rPr>
          <w:rFonts w:eastAsia="Times New Roman" w:cs="Times New Roman"/>
          <w:color w:val="000000"/>
          <w:szCs w:val="24"/>
        </w:rPr>
        <w:t xml:space="preserve">, 145–169. </w:t>
      </w:r>
    </w:p>
    <w:p w14:paraId="00000072" w14:textId="16ED795B"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Gay, H. (1993). Animal-fed plants: </w:t>
      </w:r>
      <w:r w:rsidR="0046726B">
        <w:rPr>
          <w:rFonts w:eastAsia="Times New Roman" w:cs="Times New Roman"/>
          <w:color w:val="000000"/>
          <w:szCs w:val="24"/>
        </w:rPr>
        <w:t>A</w:t>
      </w:r>
      <w:r>
        <w:rPr>
          <w:rFonts w:eastAsia="Times New Roman" w:cs="Times New Roman"/>
          <w:color w:val="000000"/>
          <w:szCs w:val="24"/>
        </w:rPr>
        <w:t xml:space="preserve">n investigation into the uptake of ant-derived nutrients </w:t>
      </w:r>
      <w:r w:rsidR="00104191">
        <w:rPr>
          <w:rFonts w:eastAsia="Times New Roman" w:cs="Times New Roman"/>
          <w:color w:val="000000"/>
          <w:szCs w:val="24"/>
        </w:rPr>
        <w:t>by the</w:t>
      </w:r>
      <w:r>
        <w:rPr>
          <w:rFonts w:eastAsia="Times New Roman" w:cs="Times New Roman"/>
          <w:color w:val="000000"/>
          <w:szCs w:val="24"/>
        </w:rPr>
        <w:t xml:space="preserve"> far-eastern epiphytic fern </w:t>
      </w:r>
      <w:proofErr w:type="spellStart"/>
      <w:r>
        <w:rPr>
          <w:rFonts w:eastAsia="Times New Roman" w:cs="Times New Roman"/>
          <w:i/>
          <w:iCs/>
          <w:color w:val="000000"/>
          <w:szCs w:val="24"/>
        </w:rPr>
        <w:t>Lecanopteris</w:t>
      </w:r>
      <w:proofErr w:type="spellEnd"/>
      <w:r>
        <w:rPr>
          <w:rFonts w:eastAsia="Times New Roman" w:cs="Times New Roman"/>
          <w:i/>
          <w:iCs/>
          <w:color w:val="000000"/>
          <w:szCs w:val="24"/>
        </w:rPr>
        <w:t xml:space="preserve"> </w:t>
      </w:r>
      <w:proofErr w:type="spellStart"/>
      <w:r>
        <w:rPr>
          <w:rFonts w:eastAsia="Times New Roman" w:cs="Times New Roman"/>
          <w:color w:val="000000"/>
          <w:szCs w:val="24"/>
        </w:rPr>
        <w:t>Reinw</w:t>
      </w:r>
      <w:proofErr w:type="spellEnd"/>
      <w:r>
        <w:rPr>
          <w:rFonts w:eastAsia="Times New Roman" w:cs="Times New Roman"/>
          <w:color w:val="000000"/>
          <w:szCs w:val="24"/>
        </w:rPr>
        <w:t>. (</w:t>
      </w:r>
      <w:proofErr w:type="spellStart"/>
      <w:r>
        <w:rPr>
          <w:rFonts w:eastAsia="Times New Roman" w:cs="Times New Roman"/>
          <w:color w:val="000000"/>
          <w:szCs w:val="24"/>
        </w:rPr>
        <w:t>Polypodiaceae</w:t>
      </w:r>
      <w:proofErr w:type="spellEnd"/>
      <w:r>
        <w:rPr>
          <w:rFonts w:eastAsia="Times New Roman" w:cs="Times New Roman"/>
          <w:color w:val="000000"/>
          <w:szCs w:val="24"/>
        </w:rPr>
        <w:t xml:space="preserve">). </w:t>
      </w:r>
      <w:r>
        <w:rPr>
          <w:rFonts w:eastAsia="Times New Roman" w:cs="Times New Roman"/>
          <w:i/>
          <w:iCs/>
          <w:color w:val="000000"/>
          <w:szCs w:val="24"/>
        </w:rPr>
        <w:t xml:space="preserve">Biological </w:t>
      </w:r>
      <w:r w:rsidR="00104191">
        <w:rPr>
          <w:rFonts w:eastAsia="Times New Roman" w:cs="Times New Roman"/>
          <w:i/>
          <w:iCs/>
          <w:color w:val="000000"/>
          <w:szCs w:val="24"/>
        </w:rPr>
        <w:t>Journal of</w:t>
      </w:r>
      <w:r>
        <w:rPr>
          <w:rFonts w:eastAsia="Times New Roman" w:cs="Times New Roman"/>
          <w:i/>
          <w:iCs/>
          <w:color w:val="000000"/>
          <w:szCs w:val="24"/>
        </w:rPr>
        <w:t xml:space="preserve"> the Linnean Society, 50</w:t>
      </w:r>
      <w:r>
        <w:rPr>
          <w:rFonts w:eastAsia="Times New Roman" w:cs="Times New Roman"/>
          <w:b/>
          <w:bCs/>
          <w:color w:val="000000"/>
          <w:szCs w:val="24"/>
        </w:rPr>
        <w:t xml:space="preserve">, </w:t>
      </w:r>
      <w:r>
        <w:rPr>
          <w:rFonts w:eastAsia="Times New Roman" w:cs="Times New Roman"/>
          <w:color w:val="000000"/>
          <w:szCs w:val="24"/>
        </w:rPr>
        <w:t xml:space="preserve">221–23. </w:t>
      </w:r>
    </w:p>
    <w:p w14:paraId="00000073" w14:textId="3DAFC771"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sidRPr="00304E12">
        <w:rPr>
          <w:rFonts w:eastAsia="Times New Roman" w:cs="Times New Roman"/>
          <w:color w:val="000000"/>
          <w:szCs w:val="24"/>
        </w:rPr>
        <w:t>Hale, K.</w:t>
      </w:r>
      <w:r w:rsidR="00A45624">
        <w:rPr>
          <w:rFonts w:eastAsia="Times New Roman" w:cs="Times New Roman"/>
          <w:color w:val="000000"/>
          <w:szCs w:val="24"/>
        </w:rPr>
        <w:t>,</w:t>
      </w:r>
      <w:r w:rsidRPr="00304E12">
        <w:rPr>
          <w:rFonts w:eastAsia="Times New Roman" w:cs="Times New Roman"/>
          <w:color w:val="000000"/>
          <w:szCs w:val="24"/>
        </w:rPr>
        <w:t xml:space="preserve"> </w:t>
      </w:r>
      <w:r w:rsidR="00304E12" w:rsidRPr="00304E12">
        <w:rPr>
          <w:rFonts w:eastAsia="Times New Roman" w:cs="Times New Roman"/>
          <w:color w:val="000000"/>
          <w:szCs w:val="24"/>
        </w:rPr>
        <w:t>and</w:t>
      </w:r>
      <w:r w:rsidRPr="00304E12">
        <w:rPr>
          <w:rFonts w:eastAsia="Times New Roman" w:cs="Times New Roman"/>
          <w:color w:val="000000"/>
          <w:szCs w:val="24"/>
        </w:rPr>
        <w:t xml:space="preserve"> Valdovinos, F.S. (2021). </w:t>
      </w:r>
      <w:r>
        <w:rPr>
          <w:rFonts w:eastAsia="Times New Roman" w:cs="Times New Roman"/>
          <w:color w:val="000000"/>
          <w:szCs w:val="24"/>
        </w:rPr>
        <w:t xml:space="preserve">Ecological theory of mutualism: Robust patterns </w:t>
      </w:r>
      <w:r w:rsidR="00104191">
        <w:rPr>
          <w:rFonts w:eastAsia="Times New Roman" w:cs="Times New Roman"/>
          <w:color w:val="000000"/>
          <w:szCs w:val="24"/>
        </w:rPr>
        <w:t>of stability</w:t>
      </w:r>
      <w:r>
        <w:rPr>
          <w:rFonts w:eastAsia="Times New Roman" w:cs="Times New Roman"/>
          <w:color w:val="000000"/>
          <w:szCs w:val="24"/>
        </w:rPr>
        <w:t xml:space="preserve"> and thresholds in two-species population models. </w:t>
      </w:r>
      <w:r>
        <w:rPr>
          <w:rFonts w:eastAsia="Times New Roman" w:cs="Times New Roman"/>
          <w:i/>
          <w:iCs/>
          <w:color w:val="000000"/>
          <w:szCs w:val="24"/>
        </w:rPr>
        <w:t xml:space="preserve">Ecology and </w:t>
      </w:r>
      <w:r w:rsidR="00104191">
        <w:rPr>
          <w:rFonts w:eastAsia="Times New Roman" w:cs="Times New Roman"/>
          <w:i/>
          <w:iCs/>
          <w:color w:val="000000"/>
          <w:szCs w:val="24"/>
        </w:rPr>
        <w:t>Evolution</w:t>
      </w:r>
      <w:r w:rsidR="00104191">
        <w:rPr>
          <w:rFonts w:eastAsia="Times New Roman" w:cs="Times New Roman"/>
          <w:color w:val="000000"/>
          <w:szCs w:val="24"/>
        </w:rPr>
        <w:t>, 11</w:t>
      </w:r>
      <w:r w:rsidR="00B478CB">
        <w:rPr>
          <w:rFonts w:eastAsia="Times New Roman" w:cs="Times New Roman"/>
          <w:color w:val="000000"/>
          <w:szCs w:val="24"/>
        </w:rPr>
        <w:t>(24)</w:t>
      </w:r>
      <w:r>
        <w:rPr>
          <w:rFonts w:eastAsia="Times New Roman" w:cs="Times New Roman"/>
          <w:color w:val="000000"/>
          <w:szCs w:val="24"/>
        </w:rPr>
        <w:t xml:space="preserve">, 17651–17671. </w:t>
      </w:r>
    </w:p>
    <w:p w14:paraId="00000074" w14:textId="0B9F6609"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Heil, M., Barajas-Barron, A., Orona-Tamayo, D., </w:t>
      </w:r>
      <w:proofErr w:type="spellStart"/>
      <w:r>
        <w:rPr>
          <w:rFonts w:eastAsia="Times New Roman" w:cs="Times New Roman"/>
          <w:color w:val="000000"/>
          <w:szCs w:val="24"/>
        </w:rPr>
        <w:t>Wielsch</w:t>
      </w:r>
      <w:proofErr w:type="spellEnd"/>
      <w:r>
        <w:rPr>
          <w:rFonts w:eastAsia="Times New Roman" w:cs="Times New Roman"/>
          <w:color w:val="000000"/>
          <w:szCs w:val="24"/>
        </w:rPr>
        <w:t xml:space="preserve">, N., and </w:t>
      </w:r>
      <w:proofErr w:type="spellStart"/>
      <w:r>
        <w:rPr>
          <w:rFonts w:eastAsia="Times New Roman" w:cs="Times New Roman"/>
          <w:color w:val="000000"/>
          <w:szCs w:val="24"/>
        </w:rPr>
        <w:t>Svato</w:t>
      </w:r>
      <w:r w:rsidR="00826547">
        <w:rPr>
          <w:rFonts w:eastAsia="Times New Roman" w:cs="Times New Roman"/>
          <w:color w:val="000000"/>
          <w:szCs w:val="24"/>
        </w:rPr>
        <w:t>š</w:t>
      </w:r>
      <w:proofErr w:type="spellEnd"/>
      <w:r>
        <w:rPr>
          <w:rFonts w:eastAsia="Times New Roman" w:cs="Times New Roman"/>
          <w:color w:val="000000"/>
          <w:szCs w:val="24"/>
        </w:rPr>
        <w:t xml:space="preserve">, A. (2014). </w:t>
      </w:r>
      <w:r w:rsidR="00104191">
        <w:rPr>
          <w:rFonts w:eastAsia="Times New Roman" w:cs="Times New Roman"/>
          <w:color w:val="000000"/>
          <w:szCs w:val="24"/>
        </w:rPr>
        <w:t>Partner manipulation</w:t>
      </w:r>
      <w:r>
        <w:rPr>
          <w:rFonts w:eastAsia="Times New Roman" w:cs="Times New Roman"/>
          <w:color w:val="000000"/>
          <w:szCs w:val="24"/>
        </w:rPr>
        <w:t xml:space="preserve"> stabilises a horizontally transmitted mutualism. </w:t>
      </w:r>
      <w:r>
        <w:rPr>
          <w:rFonts w:eastAsia="Times New Roman" w:cs="Times New Roman"/>
          <w:i/>
          <w:iCs/>
          <w:color w:val="000000"/>
          <w:szCs w:val="24"/>
        </w:rPr>
        <w:t>Ecology Letters</w:t>
      </w:r>
      <w:r>
        <w:rPr>
          <w:rFonts w:eastAsia="Times New Roman" w:cs="Times New Roman"/>
          <w:color w:val="000000"/>
          <w:szCs w:val="24"/>
        </w:rPr>
        <w:t xml:space="preserve">. </w:t>
      </w:r>
      <w:r>
        <w:rPr>
          <w:rFonts w:eastAsia="Times New Roman" w:cs="Times New Roman"/>
          <w:i/>
          <w:iCs/>
          <w:color w:val="000000"/>
          <w:szCs w:val="24"/>
        </w:rPr>
        <w:t>17</w:t>
      </w:r>
      <w:r>
        <w:rPr>
          <w:rFonts w:eastAsia="Times New Roman" w:cs="Times New Roman"/>
          <w:color w:val="000000"/>
          <w:szCs w:val="24"/>
        </w:rPr>
        <w:t xml:space="preserve">, 185– 92. </w:t>
      </w:r>
    </w:p>
    <w:p w14:paraId="00000075" w14:textId="6B9B18EA"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Heil, M., Fiala, B., Baumann, B.</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w:t>
      </w:r>
      <w:proofErr w:type="spellStart"/>
      <w:r>
        <w:rPr>
          <w:rFonts w:eastAsia="Times New Roman" w:cs="Times New Roman"/>
          <w:color w:val="000000"/>
          <w:szCs w:val="24"/>
        </w:rPr>
        <w:t>Linsenmair</w:t>
      </w:r>
      <w:proofErr w:type="spellEnd"/>
      <w:r>
        <w:rPr>
          <w:rFonts w:eastAsia="Times New Roman" w:cs="Times New Roman"/>
          <w:color w:val="000000"/>
          <w:szCs w:val="24"/>
        </w:rPr>
        <w:t xml:space="preserve">, K.E. (2000). Temporal, spatial and </w:t>
      </w:r>
      <w:r w:rsidR="00104191">
        <w:rPr>
          <w:rFonts w:eastAsia="Times New Roman" w:cs="Times New Roman"/>
          <w:color w:val="000000"/>
          <w:szCs w:val="24"/>
        </w:rPr>
        <w:t>biotic variations</w:t>
      </w:r>
      <w:r>
        <w:rPr>
          <w:rFonts w:eastAsia="Times New Roman" w:cs="Times New Roman"/>
          <w:color w:val="000000"/>
          <w:szCs w:val="24"/>
        </w:rPr>
        <w:t xml:space="preserve"> in extrafloral nectar secretion by </w:t>
      </w:r>
      <w:r>
        <w:rPr>
          <w:rFonts w:eastAsia="Times New Roman" w:cs="Times New Roman"/>
          <w:i/>
          <w:iCs/>
          <w:color w:val="000000"/>
          <w:szCs w:val="24"/>
        </w:rPr>
        <w:t xml:space="preserve">Macaranga </w:t>
      </w:r>
      <w:proofErr w:type="spellStart"/>
      <w:r>
        <w:rPr>
          <w:rFonts w:eastAsia="Times New Roman" w:cs="Times New Roman"/>
          <w:i/>
          <w:iCs/>
          <w:color w:val="000000"/>
          <w:szCs w:val="24"/>
        </w:rPr>
        <w:t>tanarius</w:t>
      </w:r>
      <w:proofErr w:type="spellEnd"/>
      <w:r>
        <w:rPr>
          <w:rFonts w:eastAsia="Times New Roman" w:cs="Times New Roman"/>
          <w:color w:val="000000"/>
          <w:szCs w:val="24"/>
        </w:rPr>
        <w:t xml:space="preserve">. </w:t>
      </w:r>
      <w:r>
        <w:rPr>
          <w:rFonts w:eastAsia="Times New Roman" w:cs="Times New Roman"/>
          <w:i/>
          <w:iCs/>
          <w:color w:val="000000"/>
          <w:szCs w:val="24"/>
        </w:rPr>
        <w:t>Functional Ecology, 14</w:t>
      </w:r>
      <w:r>
        <w:rPr>
          <w:rFonts w:eastAsia="Times New Roman" w:cs="Times New Roman"/>
          <w:color w:val="000000"/>
          <w:szCs w:val="24"/>
        </w:rPr>
        <w:t xml:space="preserve">, 749–757. </w:t>
      </w:r>
    </w:p>
    <w:p w14:paraId="00000076" w14:textId="2D0D8ABC"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Heil, M., Hilpert, A., Krüger, R.</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w:t>
      </w:r>
      <w:proofErr w:type="spellStart"/>
      <w:r>
        <w:rPr>
          <w:rFonts w:eastAsia="Times New Roman" w:cs="Times New Roman"/>
          <w:color w:val="000000"/>
          <w:szCs w:val="24"/>
        </w:rPr>
        <w:t>Linsenmair</w:t>
      </w:r>
      <w:proofErr w:type="spellEnd"/>
      <w:r>
        <w:rPr>
          <w:rFonts w:eastAsia="Times New Roman" w:cs="Times New Roman"/>
          <w:color w:val="000000"/>
          <w:szCs w:val="24"/>
        </w:rPr>
        <w:t xml:space="preserve">, K. (2004). Competition among visitors </w:t>
      </w:r>
      <w:r w:rsidR="00104191">
        <w:rPr>
          <w:rFonts w:eastAsia="Times New Roman" w:cs="Times New Roman"/>
          <w:color w:val="000000"/>
          <w:szCs w:val="24"/>
        </w:rPr>
        <w:t>to extrafloral</w:t>
      </w:r>
      <w:r>
        <w:rPr>
          <w:rFonts w:eastAsia="Times New Roman" w:cs="Times New Roman"/>
          <w:color w:val="000000"/>
          <w:szCs w:val="24"/>
        </w:rPr>
        <w:t xml:space="preserve"> nectaries as a source of ecological costs of an indirect defence. </w:t>
      </w:r>
      <w:r>
        <w:rPr>
          <w:rFonts w:eastAsia="Times New Roman" w:cs="Times New Roman"/>
          <w:i/>
          <w:iCs/>
          <w:color w:val="000000"/>
          <w:szCs w:val="24"/>
        </w:rPr>
        <w:t xml:space="preserve">Journal </w:t>
      </w:r>
      <w:r w:rsidR="00104191">
        <w:rPr>
          <w:rFonts w:eastAsia="Times New Roman" w:cs="Times New Roman"/>
          <w:i/>
          <w:iCs/>
          <w:color w:val="000000"/>
          <w:szCs w:val="24"/>
        </w:rPr>
        <w:t>of Tropical</w:t>
      </w:r>
      <w:r>
        <w:rPr>
          <w:rFonts w:eastAsia="Times New Roman" w:cs="Times New Roman"/>
          <w:i/>
          <w:iCs/>
          <w:color w:val="000000"/>
          <w:szCs w:val="24"/>
        </w:rPr>
        <w:t xml:space="preserve"> Ecology, 20</w:t>
      </w:r>
      <w:r w:rsidR="00B478CB">
        <w:rPr>
          <w:rFonts w:eastAsia="Times New Roman" w:cs="Times New Roman"/>
          <w:color w:val="000000"/>
          <w:szCs w:val="24"/>
        </w:rPr>
        <w:t>(2)</w:t>
      </w:r>
      <w:r>
        <w:rPr>
          <w:rFonts w:eastAsia="Times New Roman" w:cs="Times New Roman"/>
          <w:color w:val="000000"/>
          <w:szCs w:val="24"/>
        </w:rPr>
        <w:t xml:space="preserve">, 201-208. </w:t>
      </w:r>
    </w:p>
    <w:p w14:paraId="00000078" w14:textId="63862237" w:rsidR="00E420E3" w:rsidRPr="00D247F6" w:rsidRDefault="008E5528" w:rsidP="005442BE">
      <w:pPr>
        <w:widowControl w:val="0"/>
        <w:pBdr>
          <w:top w:val="nil"/>
          <w:left w:val="nil"/>
          <w:bottom w:val="nil"/>
          <w:right w:val="nil"/>
          <w:between w:val="nil"/>
        </w:pBdr>
        <w:ind w:left="567" w:hanging="567"/>
        <w:rPr>
          <w:rFonts w:eastAsia="Times New Roman" w:cs="Times New Roman"/>
          <w:color w:val="000000"/>
          <w:szCs w:val="24"/>
        </w:rPr>
      </w:pPr>
      <w:r w:rsidRPr="00A45624">
        <w:rPr>
          <w:rFonts w:eastAsia="Times New Roman" w:cs="Times New Roman"/>
          <w:color w:val="000000"/>
          <w:szCs w:val="24"/>
        </w:rPr>
        <w:lastRenderedPageBreak/>
        <w:t xml:space="preserve">Heil, M., Orona-Tamayo, D., </w:t>
      </w:r>
      <w:proofErr w:type="spellStart"/>
      <w:r w:rsidRPr="00A45624">
        <w:rPr>
          <w:rFonts w:eastAsia="Times New Roman" w:cs="Times New Roman"/>
          <w:color w:val="000000"/>
          <w:szCs w:val="24"/>
        </w:rPr>
        <w:t>Eilmus</w:t>
      </w:r>
      <w:proofErr w:type="spellEnd"/>
      <w:r w:rsidRPr="00A45624">
        <w:rPr>
          <w:rFonts w:eastAsia="Times New Roman" w:cs="Times New Roman"/>
          <w:color w:val="000000"/>
          <w:szCs w:val="24"/>
        </w:rPr>
        <w:t>, S., Kautz, S.</w:t>
      </w:r>
      <w:r w:rsidR="00A45624" w:rsidRPr="00A45624">
        <w:rPr>
          <w:rFonts w:eastAsia="Times New Roman" w:cs="Times New Roman"/>
          <w:color w:val="000000"/>
          <w:szCs w:val="24"/>
        </w:rPr>
        <w:t>,</w:t>
      </w:r>
      <w:r w:rsidR="00D247F6" w:rsidRPr="00A45624">
        <w:rPr>
          <w:rFonts w:eastAsia="Times New Roman" w:cs="Times New Roman"/>
          <w:color w:val="000000"/>
          <w:szCs w:val="24"/>
        </w:rPr>
        <w:t xml:space="preserve"> </w:t>
      </w:r>
      <w:r w:rsidR="00304E12" w:rsidRPr="00A45624">
        <w:rPr>
          <w:rFonts w:eastAsia="Times New Roman" w:cs="Times New Roman"/>
          <w:color w:val="000000"/>
          <w:szCs w:val="24"/>
        </w:rPr>
        <w:t>and</w:t>
      </w:r>
      <w:r w:rsidRPr="00A45624">
        <w:rPr>
          <w:rFonts w:eastAsia="Times New Roman" w:cs="Times New Roman"/>
          <w:color w:val="000000"/>
          <w:szCs w:val="24"/>
        </w:rPr>
        <w:t xml:space="preserve"> González-Tauber, M. (2010). </w:t>
      </w:r>
      <w:r w:rsidR="00104191">
        <w:rPr>
          <w:rFonts w:eastAsia="Times New Roman" w:cs="Times New Roman"/>
          <w:color w:val="000000"/>
          <w:szCs w:val="24"/>
        </w:rPr>
        <w:t>Chemical communication</w:t>
      </w:r>
      <w:r>
        <w:rPr>
          <w:rFonts w:eastAsia="Times New Roman" w:cs="Times New Roman"/>
          <w:color w:val="000000"/>
          <w:szCs w:val="24"/>
        </w:rPr>
        <w:t xml:space="preserve"> and coevolution in an ant–plant mutualism. </w:t>
      </w:r>
      <w:proofErr w:type="spellStart"/>
      <w:r>
        <w:rPr>
          <w:rFonts w:eastAsia="Times New Roman" w:cs="Times New Roman"/>
          <w:i/>
          <w:iCs/>
          <w:color w:val="000000"/>
          <w:szCs w:val="24"/>
        </w:rPr>
        <w:t>Chemoecology</w:t>
      </w:r>
      <w:proofErr w:type="spellEnd"/>
      <w:r>
        <w:rPr>
          <w:rFonts w:eastAsia="Times New Roman" w:cs="Times New Roman"/>
          <w:i/>
          <w:iCs/>
          <w:color w:val="000000"/>
          <w:szCs w:val="24"/>
        </w:rPr>
        <w:t xml:space="preserve">, </w:t>
      </w:r>
      <w:r>
        <w:rPr>
          <w:rFonts w:eastAsia="Times New Roman" w:cs="Times New Roman"/>
          <w:color w:val="000000"/>
          <w:szCs w:val="24"/>
        </w:rPr>
        <w:t>20, 63–74.</w:t>
      </w:r>
    </w:p>
    <w:p w14:paraId="00000079" w14:textId="1ECB06AA"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sidRPr="003D71C2">
        <w:rPr>
          <w:rFonts w:eastAsia="Times New Roman" w:cs="Times New Roman"/>
          <w:color w:val="000000"/>
          <w:szCs w:val="24"/>
          <w:lang w:val="pt-BR"/>
        </w:rPr>
        <w:t>Heil, M.</w:t>
      </w:r>
      <w:r w:rsidR="00A45624">
        <w:rPr>
          <w:rFonts w:eastAsia="Times New Roman" w:cs="Times New Roman"/>
          <w:color w:val="000000"/>
          <w:szCs w:val="24"/>
          <w:lang w:val="pt-BR"/>
        </w:rPr>
        <w:t>,</w:t>
      </w:r>
      <w:r w:rsidRPr="003D71C2">
        <w:rPr>
          <w:rFonts w:eastAsia="Times New Roman" w:cs="Times New Roman"/>
          <w:color w:val="000000"/>
          <w:szCs w:val="24"/>
          <w:lang w:val="pt-BR"/>
        </w:rPr>
        <w:t xml:space="preserve"> </w:t>
      </w:r>
      <w:r w:rsidR="00304E12">
        <w:rPr>
          <w:rFonts w:eastAsia="Times New Roman" w:cs="Times New Roman"/>
          <w:color w:val="000000"/>
          <w:szCs w:val="24"/>
          <w:lang w:val="pt-BR"/>
        </w:rPr>
        <w:t>and</w:t>
      </w:r>
      <w:r w:rsidRPr="003D71C2">
        <w:rPr>
          <w:rFonts w:eastAsia="Times New Roman" w:cs="Times New Roman"/>
          <w:color w:val="000000"/>
          <w:szCs w:val="24"/>
          <w:lang w:val="pt-BR"/>
        </w:rPr>
        <w:t xml:space="preserve"> Silva Bueno, J.C. (2007). </w:t>
      </w:r>
      <w:r>
        <w:rPr>
          <w:rFonts w:eastAsia="Times New Roman" w:cs="Times New Roman"/>
          <w:color w:val="000000"/>
          <w:szCs w:val="24"/>
        </w:rPr>
        <w:t xml:space="preserve">Within-plant </w:t>
      </w:r>
      <w:proofErr w:type="spellStart"/>
      <w:r>
        <w:rPr>
          <w:rFonts w:eastAsia="Times New Roman" w:cs="Times New Roman"/>
          <w:color w:val="000000"/>
          <w:szCs w:val="24"/>
        </w:rPr>
        <w:t>signaling</w:t>
      </w:r>
      <w:proofErr w:type="spellEnd"/>
      <w:r>
        <w:rPr>
          <w:rFonts w:eastAsia="Times New Roman" w:cs="Times New Roman"/>
          <w:color w:val="000000"/>
          <w:szCs w:val="24"/>
        </w:rPr>
        <w:t xml:space="preserve"> by volatiles leads to </w:t>
      </w:r>
      <w:r w:rsidR="00104191">
        <w:rPr>
          <w:rFonts w:eastAsia="Times New Roman" w:cs="Times New Roman"/>
          <w:color w:val="000000"/>
          <w:szCs w:val="24"/>
        </w:rPr>
        <w:t>induction and</w:t>
      </w:r>
      <w:r>
        <w:rPr>
          <w:rFonts w:eastAsia="Times New Roman" w:cs="Times New Roman"/>
          <w:color w:val="000000"/>
          <w:szCs w:val="24"/>
        </w:rPr>
        <w:t xml:space="preserve"> priming of an indirect plant </w:t>
      </w:r>
      <w:proofErr w:type="spellStart"/>
      <w:r>
        <w:rPr>
          <w:rFonts w:eastAsia="Times New Roman" w:cs="Times New Roman"/>
          <w:color w:val="000000"/>
          <w:szCs w:val="24"/>
        </w:rPr>
        <w:t>defense</w:t>
      </w:r>
      <w:proofErr w:type="spellEnd"/>
      <w:r>
        <w:rPr>
          <w:rFonts w:eastAsia="Times New Roman" w:cs="Times New Roman"/>
          <w:color w:val="000000"/>
          <w:szCs w:val="24"/>
        </w:rPr>
        <w:t xml:space="preserve"> in nature. </w:t>
      </w:r>
      <w:r w:rsidR="00D247F6">
        <w:rPr>
          <w:rFonts w:eastAsia="Times New Roman" w:cs="Times New Roman"/>
          <w:i/>
          <w:iCs/>
          <w:color w:val="000000"/>
          <w:szCs w:val="24"/>
        </w:rPr>
        <w:t xml:space="preserve">Proceedings of the National Academy of Sciences of the </w:t>
      </w:r>
      <w:r w:rsidR="00A968DE">
        <w:rPr>
          <w:rFonts w:eastAsia="Times New Roman" w:cs="Times New Roman"/>
          <w:i/>
          <w:iCs/>
          <w:color w:val="000000"/>
          <w:szCs w:val="24"/>
        </w:rPr>
        <w:t>United</w:t>
      </w:r>
      <w:r w:rsidR="00D247F6">
        <w:rPr>
          <w:rFonts w:eastAsia="Times New Roman" w:cs="Times New Roman"/>
          <w:i/>
          <w:iCs/>
          <w:color w:val="000000"/>
          <w:szCs w:val="24"/>
        </w:rPr>
        <w:t xml:space="preserve"> States of America</w:t>
      </w:r>
      <w:r>
        <w:rPr>
          <w:rFonts w:eastAsia="Times New Roman" w:cs="Times New Roman"/>
          <w:i/>
          <w:iCs/>
          <w:color w:val="000000"/>
          <w:szCs w:val="24"/>
        </w:rPr>
        <w:t>, 104</w:t>
      </w:r>
      <w:r w:rsidR="008858C6">
        <w:rPr>
          <w:rFonts w:eastAsia="Times New Roman" w:cs="Times New Roman"/>
          <w:color w:val="000000"/>
          <w:szCs w:val="24"/>
        </w:rPr>
        <w:t>(13</w:t>
      </w:r>
      <w:r w:rsidR="00104191">
        <w:rPr>
          <w:rFonts w:eastAsia="Times New Roman" w:cs="Times New Roman"/>
          <w:color w:val="000000"/>
          <w:szCs w:val="24"/>
        </w:rPr>
        <w:t>), 5467</w:t>
      </w:r>
      <w:r>
        <w:rPr>
          <w:rFonts w:eastAsia="Times New Roman" w:cs="Times New Roman"/>
          <w:color w:val="000000"/>
          <w:szCs w:val="24"/>
        </w:rPr>
        <w:t xml:space="preserve">–5472. </w:t>
      </w:r>
    </w:p>
    <w:p w14:paraId="0000007A" w14:textId="3151D21C"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Hughes, L.</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Westoby, M. (1992). Effect of diaspore characteristics on removal of </w:t>
      </w:r>
      <w:r w:rsidR="00104191">
        <w:rPr>
          <w:rFonts w:eastAsia="Times New Roman" w:cs="Times New Roman"/>
          <w:color w:val="000000"/>
          <w:szCs w:val="24"/>
        </w:rPr>
        <w:t>seeds adapted</w:t>
      </w:r>
      <w:r>
        <w:rPr>
          <w:rFonts w:eastAsia="Times New Roman" w:cs="Times New Roman"/>
          <w:color w:val="000000"/>
          <w:szCs w:val="24"/>
        </w:rPr>
        <w:t xml:space="preserve"> for dispersal by ants. </w:t>
      </w:r>
      <w:r>
        <w:rPr>
          <w:rFonts w:eastAsia="Times New Roman" w:cs="Times New Roman"/>
          <w:i/>
          <w:iCs/>
          <w:color w:val="000000"/>
          <w:szCs w:val="24"/>
        </w:rPr>
        <w:t>Ecology</w:t>
      </w:r>
      <w:r>
        <w:rPr>
          <w:rFonts w:eastAsia="Times New Roman" w:cs="Times New Roman"/>
          <w:color w:val="000000"/>
          <w:szCs w:val="24"/>
        </w:rPr>
        <w:t xml:space="preserve">, </w:t>
      </w:r>
      <w:r>
        <w:rPr>
          <w:rFonts w:eastAsia="Times New Roman" w:cs="Times New Roman"/>
          <w:i/>
          <w:iCs/>
          <w:color w:val="000000"/>
          <w:szCs w:val="24"/>
        </w:rPr>
        <w:t>73</w:t>
      </w:r>
      <w:r w:rsidR="008858C6">
        <w:rPr>
          <w:rFonts w:eastAsia="Times New Roman" w:cs="Times New Roman"/>
          <w:color w:val="000000"/>
          <w:szCs w:val="24"/>
        </w:rPr>
        <w:t>(4)</w:t>
      </w:r>
      <w:r>
        <w:rPr>
          <w:rFonts w:eastAsia="Times New Roman" w:cs="Times New Roman"/>
          <w:color w:val="000000"/>
          <w:szCs w:val="24"/>
        </w:rPr>
        <w:t xml:space="preserve">, 1300-1312. </w:t>
      </w:r>
    </w:p>
    <w:p w14:paraId="0000007B" w14:textId="1CB770AA"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Huxley, C.R.</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Jebb, M.H.P. (1991a). The tuberous epiphytes of the </w:t>
      </w:r>
      <w:proofErr w:type="spellStart"/>
      <w:r>
        <w:rPr>
          <w:rFonts w:eastAsia="Times New Roman" w:cs="Times New Roman"/>
          <w:color w:val="000000"/>
          <w:szCs w:val="24"/>
        </w:rPr>
        <w:t>Rubiaceae</w:t>
      </w:r>
      <w:proofErr w:type="spellEnd"/>
      <w:r>
        <w:rPr>
          <w:rFonts w:eastAsia="Times New Roman" w:cs="Times New Roman"/>
          <w:color w:val="000000"/>
          <w:szCs w:val="24"/>
        </w:rPr>
        <w:t xml:space="preserve"> 1: A </w:t>
      </w:r>
      <w:r w:rsidR="00104191">
        <w:rPr>
          <w:rFonts w:eastAsia="Times New Roman" w:cs="Times New Roman"/>
          <w:color w:val="000000"/>
          <w:szCs w:val="24"/>
        </w:rPr>
        <w:t>new subtribe</w:t>
      </w:r>
      <w:r>
        <w:rPr>
          <w:rFonts w:eastAsia="Times New Roman" w:cs="Times New Roman"/>
          <w:color w:val="000000"/>
          <w:szCs w:val="24"/>
        </w:rPr>
        <w:t xml:space="preserve"> — The </w:t>
      </w:r>
      <w:proofErr w:type="spellStart"/>
      <w:r>
        <w:rPr>
          <w:rFonts w:eastAsia="Times New Roman" w:cs="Times New Roman"/>
          <w:color w:val="000000"/>
          <w:szCs w:val="24"/>
        </w:rPr>
        <w:t>Hydnophytinae</w:t>
      </w:r>
      <w:proofErr w:type="spellEnd"/>
      <w:r>
        <w:rPr>
          <w:rFonts w:eastAsia="Times New Roman" w:cs="Times New Roman"/>
          <w:color w:val="000000"/>
          <w:szCs w:val="24"/>
        </w:rPr>
        <w:t xml:space="preserve">. </w:t>
      </w:r>
      <w:proofErr w:type="spellStart"/>
      <w:r>
        <w:rPr>
          <w:rFonts w:eastAsia="Times New Roman" w:cs="Times New Roman"/>
          <w:i/>
          <w:iCs/>
          <w:color w:val="000000"/>
          <w:szCs w:val="24"/>
        </w:rPr>
        <w:t>Blumea</w:t>
      </w:r>
      <w:proofErr w:type="spellEnd"/>
      <w:r>
        <w:rPr>
          <w:rFonts w:eastAsia="Times New Roman" w:cs="Times New Roman"/>
          <w:i/>
          <w:iCs/>
          <w:color w:val="000000"/>
          <w:szCs w:val="24"/>
        </w:rPr>
        <w:t xml:space="preserve">: Biodiversity, Evolution and Biogeography </w:t>
      </w:r>
      <w:r w:rsidR="00104191">
        <w:rPr>
          <w:rFonts w:eastAsia="Times New Roman" w:cs="Times New Roman"/>
          <w:i/>
          <w:iCs/>
          <w:color w:val="000000"/>
          <w:szCs w:val="24"/>
        </w:rPr>
        <w:t>of Plants</w:t>
      </w:r>
      <w:r>
        <w:rPr>
          <w:rFonts w:eastAsia="Times New Roman" w:cs="Times New Roman"/>
          <w:color w:val="000000"/>
          <w:szCs w:val="24"/>
        </w:rPr>
        <w:t xml:space="preserve">, </w:t>
      </w:r>
      <w:r>
        <w:rPr>
          <w:rFonts w:eastAsia="Times New Roman" w:cs="Times New Roman"/>
          <w:i/>
          <w:iCs/>
          <w:color w:val="000000"/>
          <w:szCs w:val="24"/>
        </w:rPr>
        <w:t>36</w:t>
      </w:r>
      <w:r w:rsidR="008858C6">
        <w:rPr>
          <w:rFonts w:eastAsia="Times New Roman" w:cs="Times New Roman"/>
          <w:color w:val="000000"/>
          <w:szCs w:val="24"/>
        </w:rPr>
        <w:t>(1)</w:t>
      </w:r>
      <w:r>
        <w:rPr>
          <w:rFonts w:eastAsia="Times New Roman" w:cs="Times New Roman"/>
          <w:color w:val="000000"/>
          <w:szCs w:val="24"/>
        </w:rPr>
        <w:t xml:space="preserve">, 1–20. </w:t>
      </w:r>
    </w:p>
    <w:p w14:paraId="0000007C" w14:textId="13B824F7"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Huxley, C.R.</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Jebb, M.H.P. (1991c). The tuberous epiphytes of the </w:t>
      </w:r>
      <w:proofErr w:type="spellStart"/>
      <w:r>
        <w:rPr>
          <w:rFonts w:eastAsia="Times New Roman" w:cs="Times New Roman"/>
          <w:color w:val="000000"/>
          <w:szCs w:val="24"/>
        </w:rPr>
        <w:t>Rubiaceae</w:t>
      </w:r>
      <w:proofErr w:type="spellEnd"/>
      <w:r>
        <w:rPr>
          <w:rFonts w:eastAsia="Times New Roman" w:cs="Times New Roman"/>
          <w:color w:val="000000"/>
          <w:szCs w:val="24"/>
        </w:rPr>
        <w:t xml:space="preserve"> 3: A </w:t>
      </w:r>
      <w:r w:rsidR="00104191">
        <w:rPr>
          <w:rFonts w:eastAsia="Times New Roman" w:cs="Times New Roman"/>
          <w:color w:val="000000"/>
          <w:szCs w:val="24"/>
        </w:rPr>
        <w:t>revision of</w:t>
      </w:r>
      <w:r>
        <w:rPr>
          <w:rFonts w:eastAsia="Times New Roman" w:cs="Times New Roman"/>
          <w:color w:val="000000"/>
          <w:szCs w:val="24"/>
        </w:rPr>
        <w:t xml:space="preserve"> </w:t>
      </w:r>
      <w:proofErr w:type="spellStart"/>
      <w:r w:rsidRPr="00D2094A">
        <w:rPr>
          <w:rFonts w:eastAsia="Times New Roman" w:cs="Times New Roman"/>
          <w:i/>
          <w:iCs/>
          <w:color w:val="000000"/>
          <w:szCs w:val="24"/>
        </w:rPr>
        <w:t>Myrmephytum</w:t>
      </w:r>
      <w:proofErr w:type="spellEnd"/>
      <w:r>
        <w:rPr>
          <w:rFonts w:eastAsia="Times New Roman" w:cs="Times New Roman"/>
          <w:color w:val="000000"/>
          <w:szCs w:val="24"/>
        </w:rPr>
        <w:t xml:space="preserve"> to include </w:t>
      </w:r>
      <w:proofErr w:type="spellStart"/>
      <w:r w:rsidRPr="00D2094A">
        <w:rPr>
          <w:rFonts w:eastAsia="Times New Roman" w:cs="Times New Roman"/>
          <w:i/>
          <w:iCs/>
          <w:color w:val="000000"/>
          <w:szCs w:val="24"/>
        </w:rPr>
        <w:t>Myrmedoma</w:t>
      </w:r>
      <w:proofErr w:type="spellEnd"/>
      <w:r>
        <w:rPr>
          <w:rFonts w:eastAsia="Times New Roman" w:cs="Times New Roman"/>
          <w:color w:val="000000"/>
          <w:szCs w:val="24"/>
        </w:rPr>
        <w:t xml:space="preserve">. </w:t>
      </w:r>
      <w:proofErr w:type="spellStart"/>
      <w:r>
        <w:rPr>
          <w:rFonts w:eastAsia="Times New Roman" w:cs="Times New Roman"/>
          <w:i/>
          <w:iCs/>
          <w:color w:val="000000"/>
          <w:szCs w:val="24"/>
        </w:rPr>
        <w:t>Blumea</w:t>
      </w:r>
      <w:proofErr w:type="spellEnd"/>
      <w:r>
        <w:rPr>
          <w:rFonts w:eastAsia="Times New Roman" w:cs="Times New Roman"/>
          <w:i/>
          <w:iCs/>
          <w:color w:val="000000"/>
          <w:szCs w:val="24"/>
        </w:rPr>
        <w:t xml:space="preserve">: Biodiversity, Evolution </w:t>
      </w:r>
      <w:r w:rsidR="00104191">
        <w:rPr>
          <w:rFonts w:eastAsia="Times New Roman" w:cs="Times New Roman"/>
          <w:i/>
          <w:iCs/>
          <w:color w:val="000000"/>
          <w:szCs w:val="24"/>
        </w:rPr>
        <w:t>and Biogeography</w:t>
      </w:r>
      <w:r>
        <w:rPr>
          <w:rFonts w:eastAsia="Times New Roman" w:cs="Times New Roman"/>
          <w:i/>
          <w:iCs/>
          <w:color w:val="000000"/>
          <w:szCs w:val="24"/>
        </w:rPr>
        <w:t xml:space="preserve"> of Plants, 36</w:t>
      </w:r>
      <w:r w:rsidR="008858C6">
        <w:rPr>
          <w:rFonts w:eastAsia="Times New Roman" w:cs="Times New Roman"/>
          <w:color w:val="000000"/>
          <w:szCs w:val="24"/>
        </w:rPr>
        <w:t>(1)</w:t>
      </w:r>
      <w:r>
        <w:rPr>
          <w:rFonts w:eastAsia="Times New Roman" w:cs="Times New Roman"/>
          <w:color w:val="000000"/>
          <w:szCs w:val="24"/>
        </w:rPr>
        <w:t xml:space="preserve">, 43-52. </w:t>
      </w:r>
    </w:p>
    <w:p w14:paraId="0000007D" w14:textId="612F8439"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Huxley, C.R.</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Jebb, M.H.P. (1993). The tuberous epiphytes of the </w:t>
      </w:r>
      <w:proofErr w:type="spellStart"/>
      <w:r>
        <w:rPr>
          <w:rFonts w:eastAsia="Times New Roman" w:cs="Times New Roman"/>
          <w:color w:val="000000"/>
          <w:szCs w:val="24"/>
        </w:rPr>
        <w:t>Rubiaceae</w:t>
      </w:r>
      <w:proofErr w:type="spellEnd"/>
      <w:r>
        <w:rPr>
          <w:rFonts w:eastAsia="Times New Roman" w:cs="Times New Roman"/>
          <w:color w:val="000000"/>
          <w:szCs w:val="24"/>
        </w:rPr>
        <w:t xml:space="preserve"> 5: A </w:t>
      </w:r>
      <w:r w:rsidR="00104191">
        <w:rPr>
          <w:rFonts w:eastAsia="Times New Roman" w:cs="Times New Roman"/>
          <w:color w:val="000000"/>
          <w:szCs w:val="24"/>
        </w:rPr>
        <w:t>revision of</w:t>
      </w:r>
      <w:r>
        <w:rPr>
          <w:rFonts w:eastAsia="Times New Roman" w:cs="Times New Roman"/>
          <w:color w:val="000000"/>
          <w:szCs w:val="24"/>
        </w:rPr>
        <w:t xml:space="preserve"> </w:t>
      </w:r>
      <w:proofErr w:type="spellStart"/>
      <w:r w:rsidRPr="00D2094A">
        <w:rPr>
          <w:rFonts w:eastAsia="Times New Roman" w:cs="Times New Roman"/>
          <w:i/>
          <w:iCs/>
          <w:color w:val="000000"/>
          <w:szCs w:val="24"/>
        </w:rPr>
        <w:t>Myrmecodia</w:t>
      </w:r>
      <w:proofErr w:type="spellEnd"/>
      <w:r>
        <w:rPr>
          <w:rFonts w:eastAsia="Times New Roman" w:cs="Times New Roman"/>
          <w:color w:val="000000"/>
          <w:szCs w:val="24"/>
        </w:rPr>
        <w:t xml:space="preserve">. </w:t>
      </w:r>
      <w:proofErr w:type="spellStart"/>
      <w:r>
        <w:rPr>
          <w:rFonts w:eastAsia="Times New Roman" w:cs="Times New Roman"/>
          <w:i/>
          <w:iCs/>
          <w:color w:val="000000"/>
          <w:szCs w:val="24"/>
        </w:rPr>
        <w:t>Blumea</w:t>
      </w:r>
      <w:proofErr w:type="spellEnd"/>
      <w:r>
        <w:rPr>
          <w:rFonts w:eastAsia="Times New Roman" w:cs="Times New Roman"/>
          <w:i/>
          <w:iCs/>
          <w:color w:val="000000"/>
          <w:szCs w:val="24"/>
        </w:rPr>
        <w:t>: Biodiversity, Evolution and Biogeography of Plants, 37</w:t>
      </w:r>
      <w:r w:rsidR="008858C6">
        <w:rPr>
          <w:rFonts w:eastAsia="Times New Roman" w:cs="Times New Roman"/>
          <w:color w:val="000000"/>
          <w:szCs w:val="24"/>
        </w:rPr>
        <w:t>(2</w:t>
      </w:r>
      <w:r w:rsidR="00104191">
        <w:rPr>
          <w:rFonts w:eastAsia="Times New Roman" w:cs="Times New Roman"/>
          <w:color w:val="000000"/>
          <w:szCs w:val="24"/>
        </w:rPr>
        <w:t>), 271</w:t>
      </w:r>
      <w:r>
        <w:rPr>
          <w:rFonts w:eastAsia="Times New Roman" w:cs="Times New Roman"/>
          <w:color w:val="000000"/>
          <w:szCs w:val="24"/>
        </w:rPr>
        <w:t xml:space="preserve">-334. </w:t>
      </w:r>
    </w:p>
    <w:p w14:paraId="0000007E" w14:textId="46880157"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Janzen, D.H. (1985). The natural history of mutualism</w:t>
      </w:r>
      <w:r w:rsidR="00D213D7">
        <w:rPr>
          <w:rFonts w:eastAsia="Times New Roman" w:cs="Times New Roman"/>
          <w:color w:val="000000"/>
          <w:szCs w:val="24"/>
        </w:rPr>
        <w:t>.</w:t>
      </w:r>
      <w:r>
        <w:rPr>
          <w:rFonts w:eastAsia="Times New Roman" w:cs="Times New Roman"/>
          <w:color w:val="000000"/>
          <w:szCs w:val="24"/>
        </w:rPr>
        <w:t xml:space="preserve"> </w:t>
      </w:r>
      <w:r w:rsidR="00D213D7">
        <w:rPr>
          <w:rFonts w:eastAsia="Times New Roman" w:cs="Times New Roman"/>
          <w:color w:val="000000"/>
          <w:szCs w:val="24"/>
        </w:rPr>
        <w:t>I</w:t>
      </w:r>
      <w:r>
        <w:rPr>
          <w:rFonts w:eastAsia="Times New Roman" w:cs="Times New Roman"/>
          <w:color w:val="000000"/>
          <w:szCs w:val="24"/>
        </w:rPr>
        <w:t xml:space="preserve">n </w:t>
      </w:r>
      <w:r w:rsidR="00D213D7">
        <w:rPr>
          <w:rFonts w:eastAsia="Times New Roman" w:cs="Times New Roman"/>
          <w:color w:val="000000"/>
          <w:szCs w:val="24"/>
        </w:rPr>
        <w:t xml:space="preserve">D.H. </w:t>
      </w:r>
      <w:r>
        <w:rPr>
          <w:rFonts w:eastAsia="Times New Roman" w:cs="Times New Roman"/>
          <w:color w:val="000000"/>
          <w:szCs w:val="24"/>
        </w:rPr>
        <w:t>Boucher (</w:t>
      </w:r>
      <w:r w:rsidR="00D213D7">
        <w:rPr>
          <w:rFonts w:eastAsia="Times New Roman" w:cs="Times New Roman"/>
          <w:color w:val="000000"/>
          <w:szCs w:val="24"/>
        </w:rPr>
        <w:t>E</w:t>
      </w:r>
      <w:r>
        <w:rPr>
          <w:rFonts w:eastAsia="Times New Roman" w:cs="Times New Roman"/>
          <w:color w:val="000000"/>
          <w:szCs w:val="24"/>
        </w:rPr>
        <w:t xml:space="preserve">d.), </w:t>
      </w:r>
      <w:r>
        <w:rPr>
          <w:rFonts w:eastAsia="Times New Roman" w:cs="Times New Roman"/>
          <w:i/>
          <w:iCs/>
          <w:color w:val="000000"/>
          <w:szCs w:val="24"/>
        </w:rPr>
        <w:t xml:space="preserve">The Biology </w:t>
      </w:r>
      <w:r w:rsidR="00104191">
        <w:rPr>
          <w:rFonts w:eastAsia="Times New Roman" w:cs="Times New Roman"/>
          <w:i/>
          <w:iCs/>
          <w:color w:val="000000"/>
          <w:szCs w:val="24"/>
        </w:rPr>
        <w:t>of Mutualism</w:t>
      </w:r>
      <w:r w:rsidR="005555A8">
        <w:rPr>
          <w:rFonts w:eastAsia="Times New Roman" w:cs="Times New Roman"/>
          <w:i/>
          <w:iCs/>
          <w:color w:val="000000"/>
          <w:szCs w:val="24"/>
        </w:rPr>
        <w:t xml:space="preserve"> </w:t>
      </w:r>
      <w:r w:rsidR="005555A8">
        <w:rPr>
          <w:rFonts w:eastAsia="Times New Roman" w:cs="Times New Roman"/>
          <w:color w:val="000000"/>
          <w:szCs w:val="24"/>
        </w:rPr>
        <w:t xml:space="preserve">(pp. 40-99). </w:t>
      </w:r>
      <w:r>
        <w:rPr>
          <w:rFonts w:eastAsia="Times New Roman" w:cs="Times New Roman"/>
          <w:color w:val="000000"/>
          <w:szCs w:val="24"/>
        </w:rPr>
        <w:t>Oxford University Press</w:t>
      </w:r>
      <w:r w:rsidR="005555A8">
        <w:rPr>
          <w:rFonts w:eastAsia="Times New Roman" w:cs="Times New Roman"/>
          <w:color w:val="000000"/>
          <w:szCs w:val="24"/>
        </w:rPr>
        <w:t>.</w:t>
      </w:r>
    </w:p>
    <w:p w14:paraId="0000007F" w14:textId="28DC6674"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Jebb, M.H.P.</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Huxley, C.R. (2019). The tuberous epiphytes of the </w:t>
      </w:r>
      <w:proofErr w:type="spellStart"/>
      <w:r>
        <w:rPr>
          <w:rFonts w:eastAsia="Times New Roman" w:cs="Times New Roman"/>
          <w:color w:val="000000"/>
          <w:szCs w:val="24"/>
        </w:rPr>
        <w:t>Rubiaceae</w:t>
      </w:r>
      <w:proofErr w:type="spellEnd"/>
      <w:r>
        <w:rPr>
          <w:rFonts w:eastAsia="Times New Roman" w:cs="Times New Roman"/>
          <w:color w:val="000000"/>
          <w:szCs w:val="24"/>
        </w:rPr>
        <w:t xml:space="preserve"> 7: </w:t>
      </w:r>
      <w:r w:rsidR="005555A8">
        <w:rPr>
          <w:rFonts w:eastAsia="Times New Roman" w:cs="Times New Roman"/>
          <w:color w:val="000000"/>
          <w:szCs w:val="24"/>
        </w:rPr>
        <w:t>A</w:t>
      </w:r>
      <w:r>
        <w:rPr>
          <w:rFonts w:eastAsia="Times New Roman" w:cs="Times New Roman"/>
          <w:color w:val="000000"/>
          <w:szCs w:val="24"/>
        </w:rPr>
        <w:t xml:space="preserve"> </w:t>
      </w:r>
      <w:r w:rsidR="00104191">
        <w:rPr>
          <w:rFonts w:eastAsia="Times New Roman" w:cs="Times New Roman"/>
          <w:color w:val="000000"/>
          <w:szCs w:val="24"/>
        </w:rPr>
        <w:t>revision of</w:t>
      </w:r>
      <w:r>
        <w:rPr>
          <w:rFonts w:eastAsia="Times New Roman" w:cs="Times New Roman"/>
          <w:color w:val="000000"/>
          <w:szCs w:val="24"/>
        </w:rPr>
        <w:t xml:space="preserve"> the genus </w:t>
      </w:r>
      <w:proofErr w:type="spellStart"/>
      <w:r w:rsidRPr="005555A8">
        <w:rPr>
          <w:rFonts w:eastAsia="Times New Roman" w:cs="Times New Roman"/>
          <w:i/>
          <w:iCs/>
          <w:color w:val="000000"/>
          <w:szCs w:val="24"/>
        </w:rPr>
        <w:t>Hydnophytum</w:t>
      </w:r>
      <w:proofErr w:type="spellEnd"/>
      <w:r>
        <w:rPr>
          <w:rFonts w:eastAsia="Times New Roman" w:cs="Times New Roman"/>
          <w:color w:val="000000"/>
          <w:szCs w:val="24"/>
        </w:rPr>
        <w:t xml:space="preserve">. </w:t>
      </w:r>
      <w:proofErr w:type="spellStart"/>
      <w:r>
        <w:rPr>
          <w:rFonts w:eastAsia="Times New Roman" w:cs="Times New Roman"/>
          <w:i/>
          <w:iCs/>
          <w:color w:val="000000"/>
          <w:szCs w:val="24"/>
        </w:rPr>
        <w:t>Blumea</w:t>
      </w:r>
      <w:proofErr w:type="spellEnd"/>
      <w:r>
        <w:rPr>
          <w:rFonts w:eastAsia="Times New Roman" w:cs="Times New Roman"/>
          <w:i/>
          <w:iCs/>
          <w:color w:val="000000"/>
          <w:szCs w:val="24"/>
        </w:rPr>
        <w:t xml:space="preserve">: Biodiversity, Evolution and Biogeography </w:t>
      </w:r>
      <w:r w:rsidR="00104191">
        <w:rPr>
          <w:rFonts w:eastAsia="Times New Roman" w:cs="Times New Roman"/>
          <w:i/>
          <w:iCs/>
          <w:color w:val="000000"/>
          <w:szCs w:val="24"/>
        </w:rPr>
        <w:t>of Plants</w:t>
      </w:r>
      <w:r>
        <w:rPr>
          <w:rFonts w:eastAsia="Times New Roman" w:cs="Times New Roman"/>
          <w:color w:val="000000"/>
          <w:szCs w:val="24"/>
        </w:rPr>
        <w:t xml:space="preserve">, </w:t>
      </w:r>
      <w:r>
        <w:rPr>
          <w:rFonts w:eastAsia="Times New Roman" w:cs="Times New Roman"/>
          <w:i/>
          <w:iCs/>
          <w:color w:val="000000"/>
          <w:szCs w:val="24"/>
        </w:rPr>
        <w:t>64</w:t>
      </w:r>
      <w:r w:rsidR="008858C6">
        <w:rPr>
          <w:rFonts w:eastAsia="Times New Roman" w:cs="Times New Roman"/>
          <w:color w:val="000000"/>
          <w:szCs w:val="24"/>
        </w:rPr>
        <w:t>(1)</w:t>
      </w:r>
      <w:r>
        <w:rPr>
          <w:rFonts w:eastAsia="Times New Roman" w:cs="Times New Roman"/>
          <w:color w:val="000000"/>
          <w:szCs w:val="24"/>
        </w:rPr>
        <w:t xml:space="preserve">, 23-91. </w:t>
      </w:r>
    </w:p>
    <w:p w14:paraId="00000080" w14:textId="5B2BBBC5"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Kaufmann, E.</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w:t>
      </w:r>
      <w:proofErr w:type="spellStart"/>
      <w:r>
        <w:rPr>
          <w:rFonts w:eastAsia="Times New Roman" w:cs="Times New Roman"/>
          <w:color w:val="000000"/>
          <w:szCs w:val="24"/>
        </w:rPr>
        <w:t>Maschwitz</w:t>
      </w:r>
      <w:proofErr w:type="spellEnd"/>
      <w:r>
        <w:rPr>
          <w:rFonts w:eastAsia="Times New Roman" w:cs="Times New Roman"/>
          <w:color w:val="000000"/>
          <w:szCs w:val="24"/>
        </w:rPr>
        <w:t xml:space="preserve">, U. (2006). Ant-gardens of tropical Asian rainforests. </w:t>
      </w:r>
      <w:r w:rsidR="00104191">
        <w:rPr>
          <w:rFonts w:eastAsia="Times New Roman" w:cs="Times New Roman"/>
          <w:i/>
          <w:iCs/>
          <w:color w:val="000000"/>
          <w:szCs w:val="24"/>
        </w:rPr>
        <w:t>Science</w:t>
      </w:r>
      <w:r w:rsidR="00104191">
        <w:rPr>
          <w:rFonts w:eastAsia="Times New Roman" w:cs="Times New Roman"/>
          <w:color w:val="000000"/>
          <w:szCs w:val="24"/>
        </w:rPr>
        <w:t>, 93</w:t>
      </w:r>
      <w:r w:rsidR="008858C6">
        <w:rPr>
          <w:rFonts w:eastAsia="Times New Roman" w:cs="Times New Roman"/>
          <w:color w:val="000000"/>
          <w:szCs w:val="24"/>
        </w:rPr>
        <w:t>(5)</w:t>
      </w:r>
      <w:r>
        <w:rPr>
          <w:rFonts w:eastAsia="Times New Roman" w:cs="Times New Roman"/>
          <w:color w:val="000000"/>
          <w:szCs w:val="24"/>
        </w:rPr>
        <w:t xml:space="preserve">, 216–227. </w:t>
      </w:r>
    </w:p>
    <w:p w14:paraId="00000081" w14:textId="27393ADE"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Kiers, E.T., Palmer, T.M., Ives, A.R., Bruno, J.F.</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Bronstein, J.L. (2010). Mutualisms in </w:t>
      </w:r>
      <w:r w:rsidR="00104191">
        <w:rPr>
          <w:rFonts w:eastAsia="Times New Roman" w:cs="Times New Roman"/>
          <w:color w:val="000000"/>
          <w:szCs w:val="24"/>
        </w:rPr>
        <w:t>a changing</w:t>
      </w:r>
      <w:r>
        <w:rPr>
          <w:rFonts w:eastAsia="Times New Roman" w:cs="Times New Roman"/>
          <w:color w:val="000000"/>
          <w:szCs w:val="24"/>
        </w:rPr>
        <w:t xml:space="preserve"> world: an evolutionary perspective. </w:t>
      </w:r>
      <w:r>
        <w:rPr>
          <w:rFonts w:eastAsia="Times New Roman" w:cs="Times New Roman"/>
          <w:i/>
          <w:iCs/>
          <w:color w:val="000000"/>
          <w:szCs w:val="24"/>
        </w:rPr>
        <w:t>Ecology Letters</w:t>
      </w:r>
      <w:r>
        <w:rPr>
          <w:rFonts w:eastAsia="Times New Roman" w:cs="Times New Roman"/>
          <w:color w:val="000000"/>
          <w:szCs w:val="24"/>
        </w:rPr>
        <w:t xml:space="preserve">, </w:t>
      </w:r>
      <w:r>
        <w:rPr>
          <w:rFonts w:eastAsia="Times New Roman" w:cs="Times New Roman"/>
          <w:i/>
          <w:iCs/>
          <w:color w:val="000000"/>
          <w:szCs w:val="24"/>
        </w:rPr>
        <w:t>13</w:t>
      </w:r>
      <w:r w:rsidR="008858C6">
        <w:rPr>
          <w:rFonts w:eastAsia="Times New Roman" w:cs="Times New Roman"/>
          <w:color w:val="000000"/>
          <w:szCs w:val="24"/>
        </w:rPr>
        <w:t>(12)</w:t>
      </w:r>
      <w:r>
        <w:rPr>
          <w:rFonts w:eastAsia="Times New Roman" w:cs="Times New Roman"/>
          <w:color w:val="000000"/>
          <w:szCs w:val="24"/>
        </w:rPr>
        <w:t xml:space="preserve">, 1459–1474.  </w:t>
      </w:r>
    </w:p>
    <w:p w14:paraId="00000082" w14:textId="242947B0"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Klinger, C.R., Lau, J.A.</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Heath, K.D. (2016) Ecological genomics of mutualism decline </w:t>
      </w:r>
      <w:r w:rsidR="00104191">
        <w:rPr>
          <w:rFonts w:eastAsia="Times New Roman" w:cs="Times New Roman"/>
          <w:color w:val="000000"/>
          <w:szCs w:val="24"/>
        </w:rPr>
        <w:t>in nitrogen</w:t>
      </w:r>
      <w:r>
        <w:rPr>
          <w:rFonts w:eastAsia="Times New Roman" w:cs="Times New Roman"/>
          <w:color w:val="000000"/>
          <w:szCs w:val="24"/>
        </w:rPr>
        <w:t xml:space="preserve">-fixing bacteria, </w:t>
      </w:r>
      <w:r w:rsidR="005555A8">
        <w:rPr>
          <w:rFonts w:eastAsia="Times New Roman" w:cs="Times New Roman"/>
          <w:i/>
          <w:iCs/>
          <w:color w:val="000000"/>
          <w:szCs w:val="24"/>
        </w:rPr>
        <w:t>Proceedings of the Royal Society</w:t>
      </w:r>
      <w:r w:rsidR="005555A8">
        <w:rPr>
          <w:rFonts w:eastAsia="Times New Roman" w:cs="Times New Roman"/>
          <w:color w:val="000000"/>
          <w:szCs w:val="24"/>
        </w:rPr>
        <w:t xml:space="preserve"> </w:t>
      </w:r>
      <w:r w:rsidR="005555A8">
        <w:rPr>
          <w:rFonts w:eastAsia="Times New Roman" w:cs="Times New Roman"/>
          <w:i/>
          <w:iCs/>
          <w:color w:val="000000"/>
          <w:szCs w:val="24"/>
        </w:rPr>
        <w:t>B: Biological Sciences</w:t>
      </w:r>
      <w:r>
        <w:rPr>
          <w:rFonts w:eastAsia="Times New Roman" w:cs="Times New Roman"/>
          <w:i/>
          <w:iCs/>
          <w:color w:val="000000"/>
          <w:szCs w:val="24"/>
        </w:rPr>
        <w:t>, 283</w:t>
      </w:r>
      <w:r w:rsidR="008858C6">
        <w:rPr>
          <w:rFonts w:eastAsia="Times New Roman" w:cs="Times New Roman"/>
          <w:color w:val="000000"/>
          <w:szCs w:val="24"/>
        </w:rPr>
        <w:t>(1826)</w:t>
      </w:r>
      <w:r w:rsidR="005555A8">
        <w:rPr>
          <w:rFonts w:eastAsia="Times New Roman" w:cs="Times New Roman"/>
          <w:i/>
          <w:iCs/>
          <w:color w:val="000000"/>
          <w:szCs w:val="24"/>
        </w:rPr>
        <w:t>,</w:t>
      </w:r>
      <w:r>
        <w:rPr>
          <w:rFonts w:eastAsia="Times New Roman" w:cs="Times New Roman"/>
          <w:color w:val="000000"/>
          <w:szCs w:val="24"/>
        </w:rPr>
        <w:t xml:space="preserve"> 20152563. </w:t>
      </w:r>
    </w:p>
    <w:p w14:paraId="00000084" w14:textId="738B8047" w:rsidR="00E420E3" w:rsidRPr="00A37075" w:rsidRDefault="008E5528" w:rsidP="005442BE">
      <w:pPr>
        <w:widowControl w:val="0"/>
        <w:pBdr>
          <w:top w:val="nil"/>
          <w:left w:val="nil"/>
          <w:bottom w:val="nil"/>
          <w:right w:val="nil"/>
          <w:between w:val="nil"/>
        </w:pBdr>
        <w:ind w:left="567" w:hanging="567"/>
        <w:rPr>
          <w:rFonts w:eastAsia="Times New Roman" w:cs="Times New Roman"/>
          <w:color w:val="000000"/>
          <w:szCs w:val="24"/>
        </w:rPr>
      </w:pPr>
      <w:r w:rsidRPr="00304E12">
        <w:rPr>
          <w:rFonts w:eastAsia="Times New Roman" w:cs="Times New Roman"/>
          <w:color w:val="000000"/>
          <w:szCs w:val="24"/>
        </w:rPr>
        <w:t>Kobayashi, S., Asai, T., Fujimoto, Y.</w:t>
      </w:r>
      <w:r w:rsidR="00A45624">
        <w:rPr>
          <w:rFonts w:eastAsia="Times New Roman" w:cs="Times New Roman"/>
          <w:color w:val="000000"/>
          <w:szCs w:val="24"/>
        </w:rPr>
        <w:t>,</w:t>
      </w:r>
      <w:r w:rsidRPr="00304E12">
        <w:rPr>
          <w:rFonts w:eastAsia="Times New Roman" w:cs="Times New Roman"/>
          <w:color w:val="000000"/>
          <w:szCs w:val="24"/>
        </w:rPr>
        <w:t xml:space="preserve"> </w:t>
      </w:r>
      <w:r w:rsidR="00304E12" w:rsidRPr="00304E12">
        <w:rPr>
          <w:rFonts w:eastAsia="Times New Roman" w:cs="Times New Roman"/>
          <w:color w:val="000000"/>
          <w:szCs w:val="24"/>
        </w:rPr>
        <w:t>and</w:t>
      </w:r>
      <w:r w:rsidRPr="00304E12">
        <w:rPr>
          <w:rFonts w:eastAsia="Times New Roman" w:cs="Times New Roman"/>
          <w:color w:val="000000"/>
          <w:szCs w:val="24"/>
        </w:rPr>
        <w:t xml:space="preserve"> </w:t>
      </w:r>
      <w:proofErr w:type="spellStart"/>
      <w:r w:rsidRPr="00304E12">
        <w:rPr>
          <w:rFonts w:eastAsia="Times New Roman" w:cs="Times New Roman"/>
          <w:color w:val="000000"/>
          <w:szCs w:val="24"/>
        </w:rPr>
        <w:t>Kohshima</w:t>
      </w:r>
      <w:proofErr w:type="spellEnd"/>
      <w:r w:rsidRPr="00304E12">
        <w:rPr>
          <w:rFonts w:eastAsia="Times New Roman" w:cs="Times New Roman"/>
          <w:color w:val="000000"/>
          <w:szCs w:val="24"/>
        </w:rPr>
        <w:t xml:space="preserve">, S. (2008). </w:t>
      </w:r>
      <w:r>
        <w:rPr>
          <w:rFonts w:eastAsia="Times New Roman" w:cs="Times New Roman"/>
          <w:color w:val="000000"/>
          <w:szCs w:val="24"/>
        </w:rPr>
        <w:t xml:space="preserve">Anti-herbivore structures </w:t>
      </w:r>
      <w:r w:rsidR="00104191">
        <w:rPr>
          <w:rFonts w:eastAsia="Times New Roman" w:cs="Times New Roman"/>
          <w:color w:val="000000"/>
          <w:szCs w:val="24"/>
        </w:rPr>
        <w:t xml:space="preserve">of </w:t>
      </w:r>
      <w:r w:rsidR="00104191">
        <w:rPr>
          <w:rFonts w:eastAsia="Times New Roman" w:cs="Times New Roman"/>
          <w:color w:val="000000"/>
          <w:szCs w:val="24"/>
        </w:rPr>
        <w:lastRenderedPageBreak/>
        <w:t>Paulownia</w:t>
      </w:r>
      <w:r>
        <w:rPr>
          <w:rFonts w:eastAsia="Times New Roman" w:cs="Times New Roman"/>
          <w:i/>
          <w:iCs/>
          <w:color w:val="000000"/>
          <w:szCs w:val="24"/>
        </w:rPr>
        <w:t xml:space="preserve"> tomentosa</w:t>
      </w:r>
      <w:r>
        <w:rPr>
          <w:rFonts w:eastAsia="Times New Roman" w:cs="Times New Roman"/>
          <w:color w:val="000000"/>
          <w:szCs w:val="24"/>
        </w:rPr>
        <w:t xml:space="preserve">: </w:t>
      </w:r>
      <w:r w:rsidR="005555A8">
        <w:rPr>
          <w:rFonts w:eastAsia="Times New Roman" w:cs="Times New Roman"/>
          <w:color w:val="000000"/>
          <w:szCs w:val="24"/>
        </w:rPr>
        <w:t>M</w:t>
      </w:r>
      <w:r>
        <w:rPr>
          <w:rFonts w:eastAsia="Times New Roman" w:cs="Times New Roman"/>
          <w:color w:val="000000"/>
          <w:szCs w:val="24"/>
        </w:rPr>
        <w:t xml:space="preserve">orphology, distribution, chemical constituents and </w:t>
      </w:r>
      <w:r w:rsidR="00CC5260">
        <w:rPr>
          <w:rFonts w:eastAsia="Times New Roman" w:cs="Times New Roman"/>
          <w:color w:val="000000"/>
          <w:szCs w:val="24"/>
        </w:rPr>
        <w:t>changes</w:t>
      </w:r>
      <w:r w:rsidR="00104191">
        <w:rPr>
          <w:rFonts w:eastAsia="Times New Roman" w:cs="Times New Roman"/>
          <w:color w:val="000000"/>
          <w:szCs w:val="24"/>
        </w:rPr>
        <w:t xml:space="preserve"> </w:t>
      </w:r>
      <w:r w:rsidR="00654784">
        <w:rPr>
          <w:rFonts w:eastAsia="Times New Roman" w:cs="Times New Roman"/>
          <w:color w:val="000000"/>
          <w:szCs w:val="24"/>
        </w:rPr>
        <w:t>during shoot</w:t>
      </w:r>
      <w:r>
        <w:rPr>
          <w:rFonts w:eastAsia="Times New Roman" w:cs="Times New Roman"/>
          <w:color w:val="000000"/>
          <w:szCs w:val="24"/>
        </w:rPr>
        <w:t xml:space="preserve"> and leaf development. </w:t>
      </w:r>
      <w:r>
        <w:rPr>
          <w:rFonts w:eastAsia="Times New Roman" w:cs="Times New Roman"/>
          <w:i/>
          <w:iCs/>
          <w:color w:val="000000"/>
          <w:szCs w:val="24"/>
        </w:rPr>
        <w:t>Annals of Botany Plants, 101</w:t>
      </w:r>
      <w:r>
        <w:rPr>
          <w:rFonts w:eastAsia="Times New Roman" w:cs="Times New Roman"/>
          <w:color w:val="000000"/>
          <w:szCs w:val="24"/>
        </w:rPr>
        <w:t>, 1035–1047.</w:t>
      </w:r>
    </w:p>
    <w:p w14:paraId="00000085" w14:textId="5B37529A"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Lahti, D.C., Johnson, N.A., </w:t>
      </w:r>
      <w:proofErr w:type="spellStart"/>
      <w:r>
        <w:rPr>
          <w:rFonts w:eastAsia="Times New Roman" w:cs="Times New Roman"/>
          <w:color w:val="000000"/>
          <w:szCs w:val="24"/>
        </w:rPr>
        <w:t>Ajie</w:t>
      </w:r>
      <w:proofErr w:type="spellEnd"/>
      <w:r>
        <w:rPr>
          <w:rFonts w:eastAsia="Times New Roman" w:cs="Times New Roman"/>
          <w:color w:val="000000"/>
          <w:szCs w:val="24"/>
        </w:rPr>
        <w:t>, B.C., Otto, S.P., Hendry, A.P., Blumstein, D.T., Coss, R.G.</w:t>
      </w:r>
      <w:r w:rsidR="00104191">
        <w:rPr>
          <w:rFonts w:eastAsia="Times New Roman" w:cs="Times New Roman"/>
          <w:color w:val="000000"/>
          <w:szCs w:val="24"/>
        </w:rPr>
        <w:t>, Donohue</w:t>
      </w:r>
      <w:r>
        <w:rPr>
          <w:rFonts w:eastAsia="Times New Roman" w:cs="Times New Roman"/>
          <w:color w:val="000000"/>
          <w:szCs w:val="24"/>
        </w:rPr>
        <w:t>, K.</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Foster, S.A. (2009). Relaxed selection in the wild. </w:t>
      </w:r>
      <w:r>
        <w:rPr>
          <w:rFonts w:eastAsia="Times New Roman" w:cs="Times New Roman"/>
          <w:i/>
          <w:iCs/>
          <w:color w:val="000000"/>
          <w:szCs w:val="24"/>
        </w:rPr>
        <w:t xml:space="preserve">Trends in </w:t>
      </w:r>
      <w:r w:rsidR="00104191">
        <w:rPr>
          <w:rFonts w:eastAsia="Times New Roman" w:cs="Times New Roman"/>
          <w:i/>
          <w:iCs/>
          <w:color w:val="000000"/>
          <w:szCs w:val="24"/>
        </w:rPr>
        <w:t>Ecology and</w:t>
      </w:r>
      <w:r>
        <w:rPr>
          <w:rFonts w:eastAsia="Times New Roman" w:cs="Times New Roman"/>
          <w:i/>
          <w:iCs/>
          <w:color w:val="000000"/>
          <w:szCs w:val="24"/>
        </w:rPr>
        <w:t xml:space="preserve"> Evolution</w:t>
      </w:r>
      <w:r>
        <w:rPr>
          <w:rFonts w:eastAsia="Times New Roman" w:cs="Times New Roman"/>
          <w:color w:val="000000"/>
          <w:szCs w:val="24"/>
        </w:rPr>
        <w:t xml:space="preserve">, </w:t>
      </w:r>
      <w:r>
        <w:rPr>
          <w:rFonts w:eastAsia="Times New Roman" w:cs="Times New Roman"/>
          <w:i/>
          <w:iCs/>
          <w:color w:val="000000"/>
          <w:szCs w:val="24"/>
        </w:rPr>
        <w:t>24</w:t>
      </w:r>
      <w:r w:rsidR="008858C6">
        <w:rPr>
          <w:rFonts w:eastAsia="Times New Roman" w:cs="Times New Roman"/>
          <w:color w:val="000000"/>
          <w:szCs w:val="24"/>
        </w:rPr>
        <w:t>(9)</w:t>
      </w:r>
      <w:r>
        <w:rPr>
          <w:rFonts w:eastAsia="Times New Roman" w:cs="Times New Roman"/>
          <w:color w:val="000000"/>
          <w:szCs w:val="24"/>
        </w:rPr>
        <w:t xml:space="preserve">, 487–496. </w:t>
      </w:r>
    </w:p>
    <w:p w14:paraId="00000086" w14:textId="71A9FCD1"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Leal, L.C., Lima Neto, M.C., de Oliveira, A.F., Andersen, A.N.</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Leal, I.R. (2013).  </w:t>
      </w:r>
      <w:proofErr w:type="spellStart"/>
      <w:r>
        <w:rPr>
          <w:rFonts w:eastAsia="Times New Roman" w:cs="Times New Roman"/>
          <w:color w:val="000000"/>
          <w:szCs w:val="24"/>
        </w:rPr>
        <w:t>Myrmecochores</w:t>
      </w:r>
      <w:proofErr w:type="spellEnd"/>
      <w:r>
        <w:rPr>
          <w:rFonts w:eastAsia="Times New Roman" w:cs="Times New Roman"/>
          <w:color w:val="000000"/>
          <w:szCs w:val="24"/>
        </w:rPr>
        <w:t xml:space="preserve"> can target high-quality disperser ants: variation in </w:t>
      </w:r>
      <w:proofErr w:type="spellStart"/>
      <w:r>
        <w:rPr>
          <w:rFonts w:eastAsia="Times New Roman" w:cs="Times New Roman"/>
          <w:color w:val="000000"/>
          <w:szCs w:val="24"/>
        </w:rPr>
        <w:t>elaiosome</w:t>
      </w:r>
      <w:proofErr w:type="spellEnd"/>
      <w:r>
        <w:rPr>
          <w:rFonts w:eastAsia="Times New Roman" w:cs="Times New Roman"/>
          <w:color w:val="000000"/>
          <w:szCs w:val="24"/>
        </w:rPr>
        <w:t xml:space="preserve"> traits </w:t>
      </w:r>
      <w:r w:rsidR="00104191">
        <w:rPr>
          <w:rFonts w:eastAsia="Times New Roman" w:cs="Times New Roman"/>
          <w:color w:val="000000"/>
          <w:szCs w:val="24"/>
        </w:rPr>
        <w:t>and ant</w:t>
      </w:r>
      <w:r>
        <w:rPr>
          <w:rFonts w:eastAsia="Times New Roman" w:cs="Times New Roman"/>
          <w:color w:val="000000"/>
          <w:szCs w:val="24"/>
        </w:rPr>
        <w:t xml:space="preserve"> preferences for </w:t>
      </w:r>
      <w:proofErr w:type="spellStart"/>
      <w:r>
        <w:rPr>
          <w:rFonts w:eastAsia="Times New Roman" w:cs="Times New Roman"/>
          <w:color w:val="000000"/>
          <w:szCs w:val="24"/>
        </w:rPr>
        <w:t>myrmecochorous</w:t>
      </w:r>
      <w:proofErr w:type="spellEnd"/>
      <w:r>
        <w:rPr>
          <w:rFonts w:eastAsia="Times New Roman" w:cs="Times New Roman"/>
          <w:color w:val="000000"/>
          <w:szCs w:val="24"/>
        </w:rPr>
        <w:t xml:space="preserve"> </w:t>
      </w:r>
      <w:r w:rsidRPr="007517E7">
        <w:rPr>
          <w:rFonts w:eastAsia="Times New Roman" w:cs="Times New Roman"/>
          <w:color w:val="000000"/>
          <w:szCs w:val="24"/>
        </w:rPr>
        <w:t>Euphorbiaceae</w:t>
      </w:r>
      <w:r>
        <w:rPr>
          <w:rFonts w:eastAsia="Times New Roman" w:cs="Times New Roman"/>
          <w:i/>
          <w:iCs/>
          <w:color w:val="000000"/>
          <w:szCs w:val="24"/>
        </w:rPr>
        <w:t xml:space="preserve"> </w:t>
      </w:r>
      <w:r>
        <w:rPr>
          <w:rFonts w:eastAsia="Times New Roman" w:cs="Times New Roman"/>
          <w:color w:val="000000"/>
          <w:szCs w:val="24"/>
        </w:rPr>
        <w:t xml:space="preserve">in Brazilian Caatinga. </w:t>
      </w:r>
      <w:proofErr w:type="spellStart"/>
      <w:r>
        <w:rPr>
          <w:rFonts w:eastAsia="Times New Roman" w:cs="Times New Roman"/>
          <w:i/>
          <w:iCs/>
          <w:color w:val="000000"/>
          <w:szCs w:val="24"/>
        </w:rPr>
        <w:t>Oecologia</w:t>
      </w:r>
      <w:proofErr w:type="spellEnd"/>
      <w:r>
        <w:rPr>
          <w:rFonts w:eastAsia="Times New Roman" w:cs="Times New Roman"/>
          <w:color w:val="000000"/>
          <w:szCs w:val="24"/>
        </w:rPr>
        <w:t xml:space="preserve">.  </w:t>
      </w:r>
      <w:r>
        <w:rPr>
          <w:rFonts w:eastAsia="Times New Roman" w:cs="Times New Roman"/>
          <w:i/>
          <w:iCs/>
          <w:color w:val="000000"/>
          <w:szCs w:val="24"/>
        </w:rPr>
        <w:t>174</w:t>
      </w:r>
      <w:r>
        <w:rPr>
          <w:rFonts w:eastAsia="Times New Roman" w:cs="Times New Roman"/>
          <w:color w:val="000000"/>
          <w:szCs w:val="24"/>
        </w:rPr>
        <w:t xml:space="preserve">, 493–500. </w:t>
      </w:r>
    </w:p>
    <w:p w14:paraId="00000087" w14:textId="69EE41FD"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Leigh, E.G. (2010)</w:t>
      </w:r>
      <w:r w:rsidR="007517E7">
        <w:rPr>
          <w:rFonts w:eastAsia="Times New Roman" w:cs="Times New Roman"/>
          <w:color w:val="000000"/>
          <w:szCs w:val="24"/>
        </w:rPr>
        <w:t>.</w:t>
      </w:r>
      <w:r>
        <w:rPr>
          <w:rFonts w:eastAsia="Times New Roman" w:cs="Times New Roman"/>
          <w:color w:val="000000"/>
          <w:szCs w:val="24"/>
        </w:rPr>
        <w:t xml:space="preserve"> The evolution of mutualism, </w:t>
      </w:r>
      <w:r>
        <w:rPr>
          <w:rFonts w:eastAsia="Times New Roman" w:cs="Times New Roman"/>
          <w:i/>
          <w:iCs/>
          <w:color w:val="000000"/>
          <w:szCs w:val="24"/>
        </w:rPr>
        <w:t>Journal of Evolutionary Biology</w:t>
      </w:r>
      <w:r>
        <w:rPr>
          <w:rFonts w:eastAsia="Times New Roman" w:cs="Times New Roman"/>
          <w:color w:val="000000"/>
          <w:szCs w:val="24"/>
        </w:rPr>
        <w:t xml:space="preserve">, </w:t>
      </w:r>
      <w:r>
        <w:rPr>
          <w:rFonts w:eastAsia="Times New Roman" w:cs="Times New Roman"/>
          <w:i/>
          <w:iCs/>
          <w:color w:val="000000"/>
          <w:szCs w:val="24"/>
        </w:rPr>
        <w:t>23</w:t>
      </w:r>
      <w:r w:rsidR="008858C6">
        <w:rPr>
          <w:rFonts w:eastAsia="Times New Roman" w:cs="Times New Roman"/>
          <w:color w:val="000000"/>
          <w:szCs w:val="24"/>
        </w:rPr>
        <w:t>(12</w:t>
      </w:r>
      <w:r w:rsidR="00104191">
        <w:rPr>
          <w:rFonts w:eastAsia="Times New Roman" w:cs="Times New Roman"/>
          <w:color w:val="000000"/>
          <w:szCs w:val="24"/>
        </w:rPr>
        <w:t>), 2507</w:t>
      </w:r>
      <w:r>
        <w:rPr>
          <w:rFonts w:eastAsia="Times New Roman" w:cs="Times New Roman"/>
          <w:color w:val="000000"/>
          <w:szCs w:val="24"/>
        </w:rPr>
        <w:t xml:space="preserve">–2528. </w:t>
      </w:r>
    </w:p>
    <w:p w14:paraId="00000088" w14:textId="1B0CC436"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Lengyel, S., Gove, A.D., Latimer, A.M., Majer, J.D.</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Dunn, R.R. (2010). </w:t>
      </w:r>
      <w:r w:rsidR="00104191">
        <w:rPr>
          <w:rFonts w:eastAsia="Times New Roman" w:cs="Times New Roman"/>
          <w:color w:val="000000"/>
          <w:szCs w:val="24"/>
        </w:rPr>
        <w:t>Convergent evolution</w:t>
      </w:r>
      <w:r>
        <w:rPr>
          <w:rFonts w:eastAsia="Times New Roman" w:cs="Times New Roman"/>
          <w:color w:val="000000"/>
          <w:szCs w:val="24"/>
        </w:rPr>
        <w:t xml:space="preserve"> of seed dispersal by ants, and phylogeny and biogeography in flowering plants:  </w:t>
      </w:r>
      <w:r w:rsidR="009C5FDE">
        <w:rPr>
          <w:rFonts w:eastAsia="Times New Roman" w:cs="Times New Roman"/>
          <w:color w:val="000000"/>
          <w:szCs w:val="24"/>
        </w:rPr>
        <w:t>A</w:t>
      </w:r>
      <w:r>
        <w:rPr>
          <w:rFonts w:eastAsia="Times New Roman" w:cs="Times New Roman"/>
          <w:color w:val="000000"/>
          <w:szCs w:val="24"/>
        </w:rPr>
        <w:t xml:space="preserve"> global survey. Perspectives in Plant Ecology. </w:t>
      </w:r>
      <w:r>
        <w:rPr>
          <w:rFonts w:eastAsia="Times New Roman" w:cs="Times New Roman"/>
          <w:i/>
          <w:iCs/>
          <w:color w:val="000000"/>
          <w:szCs w:val="24"/>
        </w:rPr>
        <w:t>Evolutionary Systematics, 12</w:t>
      </w:r>
      <w:r w:rsidR="008858C6">
        <w:rPr>
          <w:rFonts w:eastAsia="Times New Roman" w:cs="Times New Roman"/>
          <w:color w:val="000000"/>
          <w:szCs w:val="24"/>
        </w:rPr>
        <w:t>(1)</w:t>
      </w:r>
      <w:r>
        <w:rPr>
          <w:rFonts w:eastAsia="Times New Roman" w:cs="Times New Roman"/>
          <w:color w:val="000000"/>
          <w:szCs w:val="24"/>
        </w:rPr>
        <w:t xml:space="preserve">, 43-55. </w:t>
      </w:r>
    </w:p>
    <w:p w14:paraId="00000089" w14:textId="7014EF62"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proofErr w:type="spellStart"/>
      <w:r>
        <w:rPr>
          <w:rFonts w:eastAsia="Times New Roman" w:cs="Times New Roman"/>
          <w:color w:val="000000"/>
          <w:szCs w:val="24"/>
        </w:rPr>
        <w:t>Linsenmair</w:t>
      </w:r>
      <w:proofErr w:type="spellEnd"/>
      <w:r>
        <w:rPr>
          <w:rFonts w:eastAsia="Times New Roman" w:cs="Times New Roman"/>
          <w:color w:val="000000"/>
          <w:szCs w:val="24"/>
        </w:rPr>
        <w:t>, K.E., Heil, M., Kaiser, W.M., Fiala, B., Koch, T.</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Boland, W. (2001).  Adaptations to biotic and abiotic stress: Macaranga-ant plants optimize investment </w:t>
      </w:r>
      <w:r w:rsidR="00104191">
        <w:rPr>
          <w:rFonts w:eastAsia="Times New Roman" w:cs="Times New Roman"/>
          <w:color w:val="000000"/>
          <w:szCs w:val="24"/>
        </w:rPr>
        <w:t>in biotic</w:t>
      </w:r>
      <w:r>
        <w:rPr>
          <w:rFonts w:eastAsia="Times New Roman" w:cs="Times New Roman"/>
          <w:color w:val="000000"/>
          <w:szCs w:val="24"/>
        </w:rPr>
        <w:t xml:space="preserve"> defence. </w:t>
      </w:r>
      <w:r>
        <w:rPr>
          <w:rFonts w:eastAsia="Times New Roman" w:cs="Times New Roman"/>
          <w:i/>
          <w:iCs/>
          <w:color w:val="000000"/>
          <w:szCs w:val="24"/>
        </w:rPr>
        <w:t>Journal of Experimental Botany, 52</w:t>
      </w:r>
      <w:r w:rsidR="008858C6">
        <w:rPr>
          <w:rFonts w:eastAsia="Times New Roman" w:cs="Times New Roman"/>
          <w:color w:val="000000"/>
          <w:szCs w:val="24"/>
        </w:rPr>
        <w:t>(363)</w:t>
      </w:r>
      <w:r>
        <w:rPr>
          <w:rFonts w:eastAsia="Times New Roman" w:cs="Times New Roman"/>
          <w:color w:val="000000"/>
          <w:szCs w:val="24"/>
        </w:rPr>
        <w:t xml:space="preserve">, 2057–2065. </w:t>
      </w:r>
    </w:p>
    <w:p w14:paraId="0000008A" w14:textId="5678A62F"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Marini-Filho, Onildo J. (1999). Distribution, composition, and dispersal of ant gardens </w:t>
      </w:r>
      <w:r w:rsidR="00104191">
        <w:rPr>
          <w:rFonts w:eastAsia="Times New Roman" w:cs="Times New Roman"/>
          <w:color w:val="000000"/>
          <w:szCs w:val="24"/>
        </w:rPr>
        <w:t>and tending</w:t>
      </w:r>
      <w:r>
        <w:rPr>
          <w:rFonts w:eastAsia="Times New Roman" w:cs="Times New Roman"/>
          <w:color w:val="000000"/>
          <w:szCs w:val="24"/>
        </w:rPr>
        <w:t xml:space="preserve"> ants in three kinds of central Amazonian habitats. </w:t>
      </w:r>
      <w:r>
        <w:rPr>
          <w:rFonts w:eastAsia="Times New Roman" w:cs="Times New Roman"/>
          <w:i/>
          <w:iCs/>
          <w:color w:val="000000"/>
          <w:szCs w:val="24"/>
        </w:rPr>
        <w:t>Tropical Zoology</w:t>
      </w:r>
      <w:r>
        <w:rPr>
          <w:rFonts w:eastAsia="Times New Roman" w:cs="Times New Roman"/>
          <w:color w:val="000000"/>
          <w:szCs w:val="24"/>
        </w:rPr>
        <w:t xml:space="preserve">, </w:t>
      </w:r>
      <w:r>
        <w:rPr>
          <w:rFonts w:eastAsia="Times New Roman" w:cs="Times New Roman"/>
          <w:i/>
          <w:iCs/>
          <w:color w:val="000000"/>
          <w:szCs w:val="24"/>
        </w:rPr>
        <w:t>12</w:t>
      </w:r>
      <w:r w:rsidR="008858C6">
        <w:rPr>
          <w:rFonts w:eastAsia="Times New Roman" w:cs="Times New Roman"/>
          <w:color w:val="000000"/>
          <w:szCs w:val="24"/>
        </w:rPr>
        <w:t>(2)</w:t>
      </w:r>
      <w:r>
        <w:rPr>
          <w:rFonts w:eastAsia="Times New Roman" w:cs="Times New Roman"/>
          <w:color w:val="000000"/>
          <w:szCs w:val="24"/>
        </w:rPr>
        <w:t xml:space="preserve">, 289– 296. </w:t>
      </w:r>
    </w:p>
    <w:p w14:paraId="0000008B" w14:textId="3986AA48"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McCutcheon, J.P., Boyd, B.M.</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Dale, C. (2019). The Life of an </w:t>
      </w:r>
      <w:r w:rsidR="009C5FDE">
        <w:rPr>
          <w:rFonts w:eastAsia="Times New Roman" w:cs="Times New Roman"/>
          <w:color w:val="000000"/>
          <w:szCs w:val="24"/>
        </w:rPr>
        <w:t>i</w:t>
      </w:r>
      <w:r>
        <w:rPr>
          <w:rFonts w:eastAsia="Times New Roman" w:cs="Times New Roman"/>
          <w:color w:val="000000"/>
          <w:szCs w:val="24"/>
        </w:rPr>
        <w:t xml:space="preserve">nsect </w:t>
      </w:r>
      <w:r w:rsidR="009C5FDE">
        <w:rPr>
          <w:rFonts w:eastAsia="Times New Roman" w:cs="Times New Roman"/>
          <w:color w:val="000000"/>
          <w:szCs w:val="24"/>
        </w:rPr>
        <w:t>e</w:t>
      </w:r>
      <w:r>
        <w:rPr>
          <w:rFonts w:eastAsia="Times New Roman" w:cs="Times New Roman"/>
          <w:color w:val="000000"/>
          <w:szCs w:val="24"/>
        </w:rPr>
        <w:t xml:space="preserve">ndosymbiont </w:t>
      </w:r>
      <w:r w:rsidR="00104191">
        <w:rPr>
          <w:rFonts w:eastAsia="Times New Roman" w:cs="Times New Roman"/>
          <w:color w:val="000000"/>
          <w:szCs w:val="24"/>
        </w:rPr>
        <w:t>from the</w:t>
      </w:r>
      <w:r>
        <w:rPr>
          <w:rFonts w:eastAsia="Times New Roman" w:cs="Times New Roman"/>
          <w:color w:val="000000"/>
          <w:szCs w:val="24"/>
        </w:rPr>
        <w:t xml:space="preserve"> </w:t>
      </w:r>
      <w:r w:rsidR="009C5FDE">
        <w:rPr>
          <w:rFonts w:eastAsia="Times New Roman" w:cs="Times New Roman"/>
          <w:color w:val="000000"/>
          <w:szCs w:val="24"/>
        </w:rPr>
        <w:t>c</w:t>
      </w:r>
      <w:r>
        <w:rPr>
          <w:rFonts w:eastAsia="Times New Roman" w:cs="Times New Roman"/>
          <w:color w:val="000000"/>
          <w:szCs w:val="24"/>
        </w:rPr>
        <w:t xml:space="preserve">radle to the </w:t>
      </w:r>
      <w:r w:rsidR="009C5FDE">
        <w:rPr>
          <w:rFonts w:eastAsia="Times New Roman" w:cs="Times New Roman"/>
          <w:color w:val="000000"/>
          <w:szCs w:val="24"/>
        </w:rPr>
        <w:t>g</w:t>
      </w:r>
      <w:r>
        <w:rPr>
          <w:rFonts w:eastAsia="Times New Roman" w:cs="Times New Roman"/>
          <w:color w:val="000000"/>
          <w:szCs w:val="24"/>
        </w:rPr>
        <w:t xml:space="preserve">rave. </w:t>
      </w:r>
      <w:r>
        <w:rPr>
          <w:rFonts w:eastAsia="Times New Roman" w:cs="Times New Roman"/>
          <w:i/>
          <w:iCs/>
          <w:color w:val="000000"/>
          <w:szCs w:val="24"/>
        </w:rPr>
        <w:t>Current Biology, 29</w:t>
      </w:r>
      <w:r w:rsidR="008858C6">
        <w:rPr>
          <w:rFonts w:eastAsia="Times New Roman" w:cs="Times New Roman"/>
          <w:color w:val="000000"/>
          <w:szCs w:val="24"/>
        </w:rPr>
        <w:t>(11)</w:t>
      </w:r>
      <w:r>
        <w:rPr>
          <w:rFonts w:eastAsia="Times New Roman" w:cs="Times New Roman"/>
          <w:color w:val="000000"/>
          <w:szCs w:val="24"/>
        </w:rPr>
        <w:t xml:space="preserve">, R485–R495. </w:t>
      </w:r>
    </w:p>
    <w:p w14:paraId="0000008C" w14:textId="5DDA601B"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McCutcheon, J.P., Garber, A.I., Spencer, N. </w:t>
      </w:r>
      <w:r w:rsidR="00304E12">
        <w:rPr>
          <w:rFonts w:eastAsia="Times New Roman" w:cs="Times New Roman"/>
          <w:color w:val="000000"/>
          <w:szCs w:val="24"/>
        </w:rPr>
        <w:t>and</w:t>
      </w:r>
      <w:r>
        <w:rPr>
          <w:rFonts w:eastAsia="Times New Roman" w:cs="Times New Roman"/>
          <w:color w:val="000000"/>
          <w:szCs w:val="24"/>
        </w:rPr>
        <w:t xml:space="preserve"> Warren, J.M. (2024) How do </w:t>
      </w:r>
      <w:r w:rsidR="00104191">
        <w:rPr>
          <w:rFonts w:eastAsia="Times New Roman" w:cs="Times New Roman"/>
          <w:color w:val="000000"/>
          <w:szCs w:val="24"/>
        </w:rPr>
        <w:t>bacterial endosymbionts</w:t>
      </w:r>
      <w:r>
        <w:rPr>
          <w:rFonts w:eastAsia="Times New Roman" w:cs="Times New Roman"/>
          <w:color w:val="000000"/>
          <w:szCs w:val="24"/>
        </w:rPr>
        <w:t xml:space="preserve"> work with so few genes? </w:t>
      </w:r>
      <w:r>
        <w:rPr>
          <w:rFonts w:eastAsia="Times New Roman" w:cs="Times New Roman"/>
          <w:i/>
          <w:iCs/>
          <w:color w:val="000000"/>
          <w:szCs w:val="24"/>
        </w:rPr>
        <w:t>PL</w:t>
      </w:r>
      <w:r w:rsidR="005B73C9">
        <w:rPr>
          <w:rFonts w:eastAsia="Times New Roman" w:cs="Times New Roman"/>
          <w:i/>
          <w:iCs/>
          <w:color w:val="000000"/>
          <w:szCs w:val="24"/>
        </w:rPr>
        <w:t>O</w:t>
      </w:r>
      <w:r>
        <w:rPr>
          <w:rFonts w:eastAsia="Times New Roman" w:cs="Times New Roman"/>
          <w:i/>
          <w:iCs/>
          <w:color w:val="000000"/>
          <w:szCs w:val="24"/>
        </w:rPr>
        <w:t>S Biology</w:t>
      </w:r>
      <w:r>
        <w:rPr>
          <w:rFonts w:eastAsia="Times New Roman" w:cs="Times New Roman"/>
          <w:color w:val="000000"/>
          <w:szCs w:val="24"/>
        </w:rPr>
        <w:t xml:space="preserve">, </w:t>
      </w:r>
      <w:r>
        <w:rPr>
          <w:rFonts w:eastAsia="Times New Roman" w:cs="Times New Roman"/>
          <w:i/>
          <w:iCs/>
          <w:color w:val="000000"/>
          <w:szCs w:val="24"/>
        </w:rPr>
        <w:t>22</w:t>
      </w:r>
      <w:r>
        <w:rPr>
          <w:rFonts w:eastAsia="Times New Roman" w:cs="Times New Roman"/>
          <w:color w:val="000000"/>
          <w:szCs w:val="24"/>
        </w:rPr>
        <w:t xml:space="preserve">, 1–16. </w:t>
      </w:r>
    </w:p>
    <w:p w14:paraId="0000008D" w14:textId="73909DF6"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McCutcheon, J.P.</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Moran, N.A. (2012) Extreme genome reduction in symbiotic </w:t>
      </w:r>
      <w:r w:rsidR="00104191">
        <w:rPr>
          <w:rFonts w:eastAsia="Times New Roman" w:cs="Times New Roman"/>
          <w:color w:val="000000"/>
          <w:szCs w:val="24"/>
        </w:rPr>
        <w:t>bacteria, Nature</w:t>
      </w:r>
      <w:r>
        <w:rPr>
          <w:rFonts w:eastAsia="Times New Roman" w:cs="Times New Roman"/>
          <w:i/>
          <w:iCs/>
          <w:color w:val="000000"/>
          <w:szCs w:val="24"/>
        </w:rPr>
        <w:t xml:space="preserve"> Reviews Microbiology</w:t>
      </w:r>
      <w:r>
        <w:rPr>
          <w:rFonts w:eastAsia="Times New Roman" w:cs="Times New Roman"/>
          <w:color w:val="000000"/>
          <w:szCs w:val="24"/>
        </w:rPr>
        <w:t xml:space="preserve">, </w:t>
      </w:r>
      <w:r>
        <w:rPr>
          <w:rFonts w:eastAsia="Times New Roman" w:cs="Times New Roman"/>
          <w:i/>
          <w:iCs/>
          <w:color w:val="000000"/>
          <w:szCs w:val="24"/>
        </w:rPr>
        <w:t>10</w:t>
      </w:r>
      <w:r w:rsidR="00FA675F">
        <w:rPr>
          <w:rFonts w:eastAsia="Times New Roman" w:cs="Times New Roman"/>
          <w:color w:val="000000"/>
          <w:szCs w:val="24"/>
        </w:rPr>
        <w:t>(1)</w:t>
      </w:r>
      <w:r>
        <w:rPr>
          <w:rFonts w:eastAsia="Times New Roman" w:cs="Times New Roman"/>
          <w:color w:val="000000"/>
          <w:szCs w:val="24"/>
        </w:rPr>
        <w:t xml:space="preserve">, 13–26. </w:t>
      </w:r>
    </w:p>
    <w:p w14:paraId="0000008E" w14:textId="05518E80"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sidRPr="00304E12">
        <w:rPr>
          <w:rFonts w:eastAsia="Times New Roman" w:cs="Times New Roman"/>
          <w:color w:val="000000"/>
          <w:szCs w:val="24"/>
        </w:rPr>
        <w:t>McIntire, E.J.B.</w:t>
      </w:r>
      <w:r w:rsidR="00A45624">
        <w:rPr>
          <w:rFonts w:eastAsia="Times New Roman" w:cs="Times New Roman"/>
          <w:color w:val="000000"/>
          <w:szCs w:val="24"/>
        </w:rPr>
        <w:t>,</w:t>
      </w:r>
      <w:r w:rsidRPr="00304E12">
        <w:rPr>
          <w:rFonts w:eastAsia="Times New Roman" w:cs="Times New Roman"/>
          <w:color w:val="000000"/>
          <w:szCs w:val="24"/>
        </w:rPr>
        <w:t xml:space="preserve"> </w:t>
      </w:r>
      <w:r w:rsidR="00304E12" w:rsidRPr="00304E12">
        <w:rPr>
          <w:rFonts w:eastAsia="Times New Roman" w:cs="Times New Roman"/>
          <w:color w:val="000000"/>
          <w:szCs w:val="24"/>
        </w:rPr>
        <w:t>and</w:t>
      </w:r>
      <w:r w:rsidRPr="00304E12">
        <w:rPr>
          <w:rFonts w:eastAsia="Times New Roman" w:cs="Times New Roman"/>
          <w:color w:val="000000"/>
          <w:szCs w:val="24"/>
        </w:rPr>
        <w:t xml:space="preserve"> Fajardo, A. (2014). </w:t>
      </w:r>
      <w:r>
        <w:rPr>
          <w:rFonts w:eastAsia="Times New Roman" w:cs="Times New Roman"/>
          <w:color w:val="000000"/>
          <w:szCs w:val="24"/>
        </w:rPr>
        <w:t xml:space="preserve">Facilitation as a ubiquitous driver of biodiversity. </w:t>
      </w:r>
      <w:r w:rsidR="00104191">
        <w:rPr>
          <w:rFonts w:eastAsia="Times New Roman" w:cs="Times New Roman"/>
          <w:i/>
          <w:iCs/>
          <w:color w:val="000000"/>
          <w:szCs w:val="24"/>
        </w:rPr>
        <w:t>The New</w:t>
      </w:r>
      <w:r>
        <w:rPr>
          <w:rFonts w:eastAsia="Times New Roman" w:cs="Times New Roman"/>
          <w:i/>
          <w:iCs/>
          <w:color w:val="000000"/>
          <w:szCs w:val="24"/>
        </w:rPr>
        <w:t xml:space="preserve"> Phytologist, 201</w:t>
      </w:r>
      <w:r>
        <w:rPr>
          <w:rFonts w:eastAsia="Times New Roman" w:cs="Times New Roman"/>
          <w:color w:val="000000"/>
          <w:szCs w:val="24"/>
        </w:rPr>
        <w:t xml:space="preserve">, 403–416. </w:t>
      </w:r>
    </w:p>
    <w:p w14:paraId="00000090" w14:textId="3A506CFC" w:rsidR="00E420E3" w:rsidRPr="005B73C9"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Mondor, E.B.</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Addicott, J.F. (2003). Conspicuous extra-floral nectaries are inducible </w:t>
      </w:r>
      <w:r w:rsidR="00104191">
        <w:rPr>
          <w:rFonts w:eastAsia="Times New Roman" w:cs="Times New Roman"/>
          <w:color w:val="000000"/>
          <w:szCs w:val="24"/>
        </w:rPr>
        <w:t xml:space="preserve">in </w:t>
      </w:r>
      <w:r w:rsidR="00104191">
        <w:rPr>
          <w:rFonts w:eastAsia="Times New Roman" w:cs="Times New Roman"/>
          <w:color w:val="000000"/>
          <w:szCs w:val="24"/>
        </w:rPr>
        <w:lastRenderedPageBreak/>
        <w:t>Vicia</w:t>
      </w:r>
      <w:r>
        <w:rPr>
          <w:rFonts w:eastAsia="Times New Roman" w:cs="Times New Roman"/>
          <w:i/>
          <w:iCs/>
          <w:color w:val="000000"/>
          <w:szCs w:val="24"/>
        </w:rPr>
        <w:t xml:space="preserve"> faba</w:t>
      </w:r>
      <w:r>
        <w:rPr>
          <w:rFonts w:eastAsia="Times New Roman" w:cs="Times New Roman"/>
          <w:color w:val="000000"/>
          <w:szCs w:val="24"/>
        </w:rPr>
        <w:t xml:space="preserve">. </w:t>
      </w:r>
      <w:r>
        <w:rPr>
          <w:rFonts w:eastAsia="Times New Roman" w:cs="Times New Roman"/>
          <w:i/>
          <w:iCs/>
          <w:color w:val="000000"/>
          <w:szCs w:val="24"/>
        </w:rPr>
        <w:t>Ecology Letters, 6</w:t>
      </w:r>
      <w:r>
        <w:rPr>
          <w:rFonts w:eastAsia="Times New Roman" w:cs="Times New Roman"/>
          <w:color w:val="000000"/>
          <w:szCs w:val="24"/>
        </w:rPr>
        <w:t>, 495–497.</w:t>
      </w:r>
    </w:p>
    <w:p w14:paraId="00000091" w14:textId="39B0DF0A"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Moreau, C.S., Bell, C.D., Vila, R., Archibald, S.B.</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Pierce, N.E. (2006). Phylogeny of </w:t>
      </w:r>
      <w:r w:rsidR="00104191">
        <w:rPr>
          <w:rFonts w:eastAsia="Times New Roman" w:cs="Times New Roman"/>
          <w:color w:val="000000"/>
          <w:szCs w:val="24"/>
        </w:rPr>
        <w:t>the ants</w:t>
      </w:r>
      <w:r>
        <w:rPr>
          <w:rFonts w:eastAsia="Times New Roman" w:cs="Times New Roman"/>
          <w:color w:val="000000"/>
          <w:szCs w:val="24"/>
        </w:rPr>
        <w:t xml:space="preserve">: </w:t>
      </w:r>
      <w:r w:rsidR="00371338">
        <w:rPr>
          <w:rFonts w:eastAsia="Times New Roman" w:cs="Times New Roman"/>
          <w:color w:val="000000"/>
          <w:szCs w:val="24"/>
        </w:rPr>
        <w:t>D</w:t>
      </w:r>
      <w:r>
        <w:rPr>
          <w:rFonts w:eastAsia="Times New Roman" w:cs="Times New Roman"/>
          <w:color w:val="000000"/>
          <w:szCs w:val="24"/>
        </w:rPr>
        <w:t xml:space="preserve">iversification in the age of angiosperms. </w:t>
      </w:r>
      <w:r>
        <w:rPr>
          <w:rFonts w:eastAsia="Times New Roman" w:cs="Times New Roman"/>
          <w:i/>
          <w:iCs/>
          <w:color w:val="000000"/>
          <w:szCs w:val="24"/>
        </w:rPr>
        <w:t>Science</w:t>
      </w:r>
      <w:r>
        <w:rPr>
          <w:rFonts w:eastAsia="Times New Roman" w:cs="Times New Roman"/>
          <w:color w:val="000000"/>
          <w:szCs w:val="24"/>
        </w:rPr>
        <w:t xml:space="preserve">, </w:t>
      </w:r>
      <w:r>
        <w:rPr>
          <w:rFonts w:eastAsia="Times New Roman" w:cs="Times New Roman"/>
          <w:i/>
          <w:iCs/>
          <w:color w:val="000000"/>
          <w:szCs w:val="24"/>
        </w:rPr>
        <w:t>312</w:t>
      </w:r>
      <w:r w:rsidR="00FA675F">
        <w:rPr>
          <w:rFonts w:eastAsia="Times New Roman" w:cs="Times New Roman"/>
          <w:color w:val="000000"/>
          <w:szCs w:val="24"/>
        </w:rPr>
        <w:t>(5770)</w:t>
      </w:r>
      <w:r>
        <w:rPr>
          <w:rFonts w:eastAsia="Times New Roman" w:cs="Times New Roman"/>
          <w:color w:val="000000"/>
          <w:szCs w:val="24"/>
        </w:rPr>
        <w:t xml:space="preserve">, 101-104. </w:t>
      </w:r>
    </w:p>
    <w:p w14:paraId="00000092" w14:textId="4F897C99"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Mueller, U.G., Gerardo, N.M., Aanen, D.K., Six, D.L.</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Schultz, T.R. (2005). The </w:t>
      </w:r>
      <w:r w:rsidR="00104191">
        <w:rPr>
          <w:rFonts w:eastAsia="Times New Roman" w:cs="Times New Roman"/>
          <w:color w:val="000000"/>
          <w:szCs w:val="24"/>
        </w:rPr>
        <w:t>evolution of</w:t>
      </w:r>
      <w:r>
        <w:rPr>
          <w:rFonts w:eastAsia="Times New Roman" w:cs="Times New Roman"/>
          <w:color w:val="000000"/>
          <w:szCs w:val="24"/>
        </w:rPr>
        <w:t xml:space="preserve"> agriculture in insects. </w:t>
      </w:r>
      <w:r>
        <w:rPr>
          <w:rFonts w:eastAsia="Times New Roman" w:cs="Times New Roman"/>
          <w:i/>
          <w:iCs/>
          <w:color w:val="000000"/>
          <w:szCs w:val="24"/>
        </w:rPr>
        <w:t>Annual Review of Ecology, Evolution, and Systematics, 36</w:t>
      </w:r>
      <w:r>
        <w:rPr>
          <w:rFonts w:eastAsia="Times New Roman" w:cs="Times New Roman"/>
          <w:color w:val="000000"/>
          <w:szCs w:val="24"/>
        </w:rPr>
        <w:t xml:space="preserve">, 563– 595. </w:t>
      </w:r>
    </w:p>
    <w:p w14:paraId="00000093" w14:textId="3E6F648B"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Nelsen, M.P., Ree, R.H.</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Moreau, C.S. (2018). Ant-plant interactions evolved </w:t>
      </w:r>
      <w:r w:rsidR="00104191">
        <w:rPr>
          <w:rFonts w:eastAsia="Times New Roman" w:cs="Times New Roman"/>
          <w:color w:val="000000"/>
          <w:szCs w:val="24"/>
        </w:rPr>
        <w:t>through increasing</w:t>
      </w:r>
      <w:r>
        <w:rPr>
          <w:rFonts w:eastAsia="Times New Roman" w:cs="Times New Roman"/>
          <w:color w:val="000000"/>
          <w:szCs w:val="24"/>
        </w:rPr>
        <w:t xml:space="preserve"> interdependence. </w:t>
      </w:r>
      <w:r w:rsidR="00493045">
        <w:rPr>
          <w:rFonts w:eastAsia="Times New Roman" w:cs="Times New Roman"/>
          <w:i/>
          <w:iCs/>
          <w:color w:val="000000"/>
          <w:szCs w:val="24"/>
        </w:rPr>
        <w:t xml:space="preserve">Proceedings of the National Academy of Sciences of the </w:t>
      </w:r>
      <w:r w:rsidR="00A968DE">
        <w:rPr>
          <w:rFonts w:eastAsia="Times New Roman" w:cs="Times New Roman"/>
          <w:i/>
          <w:iCs/>
          <w:color w:val="000000"/>
          <w:szCs w:val="24"/>
        </w:rPr>
        <w:t>United</w:t>
      </w:r>
      <w:r w:rsidR="00493045">
        <w:rPr>
          <w:rFonts w:eastAsia="Times New Roman" w:cs="Times New Roman"/>
          <w:i/>
          <w:iCs/>
          <w:color w:val="000000"/>
          <w:szCs w:val="24"/>
        </w:rPr>
        <w:t xml:space="preserve"> States of America, </w:t>
      </w:r>
      <w:r>
        <w:rPr>
          <w:rFonts w:eastAsia="Times New Roman" w:cs="Times New Roman"/>
          <w:i/>
          <w:iCs/>
          <w:color w:val="000000"/>
          <w:szCs w:val="24"/>
        </w:rPr>
        <w:t>115</w:t>
      </w:r>
      <w:r w:rsidR="00FA675F">
        <w:rPr>
          <w:rFonts w:eastAsia="Times New Roman" w:cs="Times New Roman"/>
          <w:color w:val="000000"/>
          <w:szCs w:val="24"/>
        </w:rPr>
        <w:t>(48)</w:t>
      </w:r>
      <w:r>
        <w:rPr>
          <w:rFonts w:eastAsia="Times New Roman" w:cs="Times New Roman"/>
          <w:color w:val="000000"/>
          <w:szCs w:val="24"/>
        </w:rPr>
        <w:t xml:space="preserve">, 12253–12258. </w:t>
      </w:r>
    </w:p>
    <w:p w14:paraId="00000094" w14:textId="7AE6CB8E"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Nygaard, S., Hu, H., Li, C., Schiøtt, M., Chen, Z., Yang, Z., Xie, Q., Ma, C., Deng, Y., </w:t>
      </w:r>
      <w:proofErr w:type="spellStart"/>
      <w:r w:rsidR="00104191">
        <w:rPr>
          <w:rFonts w:eastAsia="Times New Roman" w:cs="Times New Roman"/>
          <w:color w:val="000000"/>
          <w:szCs w:val="24"/>
        </w:rPr>
        <w:t>Dikow</w:t>
      </w:r>
      <w:proofErr w:type="spellEnd"/>
      <w:r w:rsidR="00104191">
        <w:rPr>
          <w:rFonts w:eastAsia="Times New Roman" w:cs="Times New Roman"/>
          <w:color w:val="000000"/>
          <w:szCs w:val="24"/>
        </w:rPr>
        <w:t>, R.</w:t>
      </w:r>
      <w:r>
        <w:rPr>
          <w:rFonts w:eastAsia="Times New Roman" w:cs="Times New Roman"/>
          <w:color w:val="000000"/>
          <w:szCs w:val="24"/>
        </w:rPr>
        <w:t xml:space="preserve"> B., </w:t>
      </w:r>
      <w:proofErr w:type="spellStart"/>
      <w:r>
        <w:rPr>
          <w:rFonts w:eastAsia="Times New Roman" w:cs="Times New Roman"/>
          <w:color w:val="000000"/>
          <w:szCs w:val="24"/>
        </w:rPr>
        <w:t>Rabeling</w:t>
      </w:r>
      <w:proofErr w:type="spellEnd"/>
      <w:r>
        <w:rPr>
          <w:rFonts w:eastAsia="Times New Roman" w:cs="Times New Roman"/>
          <w:color w:val="000000"/>
          <w:szCs w:val="24"/>
        </w:rPr>
        <w:t>, C., Nash, D.R., Wcislo, W.T., Brady, S.G., Schultz, T.R., Zhang, G.</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Boomsma, J.J. (2016). Reciprocal genomic evolution in the ant-fungus </w:t>
      </w:r>
      <w:r w:rsidR="00104191">
        <w:rPr>
          <w:rFonts w:eastAsia="Times New Roman" w:cs="Times New Roman"/>
          <w:color w:val="000000"/>
          <w:szCs w:val="24"/>
        </w:rPr>
        <w:t>agricultural symbiosis</w:t>
      </w:r>
      <w:r>
        <w:rPr>
          <w:rFonts w:eastAsia="Times New Roman" w:cs="Times New Roman"/>
          <w:color w:val="000000"/>
          <w:szCs w:val="24"/>
        </w:rPr>
        <w:t xml:space="preserve">. </w:t>
      </w:r>
      <w:r>
        <w:rPr>
          <w:rFonts w:eastAsia="Times New Roman" w:cs="Times New Roman"/>
          <w:i/>
          <w:iCs/>
          <w:color w:val="000000"/>
          <w:szCs w:val="24"/>
        </w:rPr>
        <w:t>Nature Communications</w:t>
      </w:r>
      <w:r>
        <w:rPr>
          <w:rFonts w:eastAsia="Times New Roman" w:cs="Times New Roman"/>
          <w:color w:val="000000"/>
          <w:szCs w:val="24"/>
        </w:rPr>
        <w:t xml:space="preserve">, </w:t>
      </w:r>
      <w:r>
        <w:rPr>
          <w:rFonts w:eastAsia="Times New Roman" w:cs="Times New Roman"/>
          <w:i/>
          <w:iCs/>
          <w:color w:val="000000"/>
          <w:szCs w:val="24"/>
        </w:rPr>
        <w:t>7</w:t>
      </w:r>
      <w:r>
        <w:rPr>
          <w:rFonts w:eastAsia="Times New Roman" w:cs="Times New Roman"/>
          <w:color w:val="000000"/>
          <w:szCs w:val="24"/>
        </w:rPr>
        <w:t xml:space="preserve">, 12233. </w:t>
      </w:r>
    </w:p>
    <w:p w14:paraId="00000095" w14:textId="62186957"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Oliver, K.M., Russell, J.A., Moran, N.A.</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Hunter, M.S. (2003). Facultative </w:t>
      </w:r>
      <w:r w:rsidR="00104191">
        <w:rPr>
          <w:rFonts w:eastAsia="Times New Roman" w:cs="Times New Roman"/>
          <w:color w:val="000000"/>
          <w:szCs w:val="24"/>
        </w:rPr>
        <w:t>bacterial symbionts</w:t>
      </w:r>
      <w:r>
        <w:rPr>
          <w:rFonts w:eastAsia="Times New Roman" w:cs="Times New Roman"/>
          <w:color w:val="000000"/>
          <w:szCs w:val="24"/>
        </w:rPr>
        <w:t xml:space="preserve"> in aphids confer resistance to parasitic wasps. </w:t>
      </w:r>
      <w:r w:rsidR="00493045">
        <w:rPr>
          <w:rFonts w:eastAsia="Times New Roman" w:cs="Times New Roman"/>
          <w:i/>
          <w:iCs/>
          <w:color w:val="000000"/>
          <w:szCs w:val="24"/>
        </w:rPr>
        <w:t xml:space="preserve">Proceedings of the National Academy of Sciences of the </w:t>
      </w:r>
      <w:r w:rsidR="0043043F">
        <w:rPr>
          <w:rFonts w:eastAsia="Times New Roman" w:cs="Times New Roman"/>
          <w:i/>
          <w:iCs/>
          <w:color w:val="000000"/>
          <w:szCs w:val="24"/>
        </w:rPr>
        <w:t>United</w:t>
      </w:r>
      <w:r w:rsidR="00493045">
        <w:rPr>
          <w:rFonts w:eastAsia="Times New Roman" w:cs="Times New Roman"/>
          <w:i/>
          <w:iCs/>
          <w:color w:val="000000"/>
          <w:szCs w:val="24"/>
        </w:rPr>
        <w:t xml:space="preserve"> States of America</w:t>
      </w:r>
      <w:r>
        <w:rPr>
          <w:rFonts w:eastAsia="Times New Roman" w:cs="Times New Roman"/>
          <w:i/>
          <w:iCs/>
          <w:color w:val="000000"/>
          <w:szCs w:val="24"/>
        </w:rPr>
        <w:t>, 100</w:t>
      </w:r>
      <w:r>
        <w:rPr>
          <w:rFonts w:eastAsia="Times New Roman" w:cs="Times New Roman"/>
          <w:color w:val="000000"/>
          <w:szCs w:val="24"/>
        </w:rPr>
        <w:t xml:space="preserve">, 1803–7. </w:t>
      </w:r>
    </w:p>
    <w:p w14:paraId="00000096" w14:textId="53675E84"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Ollerton, J., Winfree, R.</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Tarrant, S. (2011). How many flowering plants are pollinated </w:t>
      </w:r>
      <w:r w:rsidR="00104191">
        <w:rPr>
          <w:rFonts w:eastAsia="Times New Roman" w:cs="Times New Roman"/>
          <w:color w:val="000000"/>
          <w:szCs w:val="24"/>
        </w:rPr>
        <w:t xml:space="preserve">by </w:t>
      </w:r>
      <w:proofErr w:type="gramStart"/>
      <w:r w:rsidR="00104191">
        <w:rPr>
          <w:rFonts w:eastAsia="Times New Roman" w:cs="Times New Roman"/>
          <w:color w:val="000000"/>
          <w:szCs w:val="24"/>
        </w:rPr>
        <w:t>animals?</w:t>
      </w:r>
      <w:r w:rsidR="00453AF7">
        <w:rPr>
          <w:rFonts w:eastAsia="Times New Roman" w:cs="Times New Roman"/>
          <w:color w:val="000000"/>
          <w:szCs w:val="24"/>
        </w:rPr>
        <w:t>,</w:t>
      </w:r>
      <w:proofErr w:type="gramEnd"/>
      <w:r>
        <w:rPr>
          <w:rFonts w:eastAsia="Times New Roman" w:cs="Times New Roman"/>
          <w:color w:val="000000"/>
          <w:szCs w:val="24"/>
        </w:rPr>
        <w:t xml:space="preserve"> </w:t>
      </w:r>
      <w:r>
        <w:rPr>
          <w:rFonts w:eastAsia="Times New Roman" w:cs="Times New Roman"/>
          <w:i/>
          <w:iCs/>
          <w:color w:val="000000"/>
          <w:szCs w:val="24"/>
        </w:rPr>
        <w:t>Oikos, 120</w:t>
      </w:r>
      <w:r w:rsidR="001F7E40">
        <w:rPr>
          <w:rFonts w:eastAsia="Times New Roman" w:cs="Times New Roman"/>
          <w:color w:val="000000"/>
          <w:szCs w:val="24"/>
        </w:rPr>
        <w:t>(3)</w:t>
      </w:r>
      <w:r>
        <w:rPr>
          <w:rFonts w:eastAsia="Times New Roman" w:cs="Times New Roman"/>
          <w:color w:val="000000"/>
          <w:szCs w:val="24"/>
        </w:rPr>
        <w:t xml:space="preserve">, 321-326. </w:t>
      </w:r>
    </w:p>
    <w:p w14:paraId="00000097" w14:textId="1B2C2BD6"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Palmer, T. M. (2023)</w:t>
      </w:r>
      <w:r w:rsidR="00493045">
        <w:rPr>
          <w:rFonts w:eastAsia="Times New Roman" w:cs="Times New Roman"/>
          <w:color w:val="000000"/>
          <w:szCs w:val="24"/>
        </w:rPr>
        <w:t>.</w:t>
      </w:r>
      <w:r>
        <w:rPr>
          <w:rFonts w:eastAsia="Times New Roman" w:cs="Times New Roman"/>
          <w:color w:val="000000"/>
          <w:szCs w:val="24"/>
        </w:rPr>
        <w:t xml:space="preserve"> Acacia ants, </w:t>
      </w:r>
      <w:r>
        <w:rPr>
          <w:rFonts w:eastAsia="Times New Roman" w:cs="Times New Roman"/>
          <w:i/>
          <w:iCs/>
          <w:color w:val="000000"/>
          <w:szCs w:val="24"/>
        </w:rPr>
        <w:t>Current Biology</w:t>
      </w:r>
      <w:r>
        <w:rPr>
          <w:rFonts w:eastAsia="Times New Roman" w:cs="Times New Roman"/>
          <w:color w:val="000000"/>
          <w:szCs w:val="24"/>
        </w:rPr>
        <w:t xml:space="preserve">, </w:t>
      </w:r>
      <w:r>
        <w:rPr>
          <w:rFonts w:eastAsia="Times New Roman" w:cs="Times New Roman"/>
          <w:i/>
          <w:iCs/>
          <w:color w:val="000000"/>
          <w:szCs w:val="24"/>
        </w:rPr>
        <w:t>33</w:t>
      </w:r>
      <w:r w:rsidR="001F7E40">
        <w:rPr>
          <w:rFonts w:eastAsia="Times New Roman" w:cs="Times New Roman"/>
          <w:color w:val="000000"/>
          <w:szCs w:val="24"/>
        </w:rPr>
        <w:t>(11)</w:t>
      </w:r>
      <w:r>
        <w:rPr>
          <w:rFonts w:eastAsia="Times New Roman" w:cs="Times New Roman"/>
          <w:color w:val="000000"/>
          <w:szCs w:val="24"/>
        </w:rPr>
        <w:t xml:space="preserve">, R469–R471. </w:t>
      </w:r>
    </w:p>
    <w:p w14:paraId="00000098" w14:textId="3CC7B3E5"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Peay KG. (2016). The mutualistic niche: </w:t>
      </w:r>
      <w:r w:rsidR="00493045">
        <w:rPr>
          <w:rFonts w:eastAsia="Times New Roman" w:cs="Times New Roman"/>
          <w:color w:val="000000"/>
          <w:szCs w:val="24"/>
        </w:rPr>
        <w:t>M</w:t>
      </w:r>
      <w:r>
        <w:rPr>
          <w:rFonts w:eastAsia="Times New Roman" w:cs="Times New Roman"/>
          <w:color w:val="000000"/>
          <w:szCs w:val="24"/>
        </w:rPr>
        <w:t xml:space="preserve">ycorrhizal symbiosis and community dynamics.  </w:t>
      </w:r>
      <w:r>
        <w:rPr>
          <w:rFonts w:eastAsia="Times New Roman" w:cs="Times New Roman"/>
          <w:i/>
          <w:iCs/>
          <w:color w:val="000000"/>
          <w:szCs w:val="24"/>
        </w:rPr>
        <w:t>Annual Review of Ecology, Evolution, and Systematics, 47</w:t>
      </w:r>
      <w:r>
        <w:rPr>
          <w:rFonts w:eastAsia="Times New Roman" w:cs="Times New Roman"/>
          <w:color w:val="000000"/>
          <w:szCs w:val="24"/>
        </w:rPr>
        <w:t xml:space="preserve">, 143–64. </w:t>
      </w:r>
    </w:p>
    <w:p w14:paraId="00000099" w14:textId="4FCF3C03"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Pennisi, E. (2003). Evolutionary biology. On ant farm, a threesome coevolves, </w:t>
      </w:r>
      <w:r w:rsidR="00104191">
        <w:rPr>
          <w:rFonts w:eastAsia="Times New Roman" w:cs="Times New Roman"/>
          <w:i/>
          <w:iCs/>
          <w:color w:val="000000"/>
          <w:szCs w:val="24"/>
        </w:rPr>
        <w:t>Science, 299</w:t>
      </w:r>
      <w:r w:rsidR="001F7E40">
        <w:rPr>
          <w:rFonts w:eastAsia="Times New Roman" w:cs="Times New Roman"/>
          <w:color w:val="000000"/>
          <w:szCs w:val="24"/>
        </w:rPr>
        <w:t>(5605)</w:t>
      </w:r>
      <w:r>
        <w:rPr>
          <w:rFonts w:eastAsia="Times New Roman" w:cs="Times New Roman"/>
          <w:color w:val="000000"/>
          <w:szCs w:val="24"/>
        </w:rPr>
        <w:t xml:space="preserve">, 325. </w:t>
      </w:r>
    </w:p>
    <w:p w14:paraId="0000009A" w14:textId="5526F5F1"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Richardson, D.M., Allsopp, N., D'Antonio, C.M., Milton, S.J.</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w:t>
      </w:r>
      <w:proofErr w:type="spellStart"/>
      <w:r>
        <w:rPr>
          <w:rFonts w:eastAsia="Times New Roman" w:cs="Times New Roman"/>
          <w:color w:val="000000"/>
          <w:szCs w:val="24"/>
        </w:rPr>
        <w:t>Rejmánek</w:t>
      </w:r>
      <w:proofErr w:type="spellEnd"/>
      <w:r>
        <w:rPr>
          <w:rFonts w:eastAsia="Times New Roman" w:cs="Times New Roman"/>
          <w:color w:val="000000"/>
          <w:szCs w:val="24"/>
        </w:rPr>
        <w:t xml:space="preserve">, M. (2000). </w:t>
      </w:r>
      <w:r w:rsidR="00104191">
        <w:rPr>
          <w:rFonts w:eastAsia="Times New Roman" w:cs="Times New Roman"/>
          <w:color w:val="000000"/>
          <w:szCs w:val="24"/>
        </w:rPr>
        <w:t>Plant invasions</w:t>
      </w:r>
      <w:r w:rsidR="00293C80">
        <w:rPr>
          <w:rFonts w:eastAsia="Times New Roman" w:cs="Times New Roman"/>
          <w:color w:val="000000"/>
          <w:szCs w:val="24"/>
        </w:rPr>
        <w:t>:</w:t>
      </w:r>
      <w:r>
        <w:rPr>
          <w:rFonts w:eastAsia="Times New Roman" w:cs="Times New Roman"/>
          <w:color w:val="000000"/>
          <w:szCs w:val="24"/>
        </w:rPr>
        <w:t xml:space="preserve"> </w:t>
      </w:r>
      <w:r w:rsidR="00293C80">
        <w:rPr>
          <w:rFonts w:eastAsia="Times New Roman" w:cs="Times New Roman"/>
          <w:color w:val="000000"/>
          <w:szCs w:val="24"/>
        </w:rPr>
        <w:t>T</w:t>
      </w:r>
      <w:r>
        <w:rPr>
          <w:rFonts w:eastAsia="Times New Roman" w:cs="Times New Roman"/>
          <w:color w:val="000000"/>
          <w:szCs w:val="24"/>
        </w:rPr>
        <w:t xml:space="preserve">he role of mutualisms. </w:t>
      </w:r>
      <w:r>
        <w:rPr>
          <w:rFonts w:eastAsia="Times New Roman" w:cs="Times New Roman"/>
          <w:i/>
          <w:iCs/>
          <w:color w:val="000000"/>
          <w:szCs w:val="24"/>
        </w:rPr>
        <w:t>Biol</w:t>
      </w:r>
      <w:r w:rsidR="00293C80">
        <w:rPr>
          <w:rFonts w:eastAsia="Times New Roman" w:cs="Times New Roman"/>
          <w:i/>
          <w:iCs/>
          <w:color w:val="000000"/>
          <w:szCs w:val="24"/>
        </w:rPr>
        <w:t>ogical</w:t>
      </w:r>
      <w:r>
        <w:rPr>
          <w:rFonts w:eastAsia="Times New Roman" w:cs="Times New Roman"/>
          <w:i/>
          <w:iCs/>
          <w:color w:val="000000"/>
          <w:szCs w:val="24"/>
        </w:rPr>
        <w:t xml:space="preserve"> Rev</w:t>
      </w:r>
      <w:r w:rsidR="00293C80">
        <w:rPr>
          <w:rFonts w:eastAsia="Times New Roman" w:cs="Times New Roman"/>
          <w:i/>
          <w:iCs/>
          <w:color w:val="000000"/>
          <w:szCs w:val="24"/>
        </w:rPr>
        <w:t>iews,</w:t>
      </w:r>
      <w:r>
        <w:rPr>
          <w:rFonts w:eastAsia="Times New Roman" w:cs="Times New Roman"/>
          <w:color w:val="000000"/>
          <w:szCs w:val="24"/>
        </w:rPr>
        <w:t xml:space="preserve"> </w:t>
      </w:r>
      <w:r>
        <w:rPr>
          <w:rFonts w:eastAsia="Times New Roman" w:cs="Times New Roman"/>
          <w:i/>
          <w:iCs/>
          <w:color w:val="000000"/>
          <w:szCs w:val="24"/>
        </w:rPr>
        <w:t>75</w:t>
      </w:r>
      <w:r w:rsidR="001F7E40">
        <w:rPr>
          <w:rFonts w:eastAsia="Times New Roman" w:cs="Times New Roman"/>
          <w:color w:val="000000"/>
          <w:szCs w:val="24"/>
        </w:rPr>
        <w:t>(1)</w:t>
      </w:r>
      <w:r>
        <w:rPr>
          <w:rFonts w:eastAsia="Times New Roman" w:cs="Times New Roman"/>
          <w:color w:val="000000"/>
          <w:szCs w:val="24"/>
        </w:rPr>
        <w:t xml:space="preserve">, 65–93. </w:t>
      </w:r>
    </w:p>
    <w:p w14:paraId="0000009B" w14:textId="42A9D7FB"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Sørensen, M., Lowe, C.D., Minter, E., Wood, A.J., Cameron, D.D.</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w:t>
      </w:r>
      <w:proofErr w:type="spellStart"/>
      <w:r>
        <w:rPr>
          <w:rFonts w:eastAsia="Times New Roman" w:cs="Times New Roman"/>
          <w:color w:val="000000"/>
          <w:szCs w:val="24"/>
        </w:rPr>
        <w:t>Brockhurst</w:t>
      </w:r>
      <w:proofErr w:type="spellEnd"/>
      <w:r>
        <w:rPr>
          <w:rFonts w:eastAsia="Times New Roman" w:cs="Times New Roman"/>
          <w:color w:val="000000"/>
          <w:szCs w:val="24"/>
        </w:rPr>
        <w:t xml:space="preserve">, M.A.  (2019). The role of exploitation in the establishment of mutualistic microbial symbioses.  </w:t>
      </w:r>
      <w:r>
        <w:rPr>
          <w:rFonts w:eastAsia="Times New Roman" w:cs="Times New Roman"/>
          <w:i/>
          <w:iCs/>
          <w:color w:val="000000"/>
          <w:szCs w:val="24"/>
        </w:rPr>
        <w:t>FEMS Microbiology Letters</w:t>
      </w:r>
      <w:r>
        <w:rPr>
          <w:rFonts w:eastAsia="Times New Roman" w:cs="Times New Roman"/>
          <w:color w:val="000000"/>
          <w:szCs w:val="24"/>
        </w:rPr>
        <w:t xml:space="preserve">, </w:t>
      </w:r>
      <w:r>
        <w:rPr>
          <w:rFonts w:eastAsia="Times New Roman" w:cs="Times New Roman"/>
          <w:i/>
          <w:iCs/>
          <w:color w:val="000000"/>
          <w:szCs w:val="24"/>
        </w:rPr>
        <w:t>366</w:t>
      </w:r>
      <w:r w:rsidR="001F7E40">
        <w:rPr>
          <w:rFonts w:eastAsia="Times New Roman" w:cs="Times New Roman"/>
          <w:color w:val="000000"/>
          <w:szCs w:val="24"/>
        </w:rPr>
        <w:t>(12)</w:t>
      </w:r>
      <w:r>
        <w:rPr>
          <w:rFonts w:eastAsia="Times New Roman" w:cs="Times New Roman"/>
          <w:color w:val="000000"/>
          <w:szCs w:val="24"/>
        </w:rPr>
        <w:t xml:space="preserve">, fnz148. </w:t>
      </w:r>
    </w:p>
    <w:p w14:paraId="0000009D" w14:textId="475428A6" w:rsidR="00E420E3" w:rsidRPr="0065711F"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Tepe, E.J., Vincent, M.A.</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Watson, L.E. (2007). Stem diversity, cauline domatia, and </w:t>
      </w:r>
      <w:r w:rsidR="00104191">
        <w:rPr>
          <w:rFonts w:eastAsia="Times New Roman" w:cs="Times New Roman"/>
          <w:color w:val="000000"/>
          <w:szCs w:val="24"/>
        </w:rPr>
        <w:t xml:space="preserve">the </w:t>
      </w:r>
      <w:r w:rsidR="00104191">
        <w:rPr>
          <w:rFonts w:eastAsia="Times New Roman" w:cs="Times New Roman"/>
          <w:color w:val="000000"/>
          <w:szCs w:val="24"/>
        </w:rPr>
        <w:lastRenderedPageBreak/>
        <w:t>evolution</w:t>
      </w:r>
      <w:r>
        <w:rPr>
          <w:rFonts w:eastAsia="Times New Roman" w:cs="Times New Roman"/>
          <w:color w:val="000000"/>
          <w:szCs w:val="24"/>
        </w:rPr>
        <w:t xml:space="preserve"> of ant–plant associations in </w:t>
      </w:r>
      <w:r>
        <w:rPr>
          <w:rFonts w:eastAsia="Times New Roman" w:cs="Times New Roman"/>
          <w:i/>
          <w:iCs/>
          <w:color w:val="000000"/>
          <w:szCs w:val="24"/>
        </w:rPr>
        <w:t xml:space="preserve">Piper </w:t>
      </w:r>
      <w:r>
        <w:rPr>
          <w:rFonts w:eastAsia="Times New Roman" w:cs="Times New Roman"/>
          <w:color w:val="000000"/>
          <w:szCs w:val="24"/>
        </w:rPr>
        <w:t xml:space="preserve">sect. </w:t>
      </w:r>
      <w:proofErr w:type="spellStart"/>
      <w:r>
        <w:rPr>
          <w:rFonts w:eastAsia="Times New Roman" w:cs="Times New Roman"/>
          <w:i/>
          <w:iCs/>
          <w:color w:val="000000"/>
          <w:szCs w:val="24"/>
        </w:rPr>
        <w:t>Macrostachys</w:t>
      </w:r>
      <w:proofErr w:type="spellEnd"/>
      <w:r>
        <w:rPr>
          <w:rFonts w:eastAsia="Times New Roman" w:cs="Times New Roman"/>
          <w:i/>
          <w:iCs/>
          <w:color w:val="000000"/>
          <w:szCs w:val="24"/>
        </w:rPr>
        <w:t xml:space="preserve"> </w:t>
      </w:r>
      <w:r>
        <w:rPr>
          <w:rFonts w:eastAsia="Times New Roman" w:cs="Times New Roman"/>
          <w:color w:val="000000"/>
          <w:szCs w:val="24"/>
        </w:rPr>
        <w:t>(</w:t>
      </w:r>
      <w:proofErr w:type="spellStart"/>
      <w:r>
        <w:rPr>
          <w:rFonts w:eastAsia="Times New Roman" w:cs="Times New Roman"/>
          <w:color w:val="000000"/>
          <w:szCs w:val="24"/>
        </w:rPr>
        <w:t>Piperaceae</w:t>
      </w:r>
      <w:proofErr w:type="spellEnd"/>
      <w:r>
        <w:rPr>
          <w:rFonts w:eastAsia="Times New Roman" w:cs="Times New Roman"/>
          <w:color w:val="000000"/>
          <w:szCs w:val="24"/>
        </w:rPr>
        <w:t xml:space="preserve">). </w:t>
      </w:r>
      <w:r w:rsidR="00104191">
        <w:rPr>
          <w:rFonts w:eastAsia="Times New Roman" w:cs="Times New Roman"/>
          <w:i/>
          <w:iCs/>
          <w:color w:val="000000"/>
          <w:szCs w:val="24"/>
        </w:rPr>
        <w:t>American Journal</w:t>
      </w:r>
      <w:r>
        <w:rPr>
          <w:rFonts w:eastAsia="Times New Roman" w:cs="Times New Roman"/>
          <w:i/>
          <w:iCs/>
          <w:color w:val="000000"/>
          <w:szCs w:val="24"/>
        </w:rPr>
        <w:t xml:space="preserve"> of Botany, 94</w:t>
      </w:r>
      <w:r>
        <w:rPr>
          <w:rFonts w:eastAsia="Times New Roman" w:cs="Times New Roman"/>
          <w:b/>
          <w:bCs/>
          <w:color w:val="000000"/>
          <w:szCs w:val="24"/>
        </w:rPr>
        <w:t xml:space="preserve">, </w:t>
      </w:r>
      <w:r>
        <w:rPr>
          <w:rFonts w:eastAsia="Times New Roman" w:cs="Times New Roman"/>
          <w:color w:val="000000"/>
          <w:szCs w:val="24"/>
        </w:rPr>
        <w:t>1– 11.</w:t>
      </w:r>
    </w:p>
    <w:p w14:paraId="0000009E" w14:textId="0EDE3602"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Tong, Z.Y., Wu, L.Y., Feng, H.H., Zhang, M., Armbruster, W.S., Renner, S.S.</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w:t>
      </w:r>
      <w:r w:rsidR="00104191">
        <w:rPr>
          <w:rFonts w:eastAsia="Times New Roman" w:cs="Times New Roman"/>
          <w:color w:val="000000"/>
          <w:szCs w:val="24"/>
        </w:rPr>
        <w:t>Huang, S.Q.</w:t>
      </w:r>
      <w:r>
        <w:rPr>
          <w:rFonts w:eastAsia="Times New Roman" w:cs="Times New Roman"/>
          <w:color w:val="000000"/>
          <w:szCs w:val="24"/>
        </w:rPr>
        <w:t xml:space="preserve"> (2023). New calculations indicate that 90% of flowering plant species are animal pollinated. </w:t>
      </w:r>
      <w:r>
        <w:rPr>
          <w:rFonts w:eastAsia="Times New Roman" w:cs="Times New Roman"/>
          <w:i/>
          <w:iCs/>
          <w:color w:val="000000"/>
          <w:szCs w:val="24"/>
        </w:rPr>
        <w:t>National Science Review</w:t>
      </w:r>
      <w:r>
        <w:rPr>
          <w:rFonts w:eastAsia="Times New Roman" w:cs="Times New Roman"/>
          <w:color w:val="000000"/>
          <w:szCs w:val="24"/>
        </w:rPr>
        <w:t xml:space="preserve">, </w:t>
      </w:r>
      <w:r>
        <w:rPr>
          <w:rFonts w:eastAsia="Times New Roman" w:cs="Times New Roman"/>
          <w:i/>
          <w:iCs/>
          <w:color w:val="000000"/>
          <w:szCs w:val="24"/>
        </w:rPr>
        <w:t>10</w:t>
      </w:r>
      <w:r w:rsidR="001F7E40">
        <w:rPr>
          <w:rFonts w:eastAsia="Times New Roman" w:cs="Times New Roman"/>
          <w:color w:val="000000"/>
          <w:szCs w:val="24"/>
        </w:rPr>
        <w:t>(10)</w:t>
      </w:r>
      <w:r>
        <w:rPr>
          <w:rFonts w:eastAsia="Times New Roman" w:cs="Times New Roman"/>
          <w:color w:val="000000"/>
          <w:szCs w:val="24"/>
        </w:rPr>
        <w:t xml:space="preserve">, nwad219. </w:t>
      </w:r>
    </w:p>
    <w:p w14:paraId="0000009F" w14:textId="63F2B93B"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Treseder, K.K., Davidson, D.W.</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Ehleringer, J.R. (1995). Absorption of ant-</w:t>
      </w:r>
      <w:r w:rsidR="00104191">
        <w:rPr>
          <w:rFonts w:eastAsia="Times New Roman" w:cs="Times New Roman"/>
          <w:color w:val="000000"/>
          <w:szCs w:val="24"/>
        </w:rPr>
        <w:t>provided carbon</w:t>
      </w:r>
      <w:r>
        <w:rPr>
          <w:rFonts w:eastAsia="Times New Roman" w:cs="Times New Roman"/>
          <w:color w:val="000000"/>
          <w:szCs w:val="24"/>
        </w:rPr>
        <w:t xml:space="preserve"> dioxide and nitrogen by a tropical epiphyte. </w:t>
      </w:r>
      <w:r>
        <w:rPr>
          <w:rFonts w:eastAsia="Times New Roman" w:cs="Times New Roman"/>
          <w:i/>
          <w:iCs/>
          <w:color w:val="000000"/>
          <w:szCs w:val="24"/>
        </w:rPr>
        <w:t>Nature. 375</w:t>
      </w:r>
      <w:r w:rsidR="001F7E40">
        <w:rPr>
          <w:rFonts w:eastAsia="Times New Roman" w:cs="Times New Roman"/>
          <w:color w:val="000000"/>
          <w:szCs w:val="24"/>
        </w:rPr>
        <w:t>(</w:t>
      </w:r>
      <w:r w:rsidR="008A2CB0">
        <w:rPr>
          <w:rFonts w:eastAsia="Times New Roman" w:cs="Times New Roman"/>
          <w:color w:val="000000"/>
          <w:szCs w:val="24"/>
        </w:rPr>
        <w:t>6527)</w:t>
      </w:r>
      <w:r>
        <w:rPr>
          <w:rFonts w:eastAsia="Times New Roman" w:cs="Times New Roman"/>
          <w:b/>
          <w:bCs/>
          <w:color w:val="000000"/>
          <w:szCs w:val="24"/>
        </w:rPr>
        <w:t xml:space="preserve">, </w:t>
      </w:r>
      <w:r>
        <w:rPr>
          <w:rFonts w:eastAsia="Times New Roman" w:cs="Times New Roman"/>
          <w:color w:val="000000"/>
          <w:szCs w:val="24"/>
        </w:rPr>
        <w:t xml:space="preserve">137–139. </w:t>
      </w:r>
    </w:p>
    <w:p w14:paraId="000000A0" w14:textId="484CC07F"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proofErr w:type="spellStart"/>
      <w:r>
        <w:rPr>
          <w:rFonts w:eastAsia="Times New Roman" w:cs="Times New Roman"/>
          <w:color w:val="000000"/>
          <w:szCs w:val="24"/>
        </w:rPr>
        <w:t>Uthanumallian</w:t>
      </w:r>
      <w:proofErr w:type="spellEnd"/>
      <w:r>
        <w:rPr>
          <w:rFonts w:eastAsia="Times New Roman" w:cs="Times New Roman"/>
          <w:color w:val="000000"/>
          <w:szCs w:val="24"/>
        </w:rPr>
        <w:t>, K., Iha, C., Repetti, S.I., Chan, C.X., Bhattacharya, D., Duchene, S.</w:t>
      </w:r>
      <w:r w:rsidR="00A45624">
        <w:rPr>
          <w:rFonts w:eastAsia="Times New Roman" w:cs="Times New Roman"/>
          <w:color w:val="000000"/>
          <w:szCs w:val="24"/>
        </w:rPr>
        <w:t>,</w:t>
      </w:r>
      <w:r>
        <w:rPr>
          <w:rFonts w:eastAsia="Times New Roman" w:cs="Times New Roman"/>
          <w:color w:val="000000"/>
          <w:szCs w:val="24"/>
        </w:rPr>
        <w:t xml:space="preserve"> </w:t>
      </w:r>
      <w:r w:rsidR="00104191">
        <w:rPr>
          <w:rFonts w:eastAsia="Times New Roman" w:cs="Times New Roman"/>
          <w:color w:val="000000"/>
          <w:szCs w:val="24"/>
        </w:rPr>
        <w:t>and Verbruggen</w:t>
      </w:r>
      <w:r>
        <w:rPr>
          <w:rFonts w:eastAsia="Times New Roman" w:cs="Times New Roman"/>
          <w:color w:val="000000"/>
          <w:szCs w:val="24"/>
        </w:rPr>
        <w:t xml:space="preserve">, H. (2022). Tightly </w:t>
      </w:r>
      <w:r w:rsidR="00C01494">
        <w:rPr>
          <w:rFonts w:eastAsia="Times New Roman" w:cs="Times New Roman"/>
          <w:color w:val="000000"/>
          <w:szCs w:val="24"/>
        </w:rPr>
        <w:t>c</w:t>
      </w:r>
      <w:r>
        <w:rPr>
          <w:rFonts w:eastAsia="Times New Roman" w:cs="Times New Roman"/>
          <w:color w:val="000000"/>
          <w:szCs w:val="24"/>
        </w:rPr>
        <w:t xml:space="preserve">onstrained </w:t>
      </w:r>
      <w:r w:rsidR="00C01494">
        <w:rPr>
          <w:rFonts w:eastAsia="Times New Roman" w:cs="Times New Roman"/>
          <w:color w:val="000000"/>
          <w:szCs w:val="24"/>
        </w:rPr>
        <w:t>g</w:t>
      </w:r>
      <w:r>
        <w:rPr>
          <w:rFonts w:eastAsia="Times New Roman" w:cs="Times New Roman"/>
          <w:color w:val="000000"/>
          <w:szCs w:val="24"/>
        </w:rPr>
        <w:t xml:space="preserve">enome </w:t>
      </w:r>
      <w:r w:rsidR="00C01494">
        <w:rPr>
          <w:rFonts w:eastAsia="Times New Roman" w:cs="Times New Roman"/>
          <w:color w:val="000000"/>
          <w:szCs w:val="24"/>
        </w:rPr>
        <w:t>r</w:t>
      </w:r>
      <w:r>
        <w:rPr>
          <w:rFonts w:eastAsia="Times New Roman" w:cs="Times New Roman"/>
          <w:color w:val="000000"/>
          <w:szCs w:val="24"/>
        </w:rPr>
        <w:t xml:space="preserve">eduction and </w:t>
      </w:r>
      <w:r w:rsidR="00C01494">
        <w:rPr>
          <w:rFonts w:eastAsia="Times New Roman" w:cs="Times New Roman"/>
          <w:color w:val="000000"/>
          <w:szCs w:val="24"/>
        </w:rPr>
        <w:t>r</w:t>
      </w:r>
      <w:r>
        <w:rPr>
          <w:rFonts w:eastAsia="Times New Roman" w:cs="Times New Roman"/>
          <w:color w:val="000000"/>
          <w:szCs w:val="24"/>
        </w:rPr>
        <w:t xml:space="preserve">elaxation </w:t>
      </w:r>
      <w:r w:rsidR="00104191">
        <w:rPr>
          <w:rFonts w:eastAsia="Times New Roman" w:cs="Times New Roman"/>
          <w:color w:val="000000"/>
          <w:szCs w:val="24"/>
        </w:rPr>
        <w:t>of purifying</w:t>
      </w:r>
      <w:r>
        <w:rPr>
          <w:rFonts w:eastAsia="Times New Roman" w:cs="Times New Roman"/>
          <w:color w:val="000000"/>
          <w:szCs w:val="24"/>
        </w:rPr>
        <w:t xml:space="preserve"> </w:t>
      </w:r>
      <w:r w:rsidR="00C01494">
        <w:rPr>
          <w:rFonts w:eastAsia="Times New Roman" w:cs="Times New Roman"/>
          <w:color w:val="000000"/>
          <w:szCs w:val="24"/>
        </w:rPr>
        <w:t>s</w:t>
      </w:r>
      <w:r>
        <w:rPr>
          <w:rFonts w:eastAsia="Times New Roman" w:cs="Times New Roman"/>
          <w:color w:val="000000"/>
          <w:szCs w:val="24"/>
        </w:rPr>
        <w:t xml:space="preserve">election during </w:t>
      </w:r>
      <w:r w:rsidR="00C01494">
        <w:rPr>
          <w:rFonts w:eastAsia="Times New Roman" w:cs="Times New Roman"/>
          <w:color w:val="000000"/>
          <w:szCs w:val="24"/>
        </w:rPr>
        <w:t>s</w:t>
      </w:r>
      <w:r>
        <w:rPr>
          <w:rFonts w:eastAsia="Times New Roman" w:cs="Times New Roman"/>
          <w:color w:val="000000"/>
          <w:szCs w:val="24"/>
        </w:rPr>
        <w:t xml:space="preserve">econdary </w:t>
      </w:r>
      <w:r w:rsidR="00C01494">
        <w:rPr>
          <w:rFonts w:eastAsia="Times New Roman" w:cs="Times New Roman"/>
          <w:color w:val="000000"/>
          <w:szCs w:val="24"/>
        </w:rPr>
        <w:t>p</w:t>
      </w:r>
      <w:r>
        <w:rPr>
          <w:rFonts w:eastAsia="Times New Roman" w:cs="Times New Roman"/>
          <w:color w:val="000000"/>
          <w:szCs w:val="24"/>
        </w:rPr>
        <w:t xml:space="preserve">lastid </w:t>
      </w:r>
      <w:r w:rsidR="00C01494">
        <w:rPr>
          <w:rFonts w:eastAsia="Times New Roman" w:cs="Times New Roman"/>
          <w:color w:val="000000"/>
          <w:szCs w:val="24"/>
        </w:rPr>
        <w:t>e</w:t>
      </w:r>
      <w:r>
        <w:rPr>
          <w:rFonts w:eastAsia="Times New Roman" w:cs="Times New Roman"/>
          <w:color w:val="000000"/>
          <w:szCs w:val="24"/>
        </w:rPr>
        <w:t xml:space="preserve">ndosymbiosis. </w:t>
      </w:r>
      <w:r>
        <w:rPr>
          <w:rFonts w:eastAsia="Times New Roman" w:cs="Times New Roman"/>
          <w:i/>
          <w:iCs/>
          <w:color w:val="000000"/>
          <w:szCs w:val="24"/>
        </w:rPr>
        <w:t xml:space="preserve">Molecular </w:t>
      </w:r>
      <w:r w:rsidR="00104191">
        <w:rPr>
          <w:rFonts w:eastAsia="Times New Roman" w:cs="Times New Roman"/>
          <w:i/>
          <w:iCs/>
          <w:color w:val="000000"/>
          <w:szCs w:val="24"/>
        </w:rPr>
        <w:t>Biology Evolution</w:t>
      </w:r>
      <w:r>
        <w:rPr>
          <w:rFonts w:eastAsia="Times New Roman" w:cs="Times New Roman"/>
          <w:color w:val="000000"/>
          <w:szCs w:val="24"/>
        </w:rPr>
        <w:t xml:space="preserve">, </w:t>
      </w:r>
      <w:r>
        <w:rPr>
          <w:rFonts w:eastAsia="Times New Roman" w:cs="Times New Roman"/>
          <w:i/>
          <w:iCs/>
          <w:color w:val="000000"/>
          <w:szCs w:val="24"/>
        </w:rPr>
        <w:t>39</w:t>
      </w:r>
      <w:r w:rsidR="008A2CB0">
        <w:rPr>
          <w:rFonts w:eastAsia="Times New Roman" w:cs="Times New Roman"/>
          <w:color w:val="000000"/>
          <w:szCs w:val="24"/>
        </w:rPr>
        <w:t>(1)</w:t>
      </w:r>
      <w:r>
        <w:rPr>
          <w:rFonts w:eastAsia="Times New Roman" w:cs="Times New Roman"/>
          <w:color w:val="000000"/>
          <w:szCs w:val="24"/>
        </w:rPr>
        <w:t xml:space="preserve">, msab295. </w:t>
      </w:r>
    </w:p>
    <w:p w14:paraId="000000A1" w14:textId="66E06B8B"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Vannette, R. L.</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Fukami, T. (2018). Contrasting effects of yeasts and bacteria on floral nectar traits. </w:t>
      </w:r>
      <w:r>
        <w:rPr>
          <w:rFonts w:eastAsia="Times New Roman" w:cs="Times New Roman"/>
          <w:i/>
          <w:iCs/>
          <w:color w:val="000000"/>
          <w:szCs w:val="24"/>
        </w:rPr>
        <w:t>Annals of Botany Plants</w:t>
      </w:r>
      <w:r>
        <w:rPr>
          <w:rFonts w:eastAsia="Times New Roman" w:cs="Times New Roman"/>
          <w:color w:val="000000"/>
          <w:szCs w:val="24"/>
        </w:rPr>
        <w:t xml:space="preserve">, </w:t>
      </w:r>
      <w:r>
        <w:rPr>
          <w:rFonts w:eastAsia="Times New Roman" w:cs="Times New Roman"/>
          <w:i/>
          <w:iCs/>
          <w:color w:val="000000"/>
          <w:szCs w:val="24"/>
        </w:rPr>
        <w:t>121</w:t>
      </w:r>
      <w:r w:rsidR="008A2CB0">
        <w:rPr>
          <w:rFonts w:eastAsia="Times New Roman" w:cs="Times New Roman"/>
          <w:color w:val="000000"/>
          <w:szCs w:val="24"/>
        </w:rPr>
        <w:t>(7)</w:t>
      </w:r>
      <w:r>
        <w:rPr>
          <w:rFonts w:eastAsia="Times New Roman" w:cs="Times New Roman"/>
          <w:color w:val="000000"/>
          <w:szCs w:val="24"/>
        </w:rPr>
        <w:t xml:space="preserve">, 1343–1349. </w:t>
      </w:r>
    </w:p>
    <w:p w14:paraId="000000A2" w14:textId="2D471DFB"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War, A.R., Paulraj, M.G., Ahmad, T., </w:t>
      </w:r>
      <w:proofErr w:type="spellStart"/>
      <w:r>
        <w:rPr>
          <w:rFonts w:eastAsia="Times New Roman" w:cs="Times New Roman"/>
          <w:color w:val="000000"/>
          <w:szCs w:val="24"/>
        </w:rPr>
        <w:t>Buhroo</w:t>
      </w:r>
      <w:proofErr w:type="spellEnd"/>
      <w:r>
        <w:rPr>
          <w:rFonts w:eastAsia="Times New Roman" w:cs="Times New Roman"/>
          <w:color w:val="000000"/>
          <w:szCs w:val="24"/>
        </w:rPr>
        <w:t xml:space="preserve">, A.A., Hussain, B., </w:t>
      </w:r>
      <w:proofErr w:type="spellStart"/>
      <w:r>
        <w:rPr>
          <w:rFonts w:eastAsia="Times New Roman" w:cs="Times New Roman"/>
          <w:color w:val="000000"/>
          <w:szCs w:val="24"/>
        </w:rPr>
        <w:t>Ignacimuthu</w:t>
      </w:r>
      <w:proofErr w:type="spellEnd"/>
      <w:r>
        <w:rPr>
          <w:rFonts w:eastAsia="Times New Roman" w:cs="Times New Roman"/>
          <w:color w:val="000000"/>
          <w:szCs w:val="24"/>
        </w:rPr>
        <w:t>, S.</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w:t>
      </w:r>
      <w:r w:rsidR="00104191">
        <w:rPr>
          <w:rFonts w:eastAsia="Times New Roman" w:cs="Times New Roman"/>
          <w:color w:val="000000"/>
          <w:szCs w:val="24"/>
        </w:rPr>
        <w:t>Sharma, H.C.</w:t>
      </w:r>
      <w:r>
        <w:rPr>
          <w:rFonts w:eastAsia="Times New Roman" w:cs="Times New Roman"/>
          <w:color w:val="000000"/>
          <w:szCs w:val="24"/>
        </w:rPr>
        <w:t xml:space="preserve"> (2012). Mechanisms of plant </w:t>
      </w:r>
      <w:proofErr w:type="spellStart"/>
      <w:r>
        <w:rPr>
          <w:rFonts w:eastAsia="Times New Roman" w:cs="Times New Roman"/>
          <w:color w:val="000000"/>
          <w:szCs w:val="24"/>
        </w:rPr>
        <w:t>defense</w:t>
      </w:r>
      <w:proofErr w:type="spellEnd"/>
      <w:r>
        <w:rPr>
          <w:rFonts w:eastAsia="Times New Roman" w:cs="Times New Roman"/>
          <w:color w:val="000000"/>
          <w:szCs w:val="24"/>
        </w:rPr>
        <w:t xml:space="preserve"> against insect herbivores. </w:t>
      </w:r>
      <w:r>
        <w:rPr>
          <w:rFonts w:eastAsia="Times New Roman" w:cs="Times New Roman"/>
          <w:i/>
          <w:iCs/>
          <w:color w:val="000000"/>
          <w:szCs w:val="24"/>
        </w:rPr>
        <w:t xml:space="preserve">Plant </w:t>
      </w:r>
      <w:proofErr w:type="spellStart"/>
      <w:r>
        <w:rPr>
          <w:rFonts w:eastAsia="Times New Roman" w:cs="Times New Roman"/>
          <w:i/>
          <w:iCs/>
          <w:color w:val="000000"/>
          <w:szCs w:val="24"/>
        </w:rPr>
        <w:t>Signaling</w:t>
      </w:r>
      <w:proofErr w:type="spellEnd"/>
      <w:r>
        <w:rPr>
          <w:rFonts w:eastAsia="Times New Roman" w:cs="Times New Roman"/>
          <w:i/>
          <w:iCs/>
          <w:color w:val="000000"/>
          <w:szCs w:val="24"/>
        </w:rPr>
        <w:t xml:space="preserve"> </w:t>
      </w:r>
      <w:r w:rsidR="00104191">
        <w:rPr>
          <w:rFonts w:eastAsia="Times New Roman" w:cs="Times New Roman"/>
          <w:i/>
          <w:iCs/>
          <w:color w:val="000000"/>
          <w:szCs w:val="24"/>
        </w:rPr>
        <w:t xml:space="preserve">and </w:t>
      </w:r>
      <w:proofErr w:type="spellStart"/>
      <w:r w:rsidR="00104191">
        <w:rPr>
          <w:rFonts w:eastAsia="Times New Roman" w:cs="Times New Roman"/>
          <w:i/>
          <w:iCs/>
          <w:color w:val="000000"/>
          <w:szCs w:val="24"/>
        </w:rPr>
        <w:t>Behavior</w:t>
      </w:r>
      <w:proofErr w:type="spellEnd"/>
      <w:r>
        <w:rPr>
          <w:rFonts w:eastAsia="Times New Roman" w:cs="Times New Roman"/>
          <w:color w:val="000000"/>
          <w:szCs w:val="24"/>
        </w:rPr>
        <w:t xml:space="preserve">, </w:t>
      </w:r>
      <w:r>
        <w:rPr>
          <w:rFonts w:eastAsia="Times New Roman" w:cs="Times New Roman"/>
          <w:i/>
          <w:iCs/>
          <w:color w:val="000000"/>
          <w:szCs w:val="24"/>
        </w:rPr>
        <w:t>7</w:t>
      </w:r>
      <w:r w:rsidR="008A2CB0">
        <w:rPr>
          <w:rFonts w:eastAsia="Times New Roman" w:cs="Times New Roman"/>
          <w:color w:val="000000"/>
          <w:szCs w:val="24"/>
        </w:rPr>
        <w:t>(10)</w:t>
      </w:r>
      <w:r>
        <w:rPr>
          <w:rFonts w:eastAsia="Times New Roman" w:cs="Times New Roman"/>
          <w:color w:val="000000"/>
          <w:szCs w:val="24"/>
        </w:rPr>
        <w:t xml:space="preserve">, 1306–1320. </w:t>
      </w:r>
    </w:p>
    <w:p w14:paraId="000000A3" w14:textId="33E8A557"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Weber, M.G.</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Keeler, K.H. (2013). The phylogenetic distribution of extrafloral nectaries in plants. </w:t>
      </w:r>
      <w:r>
        <w:rPr>
          <w:rFonts w:eastAsia="Times New Roman" w:cs="Times New Roman"/>
          <w:i/>
          <w:iCs/>
          <w:color w:val="000000"/>
          <w:szCs w:val="24"/>
        </w:rPr>
        <w:t>Annals of Botany Plants</w:t>
      </w:r>
      <w:r>
        <w:rPr>
          <w:rFonts w:eastAsia="Times New Roman" w:cs="Times New Roman"/>
          <w:color w:val="000000"/>
          <w:szCs w:val="24"/>
        </w:rPr>
        <w:t xml:space="preserve">, </w:t>
      </w:r>
      <w:r>
        <w:rPr>
          <w:rFonts w:eastAsia="Times New Roman" w:cs="Times New Roman"/>
          <w:i/>
          <w:iCs/>
          <w:color w:val="000000"/>
          <w:szCs w:val="24"/>
        </w:rPr>
        <w:t>111</w:t>
      </w:r>
      <w:r w:rsidR="008A2CB0">
        <w:rPr>
          <w:rFonts w:eastAsia="Times New Roman" w:cs="Times New Roman"/>
          <w:color w:val="000000"/>
          <w:szCs w:val="24"/>
        </w:rPr>
        <w:t>(6)</w:t>
      </w:r>
      <w:r>
        <w:rPr>
          <w:rFonts w:eastAsia="Times New Roman" w:cs="Times New Roman"/>
          <w:color w:val="000000"/>
          <w:szCs w:val="24"/>
        </w:rPr>
        <w:t xml:space="preserve">, 1251–1261. </w:t>
      </w:r>
    </w:p>
    <w:p w14:paraId="000000A4" w14:textId="5C46D0F8"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Wernegreen, J.J. (2012). Endosymbiosis. </w:t>
      </w:r>
      <w:r>
        <w:rPr>
          <w:rFonts w:eastAsia="Times New Roman" w:cs="Times New Roman"/>
          <w:i/>
          <w:iCs/>
          <w:color w:val="000000"/>
          <w:szCs w:val="24"/>
        </w:rPr>
        <w:t>Current. Biology, 22</w:t>
      </w:r>
      <w:r w:rsidR="008A2CB0">
        <w:rPr>
          <w:rFonts w:eastAsia="Times New Roman" w:cs="Times New Roman"/>
          <w:color w:val="000000"/>
          <w:szCs w:val="24"/>
        </w:rPr>
        <w:t>(14)</w:t>
      </w:r>
      <w:r>
        <w:rPr>
          <w:rFonts w:eastAsia="Times New Roman" w:cs="Times New Roman"/>
          <w:color w:val="000000"/>
          <w:szCs w:val="24"/>
        </w:rPr>
        <w:t xml:space="preserve">, R555–R561. </w:t>
      </w:r>
    </w:p>
    <w:p w14:paraId="000000A5" w14:textId="2A76D5EA"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 xml:space="preserve">Wright, G.A., Baker, D.D., Palmer, M.J., Stabler, D., Mustard, J.A., Power, E.F., </w:t>
      </w:r>
      <w:r w:rsidR="00104191">
        <w:rPr>
          <w:rFonts w:eastAsia="Times New Roman" w:cs="Times New Roman"/>
          <w:color w:val="000000"/>
          <w:szCs w:val="24"/>
        </w:rPr>
        <w:t>Borland, A.M.</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Stevenson, P.C. (2013). Caffeine in floral nectar enhances a pollinator’s memory of reward. </w:t>
      </w:r>
      <w:r>
        <w:rPr>
          <w:rFonts w:eastAsia="Times New Roman" w:cs="Times New Roman"/>
          <w:i/>
          <w:iCs/>
          <w:color w:val="000000"/>
          <w:szCs w:val="24"/>
        </w:rPr>
        <w:t>Science, 339</w:t>
      </w:r>
      <w:r>
        <w:rPr>
          <w:rFonts w:eastAsia="Times New Roman" w:cs="Times New Roman"/>
          <w:color w:val="000000"/>
          <w:szCs w:val="24"/>
        </w:rPr>
        <w:t xml:space="preserve">, 1202–4. </w:t>
      </w:r>
    </w:p>
    <w:p w14:paraId="000000A6" w14:textId="55CE37E8" w:rsidR="00E420E3" w:rsidRDefault="008E5528" w:rsidP="005442BE">
      <w:pPr>
        <w:widowControl w:val="0"/>
        <w:pBdr>
          <w:top w:val="nil"/>
          <w:left w:val="nil"/>
          <w:bottom w:val="nil"/>
          <w:right w:val="nil"/>
          <w:between w:val="nil"/>
        </w:pBdr>
        <w:ind w:left="567" w:hanging="567"/>
        <w:rPr>
          <w:rFonts w:eastAsia="Times New Roman" w:cs="Times New Roman"/>
          <w:color w:val="000000"/>
          <w:szCs w:val="24"/>
        </w:rPr>
      </w:pPr>
      <w:r>
        <w:rPr>
          <w:rFonts w:eastAsia="Times New Roman" w:cs="Times New Roman"/>
          <w:color w:val="000000"/>
          <w:szCs w:val="24"/>
        </w:rPr>
        <w:t>Wyatt, G.A., Kiers, E.T., Gardner, A.</w:t>
      </w:r>
      <w:r w:rsidR="00A45624">
        <w:rPr>
          <w:rFonts w:eastAsia="Times New Roman" w:cs="Times New Roman"/>
          <w:color w:val="000000"/>
          <w:szCs w:val="24"/>
        </w:rPr>
        <w:t>,</w:t>
      </w:r>
      <w:r>
        <w:rPr>
          <w:rFonts w:eastAsia="Times New Roman" w:cs="Times New Roman"/>
          <w:color w:val="000000"/>
          <w:szCs w:val="24"/>
        </w:rPr>
        <w:t xml:space="preserve"> </w:t>
      </w:r>
      <w:r w:rsidR="00304E12">
        <w:rPr>
          <w:rFonts w:eastAsia="Times New Roman" w:cs="Times New Roman"/>
          <w:color w:val="000000"/>
          <w:szCs w:val="24"/>
        </w:rPr>
        <w:t>and</w:t>
      </w:r>
      <w:r>
        <w:rPr>
          <w:rFonts w:eastAsia="Times New Roman" w:cs="Times New Roman"/>
          <w:color w:val="000000"/>
          <w:szCs w:val="24"/>
        </w:rPr>
        <w:t xml:space="preserve"> West, S.A. (2016). Restricting mutualistic partners to enforce trade reliance. </w:t>
      </w:r>
      <w:r>
        <w:rPr>
          <w:rFonts w:eastAsia="Times New Roman" w:cs="Times New Roman"/>
          <w:i/>
          <w:iCs/>
          <w:color w:val="000000"/>
          <w:szCs w:val="24"/>
        </w:rPr>
        <w:t>Nature Communications, 7</w:t>
      </w:r>
      <w:r>
        <w:rPr>
          <w:rFonts w:eastAsia="Times New Roman" w:cs="Times New Roman"/>
          <w:color w:val="000000"/>
          <w:szCs w:val="24"/>
        </w:rPr>
        <w:t>, 10322.</w:t>
      </w:r>
    </w:p>
    <w:p w14:paraId="000000A7" w14:textId="7C95A74A" w:rsidR="00E420E3" w:rsidRDefault="008E5528" w:rsidP="00F658C6">
      <w:pPr>
        <w:pStyle w:val="Heading1"/>
      </w:pPr>
      <w:r>
        <w:lastRenderedPageBreak/>
        <w:t xml:space="preserve"> </w:t>
      </w:r>
    </w:p>
    <w:p w14:paraId="000000A8" w14:textId="763DE3CB" w:rsidR="00E420E3" w:rsidRDefault="008E5528" w:rsidP="009B4375">
      <w:pPr>
        <w:pStyle w:val="Heading1"/>
        <w:jc w:val="center"/>
        <w:rPr>
          <w:rFonts w:eastAsia="Times New Roman" w:cs="Times New Roman"/>
          <w:color w:val="212121"/>
          <w:szCs w:val="42"/>
        </w:rPr>
      </w:pPr>
      <w:bookmarkStart w:id="12" w:name="_Toc235392960"/>
      <w:r>
        <w:rPr>
          <w:rFonts w:eastAsia="Times New Roman" w:cs="Times New Roman"/>
          <w:color w:val="212121"/>
          <w:szCs w:val="42"/>
        </w:rPr>
        <w:t xml:space="preserve">Chapter 2. Building the whole genome </w:t>
      </w:r>
      <w:r w:rsidR="002D53D4">
        <w:rPr>
          <w:rFonts w:eastAsia="Times New Roman" w:cs="Times New Roman"/>
          <w:color w:val="212121"/>
          <w:szCs w:val="42"/>
        </w:rPr>
        <w:t>framework for</w:t>
      </w:r>
      <w:r>
        <w:rPr>
          <w:rFonts w:eastAsia="Times New Roman" w:cs="Times New Roman"/>
          <w:color w:val="212121"/>
          <w:szCs w:val="42"/>
        </w:rPr>
        <w:t xml:space="preserve"> the study of experimental ant-plant symbioses</w:t>
      </w:r>
      <w:bookmarkEnd w:id="12"/>
    </w:p>
    <w:p w14:paraId="000000A9" w14:textId="3FCEC4B3" w:rsidR="00E420E3" w:rsidRDefault="00E420E3" w:rsidP="008723E9">
      <w:pPr>
        <w:widowControl w:val="0"/>
        <w:pBdr>
          <w:top w:val="nil"/>
          <w:left w:val="nil"/>
          <w:bottom w:val="nil"/>
          <w:right w:val="nil"/>
          <w:between w:val="nil"/>
        </w:pBdr>
        <w:spacing w:before="12062" w:line="240" w:lineRule="auto"/>
        <w:jc w:val="left"/>
        <w:rPr>
          <w:color w:val="000000"/>
        </w:rPr>
      </w:pPr>
    </w:p>
    <w:p w14:paraId="000000AA" w14:textId="4D8932BC" w:rsidR="00E420E3" w:rsidRDefault="008E5528" w:rsidP="0025008E">
      <w:pPr>
        <w:widowControl w:val="0"/>
        <w:pBdr>
          <w:top w:val="nil"/>
          <w:left w:val="nil"/>
          <w:bottom w:val="nil"/>
          <w:right w:val="nil"/>
          <w:between w:val="nil"/>
        </w:pBdr>
        <w:contextualSpacing/>
        <w:jc w:val="center"/>
        <w:rPr>
          <w:rFonts w:eastAsia="Times New Roman" w:cs="Times New Roman"/>
          <w:b/>
          <w:bCs/>
          <w:color w:val="212121"/>
          <w:sz w:val="36"/>
          <w:szCs w:val="36"/>
        </w:rPr>
      </w:pPr>
      <w:r>
        <w:rPr>
          <w:rFonts w:eastAsia="Times New Roman" w:cs="Times New Roman"/>
          <w:b/>
          <w:bCs/>
          <w:color w:val="212121"/>
          <w:sz w:val="36"/>
          <w:szCs w:val="36"/>
        </w:rPr>
        <w:t xml:space="preserve">Chapter 2. Building the whole genome framework for </w:t>
      </w:r>
      <w:r w:rsidR="002D53D4">
        <w:rPr>
          <w:rFonts w:eastAsia="Times New Roman" w:cs="Times New Roman"/>
          <w:b/>
          <w:bCs/>
          <w:color w:val="212121"/>
          <w:sz w:val="36"/>
          <w:szCs w:val="36"/>
        </w:rPr>
        <w:t>the study</w:t>
      </w:r>
      <w:r>
        <w:rPr>
          <w:rFonts w:eastAsia="Times New Roman" w:cs="Times New Roman"/>
          <w:b/>
          <w:bCs/>
          <w:color w:val="212121"/>
          <w:sz w:val="36"/>
          <w:szCs w:val="36"/>
        </w:rPr>
        <w:t xml:space="preserve"> of experimental ant-plant symbioses </w:t>
      </w:r>
    </w:p>
    <w:p w14:paraId="077DD99B" w14:textId="77777777" w:rsidR="00214D9B" w:rsidRDefault="00214D9B" w:rsidP="00214D9B">
      <w:pPr>
        <w:widowControl w:val="0"/>
        <w:pBdr>
          <w:top w:val="nil"/>
          <w:left w:val="nil"/>
          <w:bottom w:val="nil"/>
          <w:right w:val="nil"/>
          <w:between w:val="nil"/>
        </w:pBdr>
        <w:rPr>
          <w:rFonts w:eastAsia="Times New Roman" w:cs="Times New Roman"/>
          <w:color w:val="212121"/>
          <w:szCs w:val="24"/>
        </w:rPr>
      </w:pPr>
    </w:p>
    <w:p w14:paraId="7EBAE711" w14:textId="77777777" w:rsidR="00214D9B" w:rsidRDefault="00214D9B" w:rsidP="00214D9B">
      <w:pPr>
        <w:widowControl w:val="0"/>
        <w:pBdr>
          <w:top w:val="nil"/>
          <w:left w:val="nil"/>
          <w:bottom w:val="nil"/>
          <w:right w:val="nil"/>
          <w:between w:val="nil"/>
        </w:pBdr>
        <w:rPr>
          <w:rFonts w:eastAsia="Times New Roman" w:cs="Times New Roman"/>
          <w:color w:val="212121"/>
          <w:szCs w:val="24"/>
        </w:rPr>
      </w:pPr>
    </w:p>
    <w:p w14:paraId="000000AB" w14:textId="0211C4E3" w:rsidR="00E420E3" w:rsidRDefault="008E5528" w:rsidP="00214D9B">
      <w:pPr>
        <w:widowControl w:val="0"/>
        <w:pBdr>
          <w:top w:val="nil"/>
          <w:left w:val="nil"/>
          <w:bottom w:val="nil"/>
          <w:right w:val="nil"/>
          <w:between w:val="nil"/>
        </w:pBdr>
        <w:rPr>
          <w:rFonts w:eastAsia="Times New Roman" w:cs="Times New Roman"/>
          <w:color w:val="212121"/>
          <w:sz w:val="16"/>
          <w:szCs w:val="16"/>
        </w:rPr>
      </w:pPr>
      <w:r>
        <w:rPr>
          <w:rFonts w:eastAsia="Times New Roman" w:cs="Times New Roman"/>
          <w:color w:val="212121"/>
          <w:szCs w:val="24"/>
        </w:rPr>
        <w:t>George Hirons-Alecrim, Luke T. Dunning</w:t>
      </w:r>
      <w:r>
        <w:rPr>
          <w:rFonts w:eastAsia="Times New Roman" w:cs="Times New Roman"/>
          <w:color w:val="212121"/>
          <w:sz w:val="26"/>
          <w:szCs w:val="26"/>
          <w:vertAlign w:val="superscript"/>
        </w:rPr>
        <w:t>1</w:t>
      </w:r>
      <w:r>
        <w:rPr>
          <w:rFonts w:eastAsia="Times New Roman" w:cs="Times New Roman"/>
          <w:color w:val="212121"/>
          <w:szCs w:val="24"/>
        </w:rPr>
        <w:t>, and Guillaume Chomicki</w:t>
      </w:r>
      <w:r>
        <w:rPr>
          <w:rFonts w:eastAsia="Times New Roman" w:cs="Times New Roman"/>
          <w:color w:val="212121"/>
          <w:sz w:val="26"/>
          <w:szCs w:val="26"/>
          <w:vertAlign w:val="superscript"/>
        </w:rPr>
        <w:t>2</w:t>
      </w:r>
      <w:r>
        <w:rPr>
          <w:rFonts w:eastAsia="Times New Roman" w:cs="Times New Roman"/>
          <w:color w:val="212121"/>
          <w:sz w:val="16"/>
          <w:szCs w:val="16"/>
        </w:rPr>
        <w:t xml:space="preserve"> </w:t>
      </w:r>
    </w:p>
    <w:p w14:paraId="14B6EE36" w14:textId="77777777" w:rsidR="00214D9B" w:rsidRDefault="00214D9B" w:rsidP="00214D9B">
      <w:pPr>
        <w:widowControl w:val="0"/>
        <w:pBdr>
          <w:top w:val="nil"/>
          <w:left w:val="nil"/>
          <w:bottom w:val="nil"/>
          <w:right w:val="nil"/>
          <w:between w:val="nil"/>
        </w:pBdr>
        <w:rPr>
          <w:rFonts w:eastAsia="Times New Roman" w:cs="Times New Roman"/>
          <w:b/>
          <w:bCs/>
          <w:color w:val="212121"/>
          <w:szCs w:val="24"/>
        </w:rPr>
      </w:pPr>
    </w:p>
    <w:p w14:paraId="000000AC" w14:textId="633F76A1" w:rsidR="00E420E3" w:rsidRDefault="008E5528" w:rsidP="00214D9B">
      <w:pPr>
        <w:widowControl w:val="0"/>
        <w:pBdr>
          <w:top w:val="nil"/>
          <w:left w:val="nil"/>
          <w:bottom w:val="nil"/>
          <w:right w:val="nil"/>
          <w:between w:val="nil"/>
        </w:pBdr>
        <w:rPr>
          <w:rFonts w:eastAsia="Times New Roman" w:cs="Times New Roman"/>
          <w:b/>
          <w:bCs/>
          <w:color w:val="212121"/>
          <w:szCs w:val="24"/>
        </w:rPr>
      </w:pPr>
      <w:r>
        <w:rPr>
          <w:rFonts w:eastAsia="Times New Roman" w:cs="Times New Roman"/>
          <w:b/>
          <w:bCs/>
          <w:color w:val="212121"/>
          <w:szCs w:val="24"/>
        </w:rPr>
        <w:t xml:space="preserve">Author Affiliations: </w:t>
      </w:r>
    </w:p>
    <w:p w14:paraId="000000AD" w14:textId="08995F3A" w:rsidR="00E420E3" w:rsidRDefault="008E5528" w:rsidP="00214D9B">
      <w:pPr>
        <w:widowControl w:val="0"/>
        <w:pBdr>
          <w:top w:val="nil"/>
          <w:left w:val="nil"/>
          <w:bottom w:val="nil"/>
          <w:right w:val="nil"/>
          <w:between w:val="nil"/>
        </w:pBdr>
        <w:ind w:firstLine="15"/>
        <w:rPr>
          <w:rFonts w:eastAsia="Times New Roman" w:cs="Times New Roman"/>
          <w:color w:val="212121"/>
          <w:szCs w:val="24"/>
        </w:rPr>
      </w:pPr>
      <w:r>
        <w:rPr>
          <w:rFonts w:eastAsia="Times New Roman" w:cs="Times New Roman"/>
          <w:color w:val="212121"/>
          <w:sz w:val="26"/>
          <w:szCs w:val="26"/>
          <w:vertAlign w:val="superscript"/>
        </w:rPr>
        <w:t>1</w:t>
      </w:r>
      <w:r>
        <w:rPr>
          <w:rFonts w:eastAsia="Times New Roman" w:cs="Times New Roman"/>
          <w:color w:val="212121"/>
          <w:szCs w:val="24"/>
        </w:rPr>
        <w:t xml:space="preserve">Ecology and Evolutionary Biology, School of Biosciences, University of </w:t>
      </w:r>
      <w:r w:rsidR="002D53D4">
        <w:rPr>
          <w:rFonts w:eastAsia="Times New Roman" w:cs="Times New Roman"/>
          <w:color w:val="212121"/>
          <w:szCs w:val="24"/>
        </w:rPr>
        <w:t>Sheffield, Western</w:t>
      </w:r>
      <w:r>
        <w:rPr>
          <w:rFonts w:eastAsia="Times New Roman" w:cs="Times New Roman"/>
          <w:color w:val="212121"/>
          <w:szCs w:val="24"/>
        </w:rPr>
        <w:t xml:space="preserve"> Bank, Sheffield, S10 2TN</w:t>
      </w:r>
      <w:r w:rsidR="001B77BE">
        <w:rPr>
          <w:rFonts w:eastAsia="Times New Roman" w:cs="Times New Roman"/>
          <w:color w:val="212121"/>
          <w:szCs w:val="24"/>
        </w:rPr>
        <w:t>, UK.</w:t>
      </w:r>
      <w:r>
        <w:rPr>
          <w:rFonts w:eastAsia="Times New Roman" w:cs="Times New Roman"/>
          <w:color w:val="212121"/>
          <w:szCs w:val="24"/>
        </w:rPr>
        <w:t xml:space="preserve"> </w:t>
      </w:r>
    </w:p>
    <w:p w14:paraId="000000AE" w14:textId="77777777" w:rsidR="00E420E3" w:rsidRDefault="008E5528" w:rsidP="00214D9B">
      <w:pPr>
        <w:widowControl w:val="0"/>
        <w:pBdr>
          <w:top w:val="nil"/>
          <w:left w:val="nil"/>
          <w:bottom w:val="nil"/>
          <w:right w:val="nil"/>
          <w:between w:val="nil"/>
        </w:pBdr>
        <w:rPr>
          <w:rFonts w:eastAsia="Times New Roman" w:cs="Times New Roman"/>
          <w:color w:val="212121"/>
          <w:szCs w:val="24"/>
        </w:rPr>
      </w:pPr>
      <w:r>
        <w:rPr>
          <w:rFonts w:eastAsia="Times New Roman" w:cs="Times New Roman"/>
          <w:color w:val="212121"/>
          <w:sz w:val="26"/>
          <w:szCs w:val="26"/>
          <w:vertAlign w:val="superscript"/>
        </w:rPr>
        <w:t>2</w:t>
      </w:r>
      <w:r>
        <w:rPr>
          <w:rFonts w:eastAsia="Times New Roman" w:cs="Times New Roman"/>
          <w:color w:val="212121"/>
          <w:szCs w:val="24"/>
        </w:rPr>
        <w:t xml:space="preserve">Department of Biosciences, Durham University, South Rd, Durham, DH1 3LE, UK. </w:t>
      </w:r>
    </w:p>
    <w:p w14:paraId="6A1732E6" w14:textId="77777777" w:rsidR="00214D9B" w:rsidRDefault="00214D9B" w:rsidP="00214D9B">
      <w:pPr>
        <w:widowControl w:val="0"/>
        <w:pBdr>
          <w:top w:val="nil"/>
          <w:left w:val="nil"/>
          <w:bottom w:val="nil"/>
          <w:right w:val="nil"/>
          <w:between w:val="nil"/>
        </w:pBdr>
        <w:ind w:firstLine="4"/>
        <w:rPr>
          <w:rFonts w:eastAsia="Times New Roman" w:cs="Times New Roman"/>
          <w:b/>
          <w:bCs/>
          <w:color w:val="212121"/>
          <w:szCs w:val="24"/>
        </w:rPr>
      </w:pPr>
    </w:p>
    <w:p w14:paraId="000000B0" w14:textId="42437383" w:rsidR="00E420E3" w:rsidRDefault="008E5528" w:rsidP="0025008E">
      <w:pPr>
        <w:widowControl w:val="0"/>
        <w:pBdr>
          <w:top w:val="nil"/>
          <w:left w:val="nil"/>
          <w:bottom w:val="nil"/>
          <w:right w:val="nil"/>
          <w:between w:val="nil"/>
        </w:pBdr>
        <w:ind w:firstLine="4"/>
        <w:rPr>
          <w:rFonts w:eastAsia="Times New Roman" w:cs="Times New Roman"/>
          <w:color w:val="212121"/>
          <w:szCs w:val="24"/>
        </w:rPr>
      </w:pPr>
      <w:r>
        <w:rPr>
          <w:rFonts w:eastAsia="Times New Roman" w:cs="Times New Roman"/>
          <w:b/>
          <w:bCs/>
          <w:color w:val="212121"/>
          <w:szCs w:val="24"/>
        </w:rPr>
        <w:t xml:space="preserve">Personal contribution: </w:t>
      </w:r>
      <w:r>
        <w:rPr>
          <w:rFonts w:eastAsia="Times New Roman" w:cs="Times New Roman"/>
          <w:color w:val="212121"/>
          <w:szCs w:val="24"/>
        </w:rPr>
        <w:t xml:space="preserve">I designed and conducted all experiments, performed data </w:t>
      </w:r>
      <w:r w:rsidR="002D53D4">
        <w:rPr>
          <w:rFonts w:eastAsia="Times New Roman" w:cs="Times New Roman"/>
          <w:color w:val="212121"/>
          <w:szCs w:val="24"/>
        </w:rPr>
        <w:t>analysis, and</w:t>
      </w:r>
      <w:r>
        <w:rPr>
          <w:rFonts w:eastAsia="Times New Roman" w:cs="Times New Roman"/>
          <w:color w:val="212121"/>
          <w:szCs w:val="24"/>
        </w:rPr>
        <w:t xml:space="preserve"> wrote each chapter draft under the supervision of Guillaume Chomicki and Luke </w:t>
      </w:r>
      <w:r w:rsidR="002D53D4">
        <w:rPr>
          <w:rFonts w:eastAsia="Times New Roman" w:cs="Times New Roman"/>
          <w:color w:val="212121"/>
          <w:szCs w:val="24"/>
        </w:rPr>
        <w:t>Dunning who</w:t>
      </w:r>
      <w:r>
        <w:rPr>
          <w:rFonts w:eastAsia="Times New Roman" w:cs="Times New Roman"/>
          <w:color w:val="212121"/>
          <w:szCs w:val="24"/>
        </w:rPr>
        <w:t xml:space="preserve"> provided conceptual guidance, and manuscript revisions. </w:t>
      </w:r>
    </w:p>
    <w:p w14:paraId="67952351" w14:textId="77777777" w:rsidR="0025008E" w:rsidRDefault="0025008E" w:rsidP="0025008E">
      <w:pPr>
        <w:widowControl w:val="0"/>
        <w:pBdr>
          <w:top w:val="nil"/>
          <w:left w:val="nil"/>
          <w:bottom w:val="nil"/>
          <w:right w:val="nil"/>
          <w:between w:val="nil"/>
        </w:pBdr>
        <w:ind w:firstLine="4"/>
        <w:rPr>
          <w:rFonts w:eastAsia="Times New Roman" w:cs="Times New Roman"/>
          <w:color w:val="212121"/>
          <w:szCs w:val="24"/>
        </w:rPr>
      </w:pPr>
    </w:p>
    <w:p w14:paraId="35B3BA59" w14:textId="77777777" w:rsidR="0025008E" w:rsidRDefault="0025008E" w:rsidP="0025008E">
      <w:pPr>
        <w:widowControl w:val="0"/>
        <w:pBdr>
          <w:top w:val="nil"/>
          <w:left w:val="nil"/>
          <w:bottom w:val="nil"/>
          <w:right w:val="nil"/>
          <w:between w:val="nil"/>
        </w:pBdr>
        <w:ind w:firstLine="4"/>
        <w:rPr>
          <w:rFonts w:eastAsia="Times New Roman" w:cs="Times New Roman"/>
          <w:color w:val="212121"/>
          <w:szCs w:val="24"/>
        </w:rPr>
      </w:pPr>
    </w:p>
    <w:p w14:paraId="772303C8" w14:textId="77777777" w:rsidR="0025008E" w:rsidRDefault="0025008E" w:rsidP="0025008E">
      <w:pPr>
        <w:widowControl w:val="0"/>
        <w:pBdr>
          <w:top w:val="nil"/>
          <w:left w:val="nil"/>
          <w:bottom w:val="nil"/>
          <w:right w:val="nil"/>
          <w:between w:val="nil"/>
        </w:pBdr>
        <w:ind w:firstLine="4"/>
        <w:rPr>
          <w:rFonts w:eastAsia="Times New Roman" w:cs="Times New Roman"/>
          <w:color w:val="212121"/>
          <w:szCs w:val="24"/>
        </w:rPr>
      </w:pPr>
    </w:p>
    <w:p w14:paraId="7BDB1641" w14:textId="77777777" w:rsidR="0025008E" w:rsidRDefault="0025008E" w:rsidP="0025008E">
      <w:pPr>
        <w:widowControl w:val="0"/>
        <w:pBdr>
          <w:top w:val="nil"/>
          <w:left w:val="nil"/>
          <w:bottom w:val="nil"/>
          <w:right w:val="nil"/>
          <w:between w:val="nil"/>
        </w:pBdr>
        <w:ind w:firstLine="4"/>
        <w:rPr>
          <w:rFonts w:eastAsia="Times New Roman" w:cs="Times New Roman"/>
          <w:color w:val="212121"/>
          <w:szCs w:val="24"/>
        </w:rPr>
      </w:pPr>
    </w:p>
    <w:p w14:paraId="3929C4FC" w14:textId="77777777" w:rsidR="0025008E" w:rsidRDefault="0025008E" w:rsidP="0025008E">
      <w:pPr>
        <w:widowControl w:val="0"/>
        <w:pBdr>
          <w:top w:val="nil"/>
          <w:left w:val="nil"/>
          <w:bottom w:val="nil"/>
          <w:right w:val="nil"/>
          <w:between w:val="nil"/>
        </w:pBdr>
        <w:ind w:firstLine="4"/>
        <w:rPr>
          <w:rFonts w:eastAsia="Times New Roman" w:cs="Times New Roman"/>
          <w:color w:val="212121"/>
          <w:szCs w:val="24"/>
        </w:rPr>
      </w:pPr>
    </w:p>
    <w:p w14:paraId="7068D5DF" w14:textId="77777777" w:rsidR="0025008E" w:rsidRDefault="0025008E" w:rsidP="0025008E">
      <w:pPr>
        <w:widowControl w:val="0"/>
        <w:pBdr>
          <w:top w:val="nil"/>
          <w:left w:val="nil"/>
          <w:bottom w:val="nil"/>
          <w:right w:val="nil"/>
          <w:between w:val="nil"/>
        </w:pBdr>
        <w:ind w:firstLine="4"/>
        <w:rPr>
          <w:rFonts w:eastAsia="Times New Roman" w:cs="Times New Roman"/>
          <w:color w:val="212121"/>
          <w:szCs w:val="24"/>
        </w:rPr>
      </w:pPr>
    </w:p>
    <w:p w14:paraId="6F11266C" w14:textId="77777777" w:rsidR="0025008E" w:rsidRDefault="0025008E" w:rsidP="0025008E">
      <w:pPr>
        <w:widowControl w:val="0"/>
        <w:pBdr>
          <w:top w:val="nil"/>
          <w:left w:val="nil"/>
          <w:bottom w:val="nil"/>
          <w:right w:val="nil"/>
          <w:between w:val="nil"/>
        </w:pBdr>
        <w:ind w:firstLine="4"/>
        <w:rPr>
          <w:rFonts w:eastAsia="Times New Roman" w:cs="Times New Roman"/>
          <w:color w:val="212121"/>
          <w:szCs w:val="24"/>
        </w:rPr>
      </w:pPr>
    </w:p>
    <w:p w14:paraId="7CC1623D" w14:textId="77777777" w:rsidR="0025008E" w:rsidRDefault="0025008E" w:rsidP="0025008E">
      <w:pPr>
        <w:widowControl w:val="0"/>
        <w:pBdr>
          <w:top w:val="nil"/>
          <w:left w:val="nil"/>
          <w:bottom w:val="nil"/>
          <w:right w:val="nil"/>
          <w:between w:val="nil"/>
        </w:pBdr>
        <w:ind w:firstLine="4"/>
        <w:rPr>
          <w:rFonts w:eastAsia="Times New Roman" w:cs="Times New Roman"/>
          <w:color w:val="212121"/>
          <w:szCs w:val="24"/>
        </w:rPr>
      </w:pPr>
    </w:p>
    <w:p w14:paraId="106EE166" w14:textId="77777777" w:rsidR="0025008E" w:rsidRDefault="0025008E" w:rsidP="0025008E">
      <w:pPr>
        <w:widowControl w:val="0"/>
        <w:pBdr>
          <w:top w:val="nil"/>
          <w:left w:val="nil"/>
          <w:bottom w:val="nil"/>
          <w:right w:val="nil"/>
          <w:between w:val="nil"/>
        </w:pBdr>
        <w:ind w:firstLine="4"/>
        <w:rPr>
          <w:rFonts w:eastAsia="Times New Roman" w:cs="Times New Roman"/>
          <w:color w:val="212121"/>
          <w:szCs w:val="24"/>
        </w:rPr>
      </w:pPr>
    </w:p>
    <w:p w14:paraId="41A25CC1" w14:textId="77777777" w:rsidR="0025008E" w:rsidRPr="0025008E" w:rsidRDefault="0025008E" w:rsidP="0025008E">
      <w:pPr>
        <w:widowControl w:val="0"/>
        <w:pBdr>
          <w:top w:val="nil"/>
          <w:left w:val="nil"/>
          <w:bottom w:val="nil"/>
          <w:right w:val="nil"/>
          <w:between w:val="nil"/>
        </w:pBdr>
        <w:ind w:firstLine="4"/>
        <w:rPr>
          <w:rFonts w:eastAsia="Times New Roman" w:cs="Times New Roman"/>
          <w:color w:val="212121"/>
          <w:szCs w:val="24"/>
        </w:rPr>
      </w:pPr>
    </w:p>
    <w:p w14:paraId="000000B1" w14:textId="77777777" w:rsidR="00E420E3" w:rsidRDefault="008E5528" w:rsidP="00CC1069">
      <w:pPr>
        <w:pStyle w:val="Heading3"/>
      </w:pPr>
      <w:bookmarkStart w:id="13" w:name="_Toc235392961"/>
      <w:r>
        <w:lastRenderedPageBreak/>
        <w:t>2.1 Abstract</w:t>
      </w:r>
      <w:bookmarkEnd w:id="13"/>
      <w:r>
        <w:t xml:space="preserve"> </w:t>
      </w:r>
    </w:p>
    <w:p w14:paraId="000000B3" w14:textId="26ABDF30" w:rsidR="00E420E3" w:rsidRDefault="008E5528" w:rsidP="00CC1069">
      <w:pPr>
        <w:widowControl w:val="0"/>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 xml:space="preserve">This thesis aims to understand how mutualistic function, in particular nutrition, differs with </w:t>
      </w:r>
      <w:r w:rsidR="002D53D4">
        <w:rPr>
          <w:rFonts w:eastAsia="Times New Roman" w:cs="Times New Roman"/>
          <w:color w:val="000000"/>
          <w:szCs w:val="24"/>
        </w:rPr>
        <w:t>the dependence</w:t>
      </w:r>
      <w:r>
        <w:rPr>
          <w:rFonts w:eastAsia="Times New Roman" w:cs="Times New Roman"/>
          <w:color w:val="000000"/>
          <w:szCs w:val="24"/>
        </w:rPr>
        <w:t xml:space="preserve"> of the partnership, using </w:t>
      </w:r>
      <w:proofErr w:type="spellStart"/>
      <w:r>
        <w:rPr>
          <w:rFonts w:eastAsia="Times New Roman" w:cs="Times New Roman"/>
          <w:color w:val="000000"/>
          <w:szCs w:val="24"/>
        </w:rPr>
        <w:t>Hydnophytinae</w:t>
      </w:r>
      <w:proofErr w:type="spellEnd"/>
      <w:r>
        <w:rPr>
          <w:rFonts w:eastAsia="Times New Roman" w:cs="Times New Roman"/>
          <w:color w:val="000000"/>
          <w:szCs w:val="24"/>
        </w:rPr>
        <w:t xml:space="preserve"> ant-plants as a model system. </w:t>
      </w:r>
      <w:r w:rsidR="002D53D4">
        <w:rPr>
          <w:rFonts w:eastAsia="Times New Roman" w:cs="Times New Roman"/>
          <w:color w:val="000000"/>
          <w:szCs w:val="24"/>
        </w:rPr>
        <w:t>This required</w:t>
      </w:r>
      <w:r>
        <w:rPr>
          <w:rFonts w:eastAsia="Times New Roman" w:cs="Times New Roman"/>
          <w:color w:val="000000"/>
          <w:szCs w:val="24"/>
        </w:rPr>
        <w:t xml:space="preserve"> us to develop experimental symbioses with plants having different degrees of mutualistic</w:t>
      </w:r>
      <w:r w:rsidR="0025008E">
        <w:rPr>
          <w:rFonts w:eastAsia="Times New Roman" w:cs="Times New Roman"/>
          <w:color w:val="000000"/>
          <w:szCs w:val="24"/>
        </w:rPr>
        <w:t xml:space="preserve"> </w:t>
      </w:r>
      <w:r>
        <w:rPr>
          <w:rFonts w:eastAsia="Times New Roman" w:cs="Times New Roman"/>
          <w:color w:val="000000"/>
          <w:szCs w:val="24"/>
        </w:rPr>
        <w:t xml:space="preserve">dependence, and that could be experimentally manipulated in greenhouse environments. </w:t>
      </w:r>
      <w:r w:rsidR="002D53D4">
        <w:rPr>
          <w:rFonts w:eastAsia="Times New Roman" w:cs="Times New Roman"/>
          <w:color w:val="000000"/>
          <w:szCs w:val="24"/>
        </w:rPr>
        <w:t>To analyse</w:t>
      </w:r>
      <w:r>
        <w:rPr>
          <w:rFonts w:eastAsia="Times New Roman" w:cs="Times New Roman"/>
          <w:color w:val="000000"/>
          <w:szCs w:val="24"/>
        </w:rPr>
        <w:t xml:space="preserve"> the transcriptomic responses, an essential step was the development of a </w:t>
      </w:r>
      <w:r w:rsidR="00CC5260">
        <w:rPr>
          <w:rFonts w:eastAsia="Times New Roman" w:cs="Times New Roman"/>
          <w:color w:val="000000"/>
          <w:szCs w:val="24"/>
        </w:rPr>
        <w:t>genomic</w:t>
      </w:r>
      <w:r w:rsidR="002D53D4">
        <w:rPr>
          <w:rFonts w:eastAsia="Times New Roman" w:cs="Times New Roman"/>
          <w:color w:val="000000"/>
          <w:szCs w:val="24"/>
        </w:rPr>
        <w:t xml:space="preserve"> resource</w:t>
      </w:r>
      <w:r>
        <w:rPr>
          <w:rFonts w:eastAsia="Times New Roman" w:cs="Times New Roman"/>
          <w:color w:val="000000"/>
          <w:szCs w:val="24"/>
        </w:rPr>
        <w:t xml:space="preserve"> This chapter reports the high-quality reference genomes for two closely related ant</w:t>
      </w:r>
      <w:r w:rsidR="0025008E">
        <w:rPr>
          <w:rFonts w:eastAsia="Times New Roman" w:cs="Times New Roman"/>
          <w:color w:val="000000"/>
          <w:szCs w:val="24"/>
        </w:rPr>
        <w:t xml:space="preserve"> </w:t>
      </w:r>
      <w:r>
        <w:rPr>
          <w:rFonts w:eastAsia="Times New Roman" w:cs="Times New Roman"/>
          <w:color w:val="000000"/>
          <w:szCs w:val="24"/>
        </w:rPr>
        <w:t xml:space="preserve">plants that differ in their degree of dependence on ant partners, </w:t>
      </w:r>
      <w:proofErr w:type="spellStart"/>
      <w:r>
        <w:rPr>
          <w:rFonts w:eastAsia="Times New Roman" w:cs="Times New Roman"/>
          <w:i/>
          <w:iCs/>
          <w:color w:val="000000"/>
          <w:szCs w:val="24"/>
        </w:rPr>
        <w:t>Hydnophytum</w:t>
      </w:r>
      <w:proofErr w:type="spellEnd"/>
      <w:r>
        <w:rPr>
          <w:rFonts w:eastAsia="Times New Roman" w:cs="Times New Roman"/>
          <w:i/>
          <w:iCs/>
          <w:color w:val="000000"/>
          <w:szCs w:val="24"/>
        </w:rPr>
        <w:t xml:space="preserve"> </w:t>
      </w:r>
      <w:proofErr w:type="spellStart"/>
      <w:r>
        <w:rPr>
          <w:rFonts w:eastAsia="Times New Roman" w:cs="Times New Roman"/>
          <w:i/>
          <w:iCs/>
          <w:color w:val="000000"/>
          <w:szCs w:val="24"/>
        </w:rPr>
        <w:t>moseleyanum</w:t>
      </w:r>
      <w:proofErr w:type="spellEnd"/>
      <w:r>
        <w:rPr>
          <w:rFonts w:eastAsia="Times New Roman" w:cs="Times New Roman"/>
          <w:i/>
          <w:iCs/>
          <w:color w:val="000000"/>
          <w:szCs w:val="24"/>
        </w:rPr>
        <w:t xml:space="preserve"> </w:t>
      </w:r>
      <w:r>
        <w:rPr>
          <w:rFonts w:eastAsia="Times New Roman" w:cs="Times New Roman"/>
          <w:color w:val="000000"/>
          <w:szCs w:val="24"/>
        </w:rPr>
        <w:t xml:space="preserve">(Facultative) and </w:t>
      </w:r>
      <w:proofErr w:type="spellStart"/>
      <w:r>
        <w:rPr>
          <w:rFonts w:eastAsia="Times New Roman" w:cs="Times New Roman"/>
          <w:i/>
          <w:iCs/>
          <w:color w:val="000000"/>
          <w:szCs w:val="24"/>
        </w:rPr>
        <w:t>Myrmecodia</w:t>
      </w:r>
      <w:proofErr w:type="spellEnd"/>
      <w:r>
        <w:rPr>
          <w:rFonts w:eastAsia="Times New Roman" w:cs="Times New Roman"/>
          <w:i/>
          <w:iCs/>
          <w:color w:val="000000"/>
          <w:szCs w:val="24"/>
        </w:rPr>
        <w:t xml:space="preserve"> </w:t>
      </w:r>
      <w:proofErr w:type="spellStart"/>
      <w:r>
        <w:rPr>
          <w:rFonts w:eastAsia="Times New Roman" w:cs="Times New Roman"/>
          <w:i/>
          <w:iCs/>
          <w:color w:val="000000"/>
          <w:szCs w:val="24"/>
        </w:rPr>
        <w:t>beccarii</w:t>
      </w:r>
      <w:proofErr w:type="spellEnd"/>
      <w:r>
        <w:rPr>
          <w:rFonts w:eastAsia="Times New Roman" w:cs="Times New Roman"/>
          <w:i/>
          <w:iCs/>
          <w:color w:val="000000"/>
          <w:szCs w:val="24"/>
        </w:rPr>
        <w:t xml:space="preserve"> </w:t>
      </w:r>
      <w:r>
        <w:rPr>
          <w:rFonts w:eastAsia="Times New Roman" w:cs="Times New Roman"/>
          <w:color w:val="000000"/>
          <w:szCs w:val="24"/>
        </w:rPr>
        <w:t xml:space="preserve">(Obligate). Using PacBio HiFi data, we </w:t>
      </w:r>
      <w:r w:rsidR="002D53D4">
        <w:rPr>
          <w:rFonts w:eastAsia="Times New Roman" w:cs="Times New Roman"/>
          <w:color w:val="000000"/>
          <w:szCs w:val="24"/>
        </w:rPr>
        <w:t>generated highly</w:t>
      </w:r>
      <w:r>
        <w:rPr>
          <w:rFonts w:eastAsia="Times New Roman" w:cs="Times New Roman"/>
          <w:color w:val="000000"/>
          <w:szCs w:val="24"/>
        </w:rPr>
        <w:t xml:space="preserve"> contiguous </w:t>
      </w:r>
      <w:r>
        <w:rPr>
          <w:rFonts w:eastAsia="Times New Roman" w:cs="Times New Roman"/>
          <w:i/>
          <w:iCs/>
          <w:color w:val="000000"/>
          <w:szCs w:val="24"/>
        </w:rPr>
        <w:t xml:space="preserve">de novo </w:t>
      </w:r>
      <w:r>
        <w:rPr>
          <w:rFonts w:eastAsia="Times New Roman" w:cs="Times New Roman"/>
          <w:color w:val="000000"/>
          <w:szCs w:val="24"/>
        </w:rPr>
        <w:t xml:space="preserve">assemblies for both species (contig N50 ~55-70 Mb) and </w:t>
      </w:r>
      <w:r w:rsidR="00654784">
        <w:rPr>
          <w:rFonts w:eastAsia="Times New Roman" w:cs="Times New Roman"/>
          <w:color w:val="000000"/>
          <w:szCs w:val="24"/>
        </w:rPr>
        <w:t>produced</w:t>
      </w:r>
      <w:r w:rsidR="002D53D4">
        <w:rPr>
          <w:rFonts w:eastAsia="Times New Roman" w:cs="Times New Roman"/>
          <w:color w:val="000000"/>
          <w:szCs w:val="24"/>
        </w:rPr>
        <w:t xml:space="preserve"> </w:t>
      </w:r>
      <w:r w:rsidR="00654784">
        <w:rPr>
          <w:rFonts w:eastAsia="Times New Roman" w:cs="Times New Roman"/>
          <w:color w:val="000000"/>
          <w:szCs w:val="24"/>
        </w:rPr>
        <w:t>gene predictions</w:t>
      </w:r>
      <w:r>
        <w:rPr>
          <w:rFonts w:eastAsia="Times New Roman" w:cs="Times New Roman"/>
          <w:color w:val="000000"/>
          <w:szCs w:val="24"/>
        </w:rPr>
        <w:t xml:space="preserve"> with a consistent annotation pipeline. Genome completeness was high in </w:t>
      </w:r>
      <w:r w:rsidR="002D53D4">
        <w:rPr>
          <w:rFonts w:eastAsia="Times New Roman" w:cs="Times New Roman"/>
          <w:color w:val="000000"/>
          <w:szCs w:val="24"/>
        </w:rPr>
        <w:t>both references</w:t>
      </w:r>
      <w:r>
        <w:rPr>
          <w:rFonts w:eastAsia="Times New Roman" w:cs="Times New Roman"/>
          <w:color w:val="000000"/>
          <w:szCs w:val="24"/>
        </w:rPr>
        <w:t xml:space="preserve"> with a completeness of 98.9% for </w:t>
      </w:r>
      <w:r>
        <w:rPr>
          <w:rFonts w:eastAsia="Times New Roman" w:cs="Times New Roman"/>
          <w:i/>
          <w:iCs/>
          <w:color w:val="000000"/>
          <w:szCs w:val="24"/>
        </w:rPr>
        <w:t xml:space="preserve">H. </w:t>
      </w:r>
      <w:proofErr w:type="spellStart"/>
      <w:r>
        <w:rPr>
          <w:rFonts w:eastAsia="Times New Roman" w:cs="Times New Roman"/>
          <w:i/>
          <w:iCs/>
          <w:color w:val="000000"/>
          <w:szCs w:val="24"/>
        </w:rPr>
        <w:t>moseleyanum</w:t>
      </w:r>
      <w:proofErr w:type="spellEnd"/>
      <w:r>
        <w:rPr>
          <w:rFonts w:eastAsia="Times New Roman" w:cs="Times New Roman"/>
          <w:i/>
          <w:iCs/>
          <w:color w:val="000000"/>
          <w:szCs w:val="24"/>
        </w:rPr>
        <w:t xml:space="preserve"> </w:t>
      </w:r>
      <w:r>
        <w:rPr>
          <w:rFonts w:eastAsia="Times New Roman" w:cs="Times New Roman"/>
          <w:color w:val="000000"/>
          <w:szCs w:val="24"/>
        </w:rPr>
        <w:t>and 98.2%</w:t>
      </w:r>
      <w:r>
        <w:rPr>
          <w:rFonts w:eastAsia="Times New Roman" w:cs="Times New Roman"/>
          <w:szCs w:val="24"/>
        </w:rPr>
        <w:t xml:space="preserve"> for</w:t>
      </w:r>
      <w:r>
        <w:rPr>
          <w:rFonts w:eastAsia="Times New Roman" w:cs="Times New Roman"/>
          <w:color w:val="000000"/>
          <w:szCs w:val="24"/>
        </w:rPr>
        <w:t xml:space="preserve"> </w:t>
      </w:r>
      <w:r>
        <w:rPr>
          <w:rFonts w:eastAsia="Times New Roman" w:cs="Times New Roman"/>
          <w:i/>
          <w:iCs/>
          <w:color w:val="000000"/>
          <w:szCs w:val="24"/>
        </w:rPr>
        <w:t xml:space="preserve">M. </w:t>
      </w:r>
      <w:proofErr w:type="spellStart"/>
      <w:r>
        <w:rPr>
          <w:rFonts w:eastAsia="Times New Roman" w:cs="Times New Roman"/>
          <w:i/>
          <w:iCs/>
          <w:color w:val="000000"/>
          <w:szCs w:val="24"/>
        </w:rPr>
        <w:t>beccarii</w:t>
      </w:r>
      <w:proofErr w:type="spellEnd"/>
      <w:r>
        <w:rPr>
          <w:rFonts w:eastAsia="Times New Roman" w:cs="Times New Roman"/>
          <w:color w:val="000000"/>
          <w:szCs w:val="24"/>
        </w:rPr>
        <w:t xml:space="preserve">. For </w:t>
      </w:r>
      <w:r>
        <w:rPr>
          <w:rFonts w:eastAsia="Times New Roman" w:cs="Times New Roman"/>
          <w:i/>
          <w:iCs/>
          <w:color w:val="000000"/>
          <w:szCs w:val="24"/>
        </w:rPr>
        <w:t xml:space="preserve">H. </w:t>
      </w:r>
      <w:proofErr w:type="spellStart"/>
      <w:r>
        <w:rPr>
          <w:rFonts w:eastAsia="Times New Roman" w:cs="Times New Roman"/>
          <w:i/>
          <w:iCs/>
          <w:color w:val="000000"/>
          <w:szCs w:val="24"/>
        </w:rPr>
        <w:t>moseleyanum</w:t>
      </w:r>
      <w:proofErr w:type="spellEnd"/>
      <w:r>
        <w:rPr>
          <w:rFonts w:eastAsia="Times New Roman" w:cs="Times New Roman"/>
          <w:color w:val="000000"/>
          <w:szCs w:val="24"/>
        </w:rPr>
        <w:t xml:space="preserve">, the initial assembly showed extensive redundancy, reflected by inflated assembly size and a high proportion of duplicated BUSCOs; iterative redundancy purging substantially reduced </w:t>
      </w:r>
      <w:proofErr w:type="spellStart"/>
      <w:r>
        <w:rPr>
          <w:rFonts w:eastAsia="Times New Roman" w:cs="Times New Roman"/>
          <w:color w:val="000000"/>
          <w:szCs w:val="24"/>
        </w:rPr>
        <w:t>haplotig</w:t>
      </w:r>
      <w:proofErr w:type="spellEnd"/>
      <w:r>
        <w:rPr>
          <w:rFonts w:eastAsia="Times New Roman" w:cs="Times New Roman"/>
          <w:color w:val="000000"/>
          <w:szCs w:val="24"/>
        </w:rPr>
        <w:t>/allelic duplication while maintaining completeness, yielding a compact assembly suitable for downstream analyses. K-</w:t>
      </w:r>
      <w:proofErr w:type="spellStart"/>
      <w:r>
        <w:rPr>
          <w:rFonts w:eastAsia="Times New Roman" w:cs="Times New Roman"/>
          <w:color w:val="000000"/>
          <w:szCs w:val="24"/>
        </w:rPr>
        <w:t>mer</w:t>
      </w:r>
      <w:proofErr w:type="spellEnd"/>
      <w:r>
        <w:rPr>
          <w:rFonts w:eastAsia="Times New Roman" w:cs="Times New Roman"/>
          <w:color w:val="000000"/>
          <w:szCs w:val="24"/>
        </w:rPr>
        <w:t xml:space="preserve"> spectra modelling further supported contrasting genomic architectures between the two species, consistent with </w:t>
      </w:r>
      <w:r w:rsidR="002D53D4">
        <w:rPr>
          <w:rFonts w:eastAsia="Times New Roman" w:cs="Times New Roman"/>
          <w:color w:val="000000"/>
          <w:szCs w:val="24"/>
        </w:rPr>
        <w:t>a tetraploid</w:t>
      </w:r>
      <w:r>
        <w:rPr>
          <w:rFonts w:eastAsia="Times New Roman" w:cs="Times New Roman"/>
          <w:color w:val="000000"/>
          <w:szCs w:val="24"/>
        </w:rPr>
        <w:t xml:space="preserve"> genome signature in </w:t>
      </w:r>
      <w:r>
        <w:rPr>
          <w:rFonts w:eastAsia="Times New Roman" w:cs="Times New Roman"/>
          <w:i/>
          <w:iCs/>
          <w:color w:val="000000"/>
          <w:szCs w:val="24"/>
        </w:rPr>
        <w:t>H.</w:t>
      </w:r>
      <w:r w:rsidR="0025008E">
        <w:rPr>
          <w:rFonts w:eastAsia="Times New Roman" w:cs="Times New Roman"/>
          <w:i/>
          <w:iCs/>
          <w:color w:val="000000"/>
          <w:szCs w:val="24"/>
        </w:rPr>
        <w:t xml:space="preserve"> </w:t>
      </w:r>
      <w:proofErr w:type="spellStart"/>
      <w:r>
        <w:rPr>
          <w:rFonts w:eastAsia="Times New Roman" w:cs="Times New Roman"/>
          <w:i/>
          <w:iCs/>
          <w:color w:val="000000"/>
          <w:szCs w:val="24"/>
        </w:rPr>
        <w:t>moseleyanum</w:t>
      </w:r>
      <w:proofErr w:type="spellEnd"/>
      <w:r>
        <w:rPr>
          <w:rFonts w:eastAsia="Times New Roman" w:cs="Times New Roman"/>
          <w:i/>
          <w:iCs/>
          <w:color w:val="000000"/>
          <w:szCs w:val="24"/>
        </w:rPr>
        <w:t xml:space="preserve"> </w:t>
      </w:r>
      <w:r>
        <w:rPr>
          <w:rFonts w:eastAsia="Times New Roman" w:cs="Times New Roman"/>
          <w:color w:val="000000"/>
          <w:szCs w:val="24"/>
        </w:rPr>
        <w:t xml:space="preserve">and a diploid signature in </w:t>
      </w:r>
      <w:r>
        <w:rPr>
          <w:rFonts w:eastAsia="Times New Roman" w:cs="Times New Roman"/>
          <w:i/>
          <w:iCs/>
          <w:color w:val="000000"/>
          <w:szCs w:val="24"/>
        </w:rPr>
        <w:t xml:space="preserve">M. </w:t>
      </w:r>
      <w:proofErr w:type="spellStart"/>
      <w:r w:rsidR="002D53D4">
        <w:rPr>
          <w:rFonts w:eastAsia="Times New Roman" w:cs="Times New Roman"/>
          <w:i/>
          <w:iCs/>
          <w:color w:val="000000"/>
          <w:szCs w:val="24"/>
        </w:rPr>
        <w:t>beccarii</w:t>
      </w:r>
      <w:proofErr w:type="spellEnd"/>
      <w:r w:rsidR="002D53D4">
        <w:rPr>
          <w:rFonts w:eastAsia="Times New Roman" w:cs="Times New Roman"/>
          <w:i/>
          <w:iCs/>
          <w:color w:val="000000"/>
          <w:szCs w:val="24"/>
        </w:rPr>
        <w:t xml:space="preserve">, </w:t>
      </w:r>
      <w:r w:rsidR="00654784">
        <w:rPr>
          <w:rFonts w:eastAsia="Times New Roman" w:cs="Times New Roman"/>
          <w:i/>
          <w:iCs/>
          <w:color w:val="000000"/>
          <w:szCs w:val="24"/>
        </w:rPr>
        <w:t>underscoring</w:t>
      </w:r>
      <w:r w:rsidR="00654784">
        <w:rPr>
          <w:rFonts w:eastAsia="Times New Roman" w:cs="Times New Roman"/>
          <w:color w:val="000000"/>
          <w:szCs w:val="24"/>
        </w:rPr>
        <w:t xml:space="preserve"> the</w:t>
      </w:r>
      <w:r>
        <w:rPr>
          <w:rFonts w:eastAsia="Times New Roman" w:cs="Times New Roman"/>
          <w:color w:val="000000"/>
          <w:szCs w:val="24"/>
        </w:rPr>
        <w:t xml:space="preserve"> importance of duplication-aware interpretation when comparing gene </w:t>
      </w:r>
      <w:r w:rsidR="00654784">
        <w:rPr>
          <w:rFonts w:eastAsia="Times New Roman" w:cs="Times New Roman"/>
          <w:color w:val="000000"/>
          <w:szCs w:val="24"/>
        </w:rPr>
        <w:t>content</w:t>
      </w:r>
      <w:r w:rsidR="002D53D4">
        <w:rPr>
          <w:rFonts w:eastAsia="Times New Roman" w:cs="Times New Roman"/>
          <w:color w:val="000000"/>
          <w:szCs w:val="24"/>
        </w:rPr>
        <w:t xml:space="preserve"> and</w:t>
      </w:r>
      <w:r w:rsidR="00654784">
        <w:rPr>
          <w:rFonts w:eastAsia="Times New Roman" w:cs="Times New Roman"/>
          <w:color w:val="000000"/>
          <w:szCs w:val="24"/>
        </w:rPr>
        <w:t xml:space="preserve"> expression</w:t>
      </w:r>
      <w:r>
        <w:rPr>
          <w:rFonts w:eastAsia="Times New Roman" w:cs="Times New Roman"/>
          <w:color w:val="000000"/>
          <w:szCs w:val="24"/>
        </w:rPr>
        <w:t xml:space="preserve">. Together, these genome resources provide a robust foundation for </w:t>
      </w:r>
      <w:r w:rsidR="002D53D4">
        <w:rPr>
          <w:rFonts w:eastAsia="Times New Roman" w:cs="Times New Roman"/>
          <w:color w:val="000000"/>
          <w:szCs w:val="24"/>
        </w:rPr>
        <w:t>read mapping</w:t>
      </w:r>
      <w:r>
        <w:rPr>
          <w:rFonts w:eastAsia="Times New Roman" w:cs="Times New Roman"/>
          <w:color w:val="000000"/>
          <w:szCs w:val="24"/>
        </w:rPr>
        <w:t xml:space="preserve">, orthology inference, and candidate gene identification in subsequent </w:t>
      </w:r>
      <w:r w:rsidR="002D53D4">
        <w:rPr>
          <w:rFonts w:eastAsia="Times New Roman" w:cs="Times New Roman"/>
          <w:color w:val="000000"/>
          <w:szCs w:val="24"/>
        </w:rPr>
        <w:t>chapters, enabling</w:t>
      </w:r>
      <w:r w:rsidR="00654784">
        <w:rPr>
          <w:rFonts w:eastAsia="Times New Roman" w:cs="Times New Roman"/>
          <w:color w:val="000000"/>
          <w:szCs w:val="24"/>
        </w:rPr>
        <w:t xml:space="preserve"> </w:t>
      </w:r>
      <w:r>
        <w:rPr>
          <w:rFonts w:eastAsia="Times New Roman" w:cs="Times New Roman"/>
          <w:color w:val="000000"/>
          <w:szCs w:val="24"/>
        </w:rPr>
        <w:t xml:space="preserve">tissue-resolved transcriptomic analyses of nitrogen acquisition and regulation at </w:t>
      </w:r>
      <w:r w:rsidR="002D53D4">
        <w:rPr>
          <w:rFonts w:eastAsia="Times New Roman" w:cs="Times New Roman"/>
          <w:color w:val="000000"/>
          <w:szCs w:val="24"/>
        </w:rPr>
        <w:t>the ant</w:t>
      </w:r>
      <w:r w:rsidR="00654784">
        <w:rPr>
          <w:rFonts w:eastAsia="Times New Roman" w:cs="Times New Roman"/>
          <w:color w:val="000000"/>
          <w:szCs w:val="24"/>
        </w:rPr>
        <w:t>-p</w:t>
      </w:r>
      <w:r w:rsidR="009F23E6">
        <w:rPr>
          <w:rFonts w:eastAsia="Times New Roman" w:cs="Times New Roman"/>
          <w:color w:val="000000"/>
          <w:szCs w:val="24"/>
        </w:rPr>
        <w:t>lant</w:t>
      </w:r>
      <w:r>
        <w:rPr>
          <w:rFonts w:eastAsia="Times New Roman" w:cs="Times New Roman"/>
          <w:color w:val="000000"/>
          <w:szCs w:val="24"/>
        </w:rPr>
        <w:t xml:space="preserve"> interface.</w:t>
      </w:r>
    </w:p>
    <w:p w14:paraId="0AB2806D" w14:textId="77777777" w:rsidR="00031AA5" w:rsidRDefault="00031AA5" w:rsidP="00CC1069">
      <w:pPr>
        <w:widowControl w:val="0"/>
        <w:pBdr>
          <w:top w:val="nil"/>
          <w:left w:val="nil"/>
          <w:bottom w:val="nil"/>
          <w:right w:val="nil"/>
          <w:between w:val="nil"/>
        </w:pBdr>
        <w:rPr>
          <w:rFonts w:eastAsia="Times New Roman" w:cs="Times New Roman"/>
          <w:color w:val="000000"/>
          <w:szCs w:val="24"/>
        </w:rPr>
      </w:pPr>
    </w:p>
    <w:p w14:paraId="72873059" w14:textId="77777777" w:rsidR="00031AA5" w:rsidRDefault="00031AA5" w:rsidP="00CC1069">
      <w:pPr>
        <w:widowControl w:val="0"/>
        <w:pBdr>
          <w:top w:val="nil"/>
          <w:left w:val="nil"/>
          <w:bottom w:val="nil"/>
          <w:right w:val="nil"/>
          <w:between w:val="nil"/>
        </w:pBdr>
        <w:rPr>
          <w:rFonts w:eastAsia="Times New Roman" w:cs="Times New Roman"/>
          <w:color w:val="000000"/>
          <w:szCs w:val="24"/>
        </w:rPr>
      </w:pPr>
    </w:p>
    <w:p w14:paraId="64EEDFD4" w14:textId="77777777" w:rsidR="00031AA5" w:rsidRDefault="00031AA5" w:rsidP="00CC1069">
      <w:pPr>
        <w:widowControl w:val="0"/>
        <w:pBdr>
          <w:top w:val="nil"/>
          <w:left w:val="nil"/>
          <w:bottom w:val="nil"/>
          <w:right w:val="nil"/>
          <w:between w:val="nil"/>
        </w:pBdr>
        <w:rPr>
          <w:rFonts w:eastAsia="Times New Roman" w:cs="Times New Roman"/>
          <w:color w:val="000000"/>
          <w:szCs w:val="24"/>
        </w:rPr>
      </w:pPr>
    </w:p>
    <w:p w14:paraId="1720A80D" w14:textId="77777777" w:rsidR="00031AA5" w:rsidRDefault="00031AA5" w:rsidP="00CC1069">
      <w:pPr>
        <w:widowControl w:val="0"/>
        <w:pBdr>
          <w:top w:val="nil"/>
          <w:left w:val="nil"/>
          <w:bottom w:val="nil"/>
          <w:right w:val="nil"/>
          <w:between w:val="nil"/>
        </w:pBdr>
        <w:rPr>
          <w:rFonts w:eastAsia="Times New Roman" w:cs="Times New Roman"/>
          <w:color w:val="000000"/>
          <w:szCs w:val="24"/>
        </w:rPr>
      </w:pPr>
    </w:p>
    <w:p w14:paraId="382412CC" w14:textId="77777777" w:rsidR="00031AA5" w:rsidRDefault="00031AA5" w:rsidP="00CC1069">
      <w:pPr>
        <w:widowControl w:val="0"/>
        <w:pBdr>
          <w:top w:val="nil"/>
          <w:left w:val="nil"/>
          <w:bottom w:val="nil"/>
          <w:right w:val="nil"/>
          <w:between w:val="nil"/>
        </w:pBdr>
        <w:rPr>
          <w:rFonts w:eastAsia="Times New Roman" w:cs="Times New Roman"/>
          <w:color w:val="000000"/>
          <w:szCs w:val="24"/>
        </w:rPr>
      </w:pPr>
    </w:p>
    <w:p w14:paraId="0C648042" w14:textId="77777777" w:rsidR="00031AA5" w:rsidRDefault="00031AA5" w:rsidP="00CC1069">
      <w:pPr>
        <w:widowControl w:val="0"/>
        <w:pBdr>
          <w:top w:val="nil"/>
          <w:left w:val="nil"/>
          <w:bottom w:val="nil"/>
          <w:right w:val="nil"/>
          <w:between w:val="nil"/>
        </w:pBdr>
        <w:rPr>
          <w:rFonts w:eastAsia="Times New Roman" w:cs="Times New Roman"/>
          <w:color w:val="000000"/>
          <w:szCs w:val="24"/>
        </w:rPr>
      </w:pPr>
    </w:p>
    <w:p w14:paraId="000000B5" w14:textId="23C73CC2" w:rsidR="00E420E3" w:rsidRDefault="008E5528" w:rsidP="00CC1069">
      <w:pPr>
        <w:pStyle w:val="Heading3"/>
      </w:pPr>
      <w:bookmarkStart w:id="14" w:name="_Toc235392962"/>
      <w:r>
        <w:lastRenderedPageBreak/>
        <w:t>2.2 Introduction</w:t>
      </w:r>
      <w:bookmarkEnd w:id="14"/>
      <w:r>
        <w:t xml:space="preserve"> </w:t>
      </w:r>
    </w:p>
    <w:p w14:paraId="000000B6" w14:textId="2DEB25AF" w:rsidR="00E420E3" w:rsidRDefault="009F23E6" w:rsidP="00CC1069">
      <w:pPr>
        <w:widowControl w:val="0"/>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 xml:space="preserve">Ant-plant symbioses are classic examples of mutualistic interactions in which plants </w:t>
      </w:r>
      <w:r w:rsidR="002D53D4">
        <w:rPr>
          <w:rFonts w:eastAsia="Times New Roman" w:cs="Times New Roman"/>
          <w:color w:val="000000"/>
          <w:szCs w:val="24"/>
        </w:rPr>
        <w:t>provide nesting</w:t>
      </w:r>
      <w:r>
        <w:rPr>
          <w:rFonts w:eastAsia="Times New Roman" w:cs="Times New Roman"/>
          <w:color w:val="000000"/>
          <w:szCs w:val="24"/>
        </w:rPr>
        <w:t xml:space="preserve"> space (domatia) and, sometimes, nutritional rewards, while ants contribute </w:t>
      </w:r>
      <w:r w:rsidR="00557240">
        <w:rPr>
          <w:rFonts w:eastAsia="Times New Roman" w:cs="Times New Roman"/>
          <w:color w:val="000000"/>
          <w:szCs w:val="24"/>
        </w:rPr>
        <w:t>defensive</w:t>
      </w:r>
      <w:r w:rsidR="002D53D4">
        <w:rPr>
          <w:rFonts w:eastAsia="Times New Roman" w:cs="Times New Roman"/>
          <w:color w:val="000000"/>
          <w:szCs w:val="24"/>
        </w:rPr>
        <w:t xml:space="preserve"> </w:t>
      </w:r>
      <w:r w:rsidR="00557240">
        <w:rPr>
          <w:rFonts w:eastAsia="Times New Roman" w:cs="Times New Roman"/>
          <w:color w:val="000000"/>
          <w:szCs w:val="24"/>
        </w:rPr>
        <w:t>services or</w:t>
      </w:r>
      <w:r>
        <w:rPr>
          <w:rFonts w:eastAsia="Times New Roman" w:cs="Times New Roman"/>
          <w:color w:val="000000"/>
          <w:szCs w:val="24"/>
        </w:rPr>
        <w:t xml:space="preserve">/and enhance host nutrition through deposition of waste, prey remains, and </w:t>
      </w:r>
      <w:r w:rsidR="002D53D4">
        <w:rPr>
          <w:rFonts w:eastAsia="Times New Roman" w:cs="Times New Roman"/>
          <w:color w:val="000000"/>
          <w:szCs w:val="24"/>
        </w:rPr>
        <w:t>other organic</w:t>
      </w:r>
      <w:r w:rsidR="00AF371D">
        <w:rPr>
          <w:rFonts w:eastAsia="Times New Roman" w:cs="Times New Roman"/>
          <w:color w:val="000000"/>
          <w:szCs w:val="24"/>
        </w:rPr>
        <w:t xml:space="preserve"> m</w:t>
      </w:r>
      <w:r>
        <w:rPr>
          <w:rFonts w:eastAsia="Times New Roman" w:cs="Times New Roman"/>
          <w:color w:val="000000"/>
          <w:szCs w:val="24"/>
        </w:rPr>
        <w:t>aterial in or near plant tissues (Huxley, 1980; Heil and McKey, 2003; Rico-Gray and</w:t>
      </w:r>
      <w:r w:rsidR="002D53D4">
        <w:rPr>
          <w:rFonts w:eastAsia="Times New Roman" w:cs="Times New Roman"/>
          <w:color w:val="000000"/>
          <w:szCs w:val="24"/>
        </w:rPr>
        <w:t xml:space="preserve"> Oliveira</w:t>
      </w:r>
      <w:r>
        <w:rPr>
          <w:rFonts w:eastAsia="Times New Roman" w:cs="Times New Roman"/>
          <w:color w:val="000000"/>
          <w:szCs w:val="24"/>
        </w:rPr>
        <w:t xml:space="preserve">; Chomicki and Renner, 2015). These associations span a continuum </w:t>
      </w:r>
      <w:r w:rsidR="002D53D4">
        <w:rPr>
          <w:rFonts w:eastAsia="Times New Roman" w:cs="Times New Roman"/>
          <w:color w:val="000000"/>
          <w:szCs w:val="24"/>
        </w:rPr>
        <w:t>from facultative</w:t>
      </w:r>
      <w:r>
        <w:rPr>
          <w:rFonts w:eastAsia="Times New Roman" w:cs="Times New Roman"/>
          <w:color w:val="000000"/>
          <w:szCs w:val="24"/>
        </w:rPr>
        <w:t xml:space="preserve"> interactions, where plants are frequently unoccupied or can persist without ants, </w:t>
      </w:r>
      <w:r w:rsidR="002D53D4">
        <w:rPr>
          <w:rFonts w:eastAsia="Times New Roman" w:cs="Times New Roman"/>
          <w:color w:val="000000"/>
          <w:szCs w:val="24"/>
        </w:rPr>
        <w:t>to highly</w:t>
      </w:r>
      <w:r w:rsidR="00AF371D">
        <w:rPr>
          <w:rFonts w:eastAsia="Times New Roman" w:cs="Times New Roman"/>
          <w:color w:val="000000"/>
          <w:szCs w:val="24"/>
        </w:rPr>
        <w:t xml:space="preserve"> </w:t>
      </w:r>
      <w:r>
        <w:rPr>
          <w:rFonts w:eastAsia="Times New Roman" w:cs="Times New Roman"/>
          <w:color w:val="000000"/>
          <w:szCs w:val="24"/>
        </w:rPr>
        <w:t>speciali</w:t>
      </w:r>
      <w:r w:rsidR="00516242">
        <w:rPr>
          <w:rFonts w:eastAsia="Times New Roman" w:cs="Times New Roman"/>
          <w:color w:val="000000"/>
          <w:szCs w:val="24"/>
        </w:rPr>
        <w:t>s</w:t>
      </w:r>
      <w:r>
        <w:rPr>
          <w:rFonts w:eastAsia="Times New Roman" w:cs="Times New Roman"/>
          <w:color w:val="000000"/>
          <w:szCs w:val="24"/>
        </w:rPr>
        <w:t xml:space="preserve">ed and obligate systems in which plant development, reproduction, or </w:t>
      </w:r>
      <w:r w:rsidR="002D53D4">
        <w:rPr>
          <w:rFonts w:eastAsia="Times New Roman" w:cs="Times New Roman"/>
          <w:color w:val="000000"/>
          <w:szCs w:val="24"/>
        </w:rPr>
        <w:t>survival s</w:t>
      </w:r>
      <w:r w:rsidR="00F959D0">
        <w:rPr>
          <w:rFonts w:eastAsia="Times New Roman" w:cs="Times New Roman"/>
          <w:color w:val="000000"/>
          <w:szCs w:val="24"/>
        </w:rPr>
        <w:t>l</w:t>
      </w:r>
      <w:r>
        <w:rPr>
          <w:rFonts w:eastAsia="Times New Roman" w:cs="Times New Roman"/>
          <w:color w:val="000000"/>
          <w:szCs w:val="24"/>
        </w:rPr>
        <w:t xml:space="preserve">ightly linked to a narrow set of ant partners (Heil and McKey, 2003; Chomicki and </w:t>
      </w:r>
      <w:r w:rsidR="00F959D0">
        <w:rPr>
          <w:rFonts w:eastAsia="Times New Roman" w:cs="Times New Roman"/>
          <w:color w:val="000000"/>
          <w:szCs w:val="24"/>
        </w:rPr>
        <w:t>Renner, 2015</w:t>
      </w:r>
      <w:r>
        <w:rPr>
          <w:rFonts w:eastAsia="Times New Roman" w:cs="Times New Roman"/>
          <w:color w:val="000000"/>
          <w:szCs w:val="24"/>
        </w:rPr>
        <w:t>; Chomicki and Renner, 2017; Chomicki et al., 2020). While we know that ant-</w:t>
      </w:r>
      <w:r w:rsidR="00F959D0">
        <w:rPr>
          <w:rFonts w:eastAsia="Times New Roman" w:cs="Times New Roman"/>
          <w:color w:val="000000"/>
          <w:szCs w:val="24"/>
        </w:rPr>
        <w:t>plant systems</w:t>
      </w:r>
      <w:r>
        <w:rPr>
          <w:rFonts w:eastAsia="Times New Roman" w:cs="Times New Roman"/>
          <w:color w:val="000000"/>
          <w:szCs w:val="24"/>
        </w:rPr>
        <w:t xml:space="preserve"> vary in their levels of dependence, with facultative versus obligate systems, the </w:t>
      </w:r>
      <w:r w:rsidR="00F959D0">
        <w:rPr>
          <w:rFonts w:eastAsia="Times New Roman" w:cs="Times New Roman"/>
          <w:color w:val="000000"/>
          <w:szCs w:val="24"/>
        </w:rPr>
        <w:t>drivers of</w:t>
      </w:r>
      <w:r>
        <w:rPr>
          <w:rFonts w:eastAsia="Times New Roman" w:cs="Times New Roman"/>
          <w:color w:val="000000"/>
          <w:szCs w:val="24"/>
        </w:rPr>
        <w:t xml:space="preserve"> obligate dependence, and the functional differences across dependence are poorly known.  Understanding this requires comparing facultative and obligate systems, </w:t>
      </w:r>
      <w:r w:rsidR="00F959D0">
        <w:rPr>
          <w:rFonts w:eastAsia="Times New Roman" w:cs="Times New Roman"/>
          <w:color w:val="000000"/>
          <w:szCs w:val="24"/>
        </w:rPr>
        <w:t>experimentally manipulating</w:t>
      </w:r>
      <w:r>
        <w:rPr>
          <w:rFonts w:eastAsia="Times New Roman" w:cs="Times New Roman"/>
          <w:color w:val="000000"/>
          <w:szCs w:val="24"/>
        </w:rPr>
        <w:t xml:space="preserve"> key mutualistic parameters, and quantifying transcriptomic responses to </w:t>
      </w:r>
      <w:r w:rsidR="00F959D0">
        <w:rPr>
          <w:rFonts w:eastAsia="Times New Roman" w:cs="Times New Roman"/>
          <w:color w:val="000000"/>
          <w:szCs w:val="24"/>
        </w:rPr>
        <w:t>link regulatory</w:t>
      </w:r>
      <w:r>
        <w:rPr>
          <w:rFonts w:eastAsia="Times New Roman" w:cs="Times New Roman"/>
          <w:color w:val="000000"/>
          <w:szCs w:val="24"/>
        </w:rPr>
        <w:t xml:space="preserve"> change to function. </w:t>
      </w:r>
    </w:p>
    <w:p w14:paraId="7C8CEA67" w14:textId="77777777" w:rsidR="00784769" w:rsidRDefault="008E5528" w:rsidP="00311255">
      <w:pPr>
        <w:widowControl w:val="0"/>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 xml:space="preserve">A major radiation of epiphytic ant-plants occurs in the </w:t>
      </w:r>
      <w:proofErr w:type="spellStart"/>
      <w:r>
        <w:rPr>
          <w:rFonts w:eastAsia="Times New Roman" w:cs="Times New Roman"/>
          <w:color w:val="000000"/>
          <w:szCs w:val="24"/>
        </w:rPr>
        <w:t>Rubiaceae</w:t>
      </w:r>
      <w:proofErr w:type="spellEnd"/>
      <w:r>
        <w:rPr>
          <w:rFonts w:eastAsia="Times New Roman" w:cs="Times New Roman"/>
          <w:color w:val="000000"/>
          <w:szCs w:val="24"/>
        </w:rPr>
        <w:t xml:space="preserve"> subtribe </w:t>
      </w:r>
      <w:proofErr w:type="spellStart"/>
      <w:r w:rsidR="00F959D0">
        <w:rPr>
          <w:rFonts w:eastAsia="Times New Roman" w:cs="Times New Roman"/>
          <w:color w:val="000000"/>
          <w:szCs w:val="24"/>
        </w:rPr>
        <w:t>Hydnophytinae</w:t>
      </w:r>
      <w:proofErr w:type="spellEnd"/>
      <w:r w:rsidR="00F959D0">
        <w:rPr>
          <w:rFonts w:eastAsia="Times New Roman" w:cs="Times New Roman"/>
          <w:color w:val="000000"/>
          <w:szCs w:val="24"/>
        </w:rPr>
        <w:t>, which</w:t>
      </w:r>
      <w:r>
        <w:rPr>
          <w:rFonts w:eastAsia="Times New Roman" w:cs="Times New Roman"/>
          <w:color w:val="000000"/>
          <w:szCs w:val="24"/>
        </w:rPr>
        <w:t xml:space="preserve"> includes the genera </w:t>
      </w:r>
      <w:proofErr w:type="spellStart"/>
      <w:r>
        <w:rPr>
          <w:rFonts w:eastAsia="Times New Roman" w:cs="Times New Roman"/>
          <w:i/>
          <w:iCs/>
          <w:color w:val="000000"/>
          <w:szCs w:val="24"/>
        </w:rPr>
        <w:t>Hydnophytum</w:t>
      </w:r>
      <w:proofErr w:type="spellEnd"/>
      <w:r>
        <w:rPr>
          <w:rFonts w:eastAsia="Times New Roman" w:cs="Times New Roman"/>
          <w:color w:val="000000"/>
          <w:szCs w:val="24"/>
        </w:rPr>
        <w:t xml:space="preserve">, </w:t>
      </w:r>
      <w:proofErr w:type="spellStart"/>
      <w:r>
        <w:rPr>
          <w:rFonts w:eastAsia="Times New Roman" w:cs="Times New Roman"/>
          <w:i/>
          <w:iCs/>
          <w:color w:val="000000"/>
          <w:szCs w:val="24"/>
        </w:rPr>
        <w:t>Myrmecodia</w:t>
      </w:r>
      <w:proofErr w:type="spellEnd"/>
      <w:r>
        <w:rPr>
          <w:rFonts w:eastAsia="Times New Roman" w:cs="Times New Roman"/>
          <w:color w:val="000000"/>
          <w:szCs w:val="24"/>
        </w:rPr>
        <w:t xml:space="preserve">, </w:t>
      </w:r>
      <w:proofErr w:type="spellStart"/>
      <w:r>
        <w:rPr>
          <w:rFonts w:eastAsia="Times New Roman" w:cs="Times New Roman"/>
          <w:i/>
          <w:iCs/>
          <w:color w:val="000000"/>
          <w:szCs w:val="24"/>
        </w:rPr>
        <w:t>Myrmephytum</w:t>
      </w:r>
      <w:proofErr w:type="spellEnd"/>
      <w:r>
        <w:rPr>
          <w:rFonts w:eastAsia="Times New Roman" w:cs="Times New Roman"/>
          <w:color w:val="000000"/>
          <w:szCs w:val="24"/>
        </w:rPr>
        <w:t xml:space="preserve">, </w:t>
      </w:r>
      <w:proofErr w:type="spellStart"/>
      <w:r>
        <w:rPr>
          <w:rFonts w:eastAsia="Times New Roman" w:cs="Times New Roman"/>
          <w:i/>
          <w:iCs/>
          <w:color w:val="000000"/>
          <w:szCs w:val="24"/>
        </w:rPr>
        <w:t>Anthorrhiza</w:t>
      </w:r>
      <w:proofErr w:type="spellEnd"/>
      <w:r>
        <w:rPr>
          <w:rFonts w:eastAsia="Times New Roman" w:cs="Times New Roman"/>
          <w:i/>
          <w:iCs/>
          <w:color w:val="000000"/>
          <w:szCs w:val="24"/>
        </w:rPr>
        <w:t xml:space="preserve"> </w:t>
      </w:r>
      <w:r w:rsidR="00F959D0">
        <w:rPr>
          <w:rFonts w:eastAsia="Times New Roman" w:cs="Times New Roman"/>
          <w:color w:val="000000"/>
          <w:szCs w:val="24"/>
        </w:rPr>
        <w:t xml:space="preserve">and </w:t>
      </w:r>
      <w:proofErr w:type="spellStart"/>
      <w:r w:rsidR="00F959D0">
        <w:rPr>
          <w:rFonts w:eastAsia="Times New Roman" w:cs="Times New Roman"/>
          <w:color w:val="000000"/>
          <w:szCs w:val="24"/>
        </w:rPr>
        <w:t>Squamellaria</w:t>
      </w:r>
      <w:proofErr w:type="spellEnd"/>
      <w:r>
        <w:rPr>
          <w:rFonts w:eastAsia="Times New Roman" w:cs="Times New Roman"/>
          <w:i/>
          <w:iCs/>
          <w:color w:val="000000"/>
          <w:szCs w:val="24"/>
        </w:rPr>
        <w:t xml:space="preserve"> </w:t>
      </w:r>
      <w:r>
        <w:rPr>
          <w:rFonts w:eastAsia="Times New Roman" w:cs="Times New Roman"/>
          <w:color w:val="000000"/>
          <w:szCs w:val="24"/>
        </w:rPr>
        <w:t xml:space="preserve">(Huxley, 1978; Huxley and Jebb, 1991; Chomicki and Renner, 2017). In </w:t>
      </w:r>
      <w:r w:rsidR="00F959D0">
        <w:rPr>
          <w:rFonts w:eastAsia="Times New Roman" w:cs="Times New Roman"/>
          <w:color w:val="000000"/>
          <w:szCs w:val="24"/>
        </w:rPr>
        <w:t>these taxa</w:t>
      </w:r>
      <w:r>
        <w:rPr>
          <w:rFonts w:eastAsia="Times New Roman" w:cs="Times New Roman"/>
          <w:color w:val="000000"/>
          <w:szCs w:val="24"/>
        </w:rPr>
        <w:t xml:space="preserve">, seedlings develop a swollen hypocotyl/tuber that differentiates into a system of </w:t>
      </w:r>
      <w:r w:rsidR="00F959D0">
        <w:rPr>
          <w:rFonts w:eastAsia="Times New Roman" w:cs="Times New Roman"/>
          <w:color w:val="000000"/>
          <w:szCs w:val="24"/>
        </w:rPr>
        <w:t>internal chambers</w:t>
      </w:r>
      <w:r>
        <w:rPr>
          <w:rFonts w:eastAsia="Times New Roman" w:cs="Times New Roman"/>
          <w:color w:val="000000"/>
          <w:szCs w:val="24"/>
        </w:rPr>
        <w:t xml:space="preserve"> that can house ant colonies. These symbioses are primarily nutritional, </w:t>
      </w:r>
      <w:r w:rsidR="00F959D0">
        <w:rPr>
          <w:rFonts w:eastAsia="Times New Roman" w:cs="Times New Roman"/>
          <w:color w:val="000000"/>
          <w:szCs w:val="24"/>
        </w:rPr>
        <w:t>consistent with</w:t>
      </w:r>
      <w:r>
        <w:rPr>
          <w:rFonts w:eastAsia="Times New Roman" w:cs="Times New Roman"/>
          <w:color w:val="000000"/>
          <w:szCs w:val="24"/>
        </w:rPr>
        <w:t xml:space="preserve"> the epiphytic habitat where access to soil is limited. Thus, ant-derived inputs can </w:t>
      </w:r>
      <w:r w:rsidR="00F959D0">
        <w:rPr>
          <w:rFonts w:eastAsia="Times New Roman" w:cs="Times New Roman"/>
          <w:color w:val="000000"/>
          <w:szCs w:val="24"/>
        </w:rPr>
        <w:t>represent a</w:t>
      </w:r>
      <w:r>
        <w:rPr>
          <w:rFonts w:eastAsia="Times New Roman" w:cs="Times New Roman"/>
          <w:color w:val="000000"/>
          <w:szCs w:val="24"/>
        </w:rPr>
        <w:t xml:space="preserve"> major nitrogen source, and experimental evidence indicates that plants can </w:t>
      </w:r>
      <w:r w:rsidR="00F959D0">
        <w:rPr>
          <w:rFonts w:eastAsia="Times New Roman" w:cs="Times New Roman"/>
          <w:color w:val="000000"/>
          <w:szCs w:val="24"/>
        </w:rPr>
        <w:t>incorporate nitrogen</w:t>
      </w:r>
      <w:r>
        <w:rPr>
          <w:rFonts w:eastAsia="Times New Roman" w:cs="Times New Roman"/>
          <w:color w:val="000000"/>
          <w:szCs w:val="24"/>
        </w:rPr>
        <w:t xml:space="preserve"> originating from their inhabitants in their natural environment (Huxley, </w:t>
      </w:r>
      <w:r w:rsidR="00F959D0">
        <w:rPr>
          <w:rFonts w:eastAsia="Times New Roman" w:cs="Times New Roman"/>
          <w:color w:val="000000"/>
          <w:szCs w:val="24"/>
        </w:rPr>
        <w:t>1978; Chomicki</w:t>
      </w:r>
      <w:r>
        <w:rPr>
          <w:rFonts w:eastAsia="Times New Roman" w:cs="Times New Roman"/>
          <w:color w:val="000000"/>
          <w:szCs w:val="24"/>
        </w:rPr>
        <w:t xml:space="preserve"> and Renner, 2019; Volp, et al. 2022). Inside the domatium, chamber morphology </w:t>
      </w:r>
      <w:r w:rsidR="00F959D0">
        <w:rPr>
          <w:rFonts w:eastAsia="Times New Roman" w:cs="Times New Roman"/>
          <w:color w:val="000000"/>
          <w:szCs w:val="24"/>
        </w:rPr>
        <w:t>is functionally</w:t>
      </w:r>
      <w:r>
        <w:rPr>
          <w:rFonts w:eastAsia="Times New Roman" w:cs="Times New Roman"/>
          <w:color w:val="000000"/>
          <w:szCs w:val="24"/>
        </w:rPr>
        <w:t xml:space="preserve"> differentiated, with smooth-walled chambers typically used for the brood, and </w:t>
      </w:r>
      <w:r w:rsidR="00F959D0">
        <w:rPr>
          <w:rFonts w:eastAsia="Times New Roman" w:cs="Times New Roman"/>
          <w:color w:val="000000"/>
          <w:szCs w:val="24"/>
        </w:rPr>
        <w:t>darker, rough</w:t>
      </w:r>
      <w:r>
        <w:rPr>
          <w:rFonts w:eastAsia="Times New Roman" w:cs="Times New Roman"/>
          <w:color w:val="000000"/>
          <w:szCs w:val="24"/>
        </w:rPr>
        <w:t xml:space="preserve">-walled chambers are frequently used as “waste chambers” where ants deposit debris </w:t>
      </w:r>
      <w:r w:rsidR="00F959D0">
        <w:rPr>
          <w:rFonts w:eastAsia="Times New Roman" w:cs="Times New Roman"/>
          <w:color w:val="000000"/>
          <w:szCs w:val="24"/>
        </w:rPr>
        <w:t>and excreta</w:t>
      </w:r>
      <w:r>
        <w:rPr>
          <w:rFonts w:eastAsia="Times New Roman" w:cs="Times New Roman"/>
          <w:color w:val="000000"/>
          <w:szCs w:val="24"/>
        </w:rPr>
        <w:t xml:space="preserve"> (Huxley, 1978). However, this differentiation is only complete in obligate ant-</w:t>
      </w:r>
      <w:r w:rsidR="00F959D0">
        <w:rPr>
          <w:rFonts w:eastAsia="Times New Roman" w:cs="Times New Roman"/>
          <w:color w:val="000000"/>
          <w:szCs w:val="24"/>
        </w:rPr>
        <w:t>plants that</w:t>
      </w:r>
      <w:r>
        <w:rPr>
          <w:rFonts w:eastAsia="Times New Roman" w:cs="Times New Roman"/>
          <w:color w:val="000000"/>
          <w:szCs w:val="24"/>
        </w:rPr>
        <w:t xml:space="preserve"> form speciali</w:t>
      </w:r>
      <w:r w:rsidR="00516242">
        <w:rPr>
          <w:rFonts w:eastAsia="Times New Roman" w:cs="Times New Roman"/>
          <w:color w:val="000000"/>
          <w:szCs w:val="24"/>
        </w:rPr>
        <w:t>s</w:t>
      </w:r>
      <w:r>
        <w:rPr>
          <w:rFonts w:eastAsia="Times New Roman" w:cs="Times New Roman"/>
          <w:color w:val="000000"/>
          <w:szCs w:val="24"/>
        </w:rPr>
        <w:t xml:space="preserve">ed mutualistic symbioses with Dolichoderinae ants from the genera </w:t>
      </w:r>
      <w:proofErr w:type="spellStart"/>
      <w:r>
        <w:rPr>
          <w:rFonts w:eastAsia="Times New Roman" w:cs="Times New Roman"/>
          <w:i/>
          <w:iCs/>
          <w:color w:val="000000"/>
          <w:szCs w:val="24"/>
        </w:rPr>
        <w:t>Philidris</w:t>
      </w:r>
      <w:proofErr w:type="spellEnd"/>
      <w:r>
        <w:rPr>
          <w:rFonts w:eastAsia="Times New Roman" w:cs="Times New Roman"/>
          <w:i/>
          <w:iCs/>
          <w:color w:val="000000"/>
          <w:szCs w:val="24"/>
        </w:rPr>
        <w:t xml:space="preserve"> </w:t>
      </w:r>
      <w:r>
        <w:rPr>
          <w:rFonts w:eastAsia="Times New Roman" w:cs="Times New Roman"/>
          <w:color w:val="000000"/>
          <w:szCs w:val="24"/>
        </w:rPr>
        <w:t xml:space="preserve">and </w:t>
      </w:r>
      <w:proofErr w:type="spellStart"/>
      <w:r>
        <w:rPr>
          <w:rFonts w:eastAsia="Times New Roman" w:cs="Times New Roman"/>
          <w:i/>
          <w:iCs/>
          <w:color w:val="000000"/>
          <w:szCs w:val="24"/>
        </w:rPr>
        <w:t>Anonychomyrma</w:t>
      </w:r>
      <w:proofErr w:type="spellEnd"/>
      <w:r>
        <w:rPr>
          <w:rFonts w:eastAsia="Times New Roman" w:cs="Times New Roman"/>
          <w:i/>
          <w:iCs/>
          <w:color w:val="000000"/>
          <w:szCs w:val="24"/>
        </w:rPr>
        <w:t xml:space="preserve"> </w:t>
      </w:r>
      <w:r>
        <w:rPr>
          <w:rFonts w:eastAsia="Times New Roman" w:cs="Times New Roman"/>
          <w:color w:val="000000"/>
          <w:szCs w:val="24"/>
        </w:rPr>
        <w:t xml:space="preserve">(Chomicki and Renner, 2019). Across the </w:t>
      </w:r>
      <w:proofErr w:type="spellStart"/>
      <w:r>
        <w:rPr>
          <w:rFonts w:eastAsia="Times New Roman" w:cs="Times New Roman"/>
          <w:color w:val="000000"/>
          <w:szCs w:val="24"/>
        </w:rPr>
        <w:t>Hydnophytinae</w:t>
      </w:r>
      <w:proofErr w:type="spellEnd"/>
      <w:r>
        <w:rPr>
          <w:rFonts w:eastAsia="Times New Roman" w:cs="Times New Roman"/>
          <w:color w:val="000000"/>
          <w:szCs w:val="24"/>
        </w:rPr>
        <w:t>, evolutionary transitions among mutualistic strategies – generalist associations, speciali</w:t>
      </w:r>
      <w:r w:rsidR="00CC1069">
        <w:rPr>
          <w:rFonts w:eastAsia="Times New Roman" w:cs="Times New Roman"/>
          <w:color w:val="000000"/>
          <w:szCs w:val="24"/>
        </w:rPr>
        <w:t>s</w:t>
      </w:r>
      <w:r>
        <w:rPr>
          <w:rFonts w:eastAsia="Times New Roman" w:cs="Times New Roman"/>
          <w:color w:val="000000"/>
          <w:szCs w:val="24"/>
        </w:rPr>
        <w:t xml:space="preserve">ed associations, </w:t>
      </w:r>
      <w:r w:rsidR="00F959D0">
        <w:rPr>
          <w:rFonts w:eastAsia="Times New Roman" w:cs="Times New Roman"/>
          <w:color w:val="000000"/>
          <w:szCs w:val="24"/>
        </w:rPr>
        <w:t>and autonomy</w:t>
      </w:r>
      <w:r>
        <w:rPr>
          <w:rFonts w:eastAsia="Times New Roman" w:cs="Times New Roman"/>
          <w:color w:val="000000"/>
          <w:szCs w:val="24"/>
        </w:rPr>
        <w:t xml:space="preserve"> – have occurred repeatedly, and mutualism breakdown is linked to </w:t>
      </w:r>
      <w:r w:rsidR="00F959D0">
        <w:rPr>
          <w:rFonts w:eastAsia="Times New Roman" w:cs="Times New Roman"/>
          <w:color w:val="000000"/>
          <w:szCs w:val="24"/>
        </w:rPr>
        <w:t>ecological contexts</w:t>
      </w:r>
      <w:r>
        <w:rPr>
          <w:rFonts w:eastAsia="Times New Roman" w:cs="Times New Roman"/>
          <w:color w:val="000000"/>
          <w:szCs w:val="24"/>
        </w:rPr>
        <w:t xml:space="preserve"> in which effective ant partners are rare (Chomicki and Renner, 2015; Chomicki and Renner, 2017). This natural variation makes </w:t>
      </w:r>
      <w:proofErr w:type="spellStart"/>
      <w:r>
        <w:rPr>
          <w:rFonts w:eastAsia="Times New Roman" w:cs="Times New Roman"/>
          <w:color w:val="000000"/>
          <w:szCs w:val="24"/>
        </w:rPr>
        <w:t>Hydnophytinae</w:t>
      </w:r>
      <w:proofErr w:type="spellEnd"/>
      <w:r>
        <w:rPr>
          <w:rFonts w:eastAsia="Times New Roman" w:cs="Times New Roman"/>
          <w:color w:val="000000"/>
          <w:szCs w:val="24"/>
        </w:rPr>
        <w:t xml:space="preserve"> a strong </w:t>
      </w:r>
      <w:r>
        <w:rPr>
          <w:rFonts w:eastAsia="Times New Roman" w:cs="Times New Roman"/>
          <w:color w:val="000000"/>
          <w:szCs w:val="24"/>
        </w:rPr>
        <w:lastRenderedPageBreak/>
        <w:t xml:space="preserve">comparative framework for identifying the genomic and regulatory features associated with ecological dependence. </w:t>
      </w:r>
    </w:p>
    <w:p w14:paraId="000000B9" w14:textId="652222C0" w:rsidR="00E420E3" w:rsidRDefault="00784769" w:rsidP="00311255">
      <w:pPr>
        <w:widowControl w:val="0"/>
        <w:pBdr>
          <w:top w:val="nil"/>
          <w:left w:val="nil"/>
          <w:bottom w:val="nil"/>
          <w:right w:val="nil"/>
          <w:between w:val="nil"/>
        </w:pBdr>
        <w:rPr>
          <w:rFonts w:eastAsia="Times New Roman" w:cs="Times New Roman"/>
          <w:color w:val="000000"/>
          <w:szCs w:val="24"/>
        </w:rPr>
      </w:pPr>
      <w:r w:rsidRPr="00453AF7">
        <w:rPr>
          <w:rFonts w:eastAsia="Times New Roman" w:cs="Times New Roman"/>
          <w:szCs w:val="24"/>
        </w:rPr>
        <w:t xml:space="preserve">The patterns of nutrient release (the frequency and location of ant waste deposition) are fundamentally defined by the level of dependence within the symbiosis. In obligate farming symbioses, the relationship is highly specialised and predictable; specialised ant partners actively deposit waste products directly onto </w:t>
      </w:r>
      <w:r w:rsidR="00E02125" w:rsidRPr="00453AF7">
        <w:rPr>
          <w:rFonts w:eastAsia="Times New Roman" w:cs="Times New Roman"/>
          <w:szCs w:val="24"/>
        </w:rPr>
        <w:t>hyper absorptive</w:t>
      </w:r>
      <w:r w:rsidRPr="00453AF7">
        <w:rPr>
          <w:rFonts w:eastAsia="Times New Roman" w:cs="Times New Roman"/>
          <w:szCs w:val="24"/>
        </w:rPr>
        <w:t xml:space="preserve"> warty tissues located within the plant's domatia, resulting in a consistent and targeted pattern of nutrient release that provides the plant with a reliable supply of nitrogen (Chomicki and Renner, 2016, 2019). In contrast, facultative symbioses involve generalist ants that lack these targeted deposition behaviours. In these systems, the pattern of nutrient provisioning is spatially and temporally inconsistent, as it relies on the sporadic occupancy and irregular waste disposal of the ants. This biological distinction suggests that the level of symbiotic dependence dictates whether a plant utilises a steady or an opportunistic nutrient uptake </w:t>
      </w:r>
      <w:r w:rsidRPr="001D1550">
        <w:rPr>
          <w:rFonts w:eastAsia="Times New Roman" w:cs="Times New Roman"/>
          <w:szCs w:val="24"/>
        </w:rPr>
        <w:t xml:space="preserve">strategy. </w:t>
      </w:r>
      <w:r w:rsidR="008E5528" w:rsidRPr="001D1550">
        <w:rPr>
          <w:rFonts w:eastAsia="Times New Roman" w:cs="Times New Roman"/>
          <w:szCs w:val="24"/>
        </w:rPr>
        <w:t>Specifically</w:t>
      </w:r>
      <w:r w:rsidR="008E5528">
        <w:rPr>
          <w:rFonts w:eastAsia="Times New Roman" w:cs="Times New Roman"/>
          <w:color w:val="000000"/>
          <w:szCs w:val="24"/>
        </w:rPr>
        <w:t xml:space="preserve">, the morphological and physiological differences of obligate versus facultative </w:t>
      </w:r>
      <w:proofErr w:type="spellStart"/>
      <w:r w:rsidR="008E5528">
        <w:rPr>
          <w:rFonts w:eastAsia="Times New Roman" w:cs="Times New Roman"/>
          <w:color w:val="000000"/>
          <w:szCs w:val="24"/>
        </w:rPr>
        <w:t>Hydnophytinae</w:t>
      </w:r>
      <w:proofErr w:type="spellEnd"/>
      <w:r w:rsidR="008E5528">
        <w:rPr>
          <w:rFonts w:eastAsia="Times New Roman" w:cs="Times New Roman"/>
          <w:color w:val="000000"/>
          <w:szCs w:val="24"/>
        </w:rPr>
        <w:t xml:space="preserve"> inner domatium walls suggests distinct molecular behaviour of nutrient-related genes. The consistent release of nutrients exclusively in warty-wall cavities (Chomicki and Renner, 2019) could be associated with constitutive expression of the nutrient uptake toolkit, while the spatial and temporal variation in the nutrient provisioning inside the domatia </w:t>
      </w:r>
      <w:r w:rsidR="00F959D0">
        <w:rPr>
          <w:rFonts w:eastAsia="Times New Roman" w:cs="Times New Roman"/>
          <w:color w:val="000000"/>
          <w:szCs w:val="24"/>
        </w:rPr>
        <w:t>of facultative</w:t>
      </w:r>
      <w:r w:rsidR="008E5528">
        <w:rPr>
          <w:rFonts w:eastAsia="Times New Roman" w:cs="Times New Roman"/>
          <w:color w:val="000000"/>
          <w:szCs w:val="24"/>
        </w:rPr>
        <w:t xml:space="preserve"> ant plants could be associated with inducible expression. </w:t>
      </w:r>
    </w:p>
    <w:p w14:paraId="000000BA" w14:textId="61B74AD2" w:rsidR="00E420E3" w:rsidRDefault="008E5528" w:rsidP="00CC1069">
      <w:pPr>
        <w:widowControl w:val="0"/>
        <w:pBdr>
          <w:top w:val="nil"/>
          <w:left w:val="nil"/>
          <w:bottom w:val="nil"/>
          <w:right w:val="nil"/>
          <w:between w:val="nil"/>
        </w:pBdr>
        <w:ind w:firstLine="4"/>
        <w:rPr>
          <w:rFonts w:eastAsia="Times New Roman" w:cs="Times New Roman"/>
          <w:color w:val="000000"/>
          <w:szCs w:val="24"/>
        </w:rPr>
      </w:pPr>
      <w:r>
        <w:rPr>
          <w:rFonts w:eastAsia="Times New Roman" w:cs="Times New Roman"/>
          <w:color w:val="000000"/>
          <w:szCs w:val="24"/>
        </w:rPr>
        <w:t xml:space="preserve">Robust inference about gene content and regulation depends on genomic resources. For </w:t>
      </w:r>
      <w:r w:rsidR="00F959D0">
        <w:rPr>
          <w:rFonts w:eastAsia="Times New Roman" w:cs="Times New Roman"/>
          <w:color w:val="000000"/>
          <w:szCs w:val="24"/>
        </w:rPr>
        <w:t>non-model</w:t>
      </w:r>
      <w:r>
        <w:rPr>
          <w:rFonts w:eastAsia="Times New Roman" w:cs="Times New Roman"/>
          <w:color w:val="000000"/>
          <w:szCs w:val="24"/>
        </w:rPr>
        <w:t xml:space="preserve"> plants, </w:t>
      </w:r>
      <w:r>
        <w:rPr>
          <w:rFonts w:eastAsia="Times New Roman" w:cs="Times New Roman"/>
          <w:i/>
          <w:iCs/>
          <w:color w:val="000000"/>
          <w:szCs w:val="24"/>
        </w:rPr>
        <w:t xml:space="preserve">de novo </w:t>
      </w:r>
      <w:r>
        <w:rPr>
          <w:rFonts w:eastAsia="Times New Roman" w:cs="Times New Roman"/>
          <w:color w:val="000000"/>
          <w:szCs w:val="24"/>
        </w:rPr>
        <w:t>reference genomes provide the scaffold needed to (</w:t>
      </w:r>
      <w:proofErr w:type="spellStart"/>
      <w:r>
        <w:rPr>
          <w:rFonts w:eastAsia="Times New Roman" w:cs="Times New Roman"/>
          <w:color w:val="000000"/>
          <w:szCs w:val="24"/>
        </w:rPr>
        <w:t>i</w:t>
      </w:r>
      <w:proofErr w:type="spellEnd"/>
      <w:r>
        <w:rPr>
          <w:rFonts w:eastAsia="Times New Roman" w:cs="Times New Roman"/>
          <w:color w:val="000000"/>
          <w:szCs w:val="24"/>
        </w:rPr>
        <w:t xml:space="preserve">) </w:t>
      </w:r>
      <w:r w:rsidR="00453AF7">
        <w:rPr>
          <w:rFonts w:eastAsia="Times New Roman" w:cs="Times New Roman"/>
          <w:color w:val="000000"/>
          <w:szCs w:val="24"/>
        </w:rPr>
        <w:t>anchor transcriptomic</w:t>
      </w:r>
      <w:r>
        <w:rPr>
          <w:rFonts w:eastAsia="Times New Roman" w:cs="Times New Roman"/>
          <w:color w:val="000000"/>
          <w:szCs w:val="24"/>
        </w:rPr>
        <w:t xml:space="preserve"> analyses to well-supported gene models, (ii) distinguish true copy-</w:t>
      </w:r>
      <w:r w:rsidR="00453AF7">
        <w:rPr>
          <w:rFonts w:eastAsia="Times New Roman" w:cs="Times New Roman"/>
          <w:color w:val="000000"/>
          <w:szCs w:val="24"/>
        </w:rPr>
        <w:t>number differences</w:t>
      </w:r>
      <w:r>
        <w:rPr>
          <w:rFonts w:eastAsia="Times New Roman" w:cs="Times New Roman"/>
          <w:color w:val="000000"/>
          <w:szCs w:val="24"/>
        </w:rPr>
        <w:t xml:space="preserve"> from assembly artefacts, and (iii) enable orthology-based comparisons across </w:t>
      </w:r>
      <w:r w:rsidR="00453AF7">
        <w:rPr>
          <w:rFonts w:eastAsia="Times New Roman" w:cs="Times New Roman"/>
          <w:color w:val="000000"/>
          <w:szCs w:val="24"/>
        </w:rPr>
        <w:t>taxa (</w:t>
      </w:r>
      <w:r>
        <w:rPr>
          <w:rFonts w:eastAsia="Times New Roman" w:cs="Times New Roman"/>
          <w:color w:val="000000"/>
          <w:szCs w:val="24"/>
        </w:rPr>
        <w:t xml:space="preserve">Rhoads and Au, 2015; Cheng et al., 2021). Long-read sequencing has been </w:t>
      </w:r>
      <w:r w:rsidR="00F959D0">
        <w:rPr>
          <w:rFonts w:eastAsia="Times New Roman" w:cs="Times New Roman"/>
          <w:color w:val="000000"/>
          <w:szCs w:val="24"/>
        </w:rPr>
        <w:t>particularly transformative</w:t>
      </w:r>
      <w:r>
        <w:rPr>
          <w:rFonts w:eastAsia="Times New Roman" w:cs="Times New Roman"/>
          <w:color w:val="000000"/>
          <w:szCs w:val="24"/>
        </w:rPr>
        <w:t xml:space="preserve"> for plant genomes because it improves assembly contiguity across repeats </w:t>
      </w:r>
      <w:r w:rsidR="00CC5260">
        <w:rPr>
          <w:rFonts w:eastAsia="Times New Roman" w:cs="Times New Roman"/>
          <w:color w:val="000000"/>
          <w:szCs w:val="24"/>
        </w:rPr>
        <w:t>and complex</w:t>
      </w:r>
      <w:r>
        <w:rPr>
          <w:rFonts w:eastAsia="Times New Roman" w:cs="Times New Roman"/>
          <w:color w:val="000000"/>
          <w:szCs w:val="24"/>
        </w:rPr>
        <w:t xml:space="preserve"> regions and supports haplotype-aware assembly approaches that are essential </w:t>
      </w:r>
      <w:r w:rsidR="00CC5260">
        <w:rPr>
          <w:rFonts w:eastAsia="Times New Roman" w:cs="Times New Roman"/>
          <w:color w:val="000000"/>
          <w:szCs w:val="24"/>
        </w:rPr>
        <w:t>when heterozygosity</w:t>
      </w:r>
      <w:r>
        <w:rPr>
          <w:rFonts w:eastAsia="Times New Roman" w:cs="Times New Roman"/>
          <w:color w:val="000000"/>
          <w:szCs w:val="24"/>
        </w:rPr>
        <w:t xml:space="preserve"> or polyploidy complicate short-read assemblies (Rhoads and Au, 2015; </w:t>
      </w:r>
      <w:r w:rsidR="00CC5260">
        <w:rPr>
          <w:rFonts w:eastAsia="Times New Roman" w:cs="Times New Roman"/>
          <w:color w:val="000000"/>
          <w:szCs w:val="24"/>
        </w:rPr>
        <w:t>Cheng et al.</w:t>
      </w:r>
      <w:r>
        <w:rPr>
          <w:rFonts w:eastAsia="Times New Roman" w:cs="Times New Roman"/>
          <w:color w:val="000000"/>
          <w:szCs w:val="24"/>
        </w:rPr>
        <w:t xml:space="preserve">, 2021). At the same time, long-read assemblies of such genomes can retain </w:t>
      </w:r>
      <w:r w:rsidR="00F959D0">
        <w:rPr>
          <w:rFonts w:eastAsia="Times New Roman" w:cs="Times New Roman"/>
          <w:color w:val="000000"/>
          <w:szCs w:val="24"/>
        </w:rPr>
        <w:t>redundant haplotypes</w:t>
      </w:r>
      <w:r>
        <w:rPr>
          <w:rFonts w:eastAsia="Times New Roman" w:cs="Times New Roman"/>
          <w:color w:val="000000"/>
          <w:szCs w:val="24"/>
        </w:rPr>
        <w:t xml:space="preserve"> or allelic contigs, making explicit evaluation of assembly completeness </w:t>
      </w:r>
      <w:r w:rsidR="00CC5260">
        <w:rPr>
          <w:rFonts w:eastAsia="Times New Roman" w:cs="Times New Roman"/>
          <w:color w:val="000000"/>
          <w:szCs w:val="24"/>
        </w:rPr>
        <w:t>and redundancy</w:t>
      </w:r>
      <w:r>
        <w:rPr>
          <w:rFonts w:eastAsia="Times New Roman" w:cs="Times New Roman"/>
          <w:color w:val="000000"/>
          <w:szCs w:val="24"/>
        </w:rPr>
        <w:t xml:space="preserve"> a necessary part of resource generation (Simão et al., 2015). Reference-</w:t>
      </w:r>
      <w:r w:rsidR="00CC5260">
        <w:rPr>
          <w:rFonts w:eastAsia="Times New Roman" w:cs="Times New Roman"/>
          <w:color w:val="000000"/>
          <w:szCs w:val="24"/>
        </w:rPr>
        <w:t>free profiling</w:t>
      </w:r>
      <w:r>
        <w:rPr>
          <w:rFonts w:eastAsia="Times New Roman" w:cs="Times New Roman"/>
          <w:color w:val="000000"/>
          <w:szCs w:val="24"/>
        </w:rPr>
        <w:t xml:space="preserve"> based on k-</w:t>
      </w:r>
      <w:proofErr w:type="spellStart"/>
      <w:r>
        <w:rPr>
          <w:rFonts w:eastAsia="Times New Roman" w:cs="Times New Roman"/>
          <w:color w:val="000000"/>
          <w:szCs w:val="24"/>
        </w:rPr>
        <w:t>mer</w:t>
      </w:r>
      <w:proofErr w:type="spellEnd"/>
      <w:r>
        <w:rPr>
          <w:rFonts w:eastAsia="Times New Roman" w:cs="Times New Roman"/>
          <w:color w:val="000000"/>
          <w:szCs w:val="24"/>
        </w:rPr>
        <w:t xml:space="preserve"> spectra provides a complementary route to infer genome </w:t>
      </w:r>
      <w:r w:rsidR="00CC5260">
        <w:rPr>
          <w:rFonts w:eastAsia="Times New Roman" w:cs="Times New Roman"/>
          <w:color w:val="000000"/>
          <w:szCs w:val="24"/>
        </w:rPr>
        <w:t>properties such</w:t>
      </w:r>
      <w:r>
        <w:rPr>
          <w:rFonts w:eastAsia="Times New Roman" w:cs="Times New Roman"/>
          <w:color w:val="000000"/>
          <w:szCs w:val="24"/>
        </w:rPr>
        <w:t xml:space="preserve"> as heterozygosity and ploidy structure, which directly inform assembly strategy </w:t>
      </w:r>
      <w:r w:rsidR="00CC5260">
        <w:rPr>
          <w:rFonts w:eastAsia="Times New Roman" w:cs="Times New Roman"/>
          <w:color w:val="000000"/>
          <w:szCs w:val="24"/>
        </w:rPr>
        <w:t>and interpretation</w:t>
      </w:r>
      <w:r>
        <w:rPr>
          <w:rFonts w:eastAsia="Times New Roman" w:cs="Times New Roman"/>
          <w:color w:val="000000"/>
          <w:szCs w:val="24"/>
        </w:rPr>
        <w:t xml:space="preserve"> (Ranallo-Benavidez et al., 2020). </w:t>
      </w:r>
    </w:p>
    <w:p w14:paraId="000000BB" w14:textId="3256DFE1" w:rsidR="00E420E3" w:rsidRDefault="008E5528" w:rsidP="00CC1069">
      <w:pPr>
        <w:widowControl w:val="0"/>
        <w:pBdr>
          <w:top w:val="nil"/>
          <w:left w:val="nil"/>
          <w:bottom w:val="nil"/>
          <w:right w:val="nil"/>
          <w:between w:val="nil"/>
        </w:pBdr>
        <w:ind w:firstLine="11"/>
        <w:rPr>
          <w:rFonts w:eastAsia="Times New Roman" w:cs="Times New Roman"/>
          <w:color w:val="000000"/>
          <w:szCs w:val="24"/>
        </w:rPr>
      </w:pPr>
      <w:r>
        <w:rPr>
          <w:rFonts w:eastAsia="Times New Roman" w:cs="Times New Roman"/>
          <w:color w:val="000000"/>
          <w:szCs w:val="24"/>
        </w:rPr>
        <w:lastRenderedPageBreak/>
        <w:t xml:space="preserve">In this chapter, we generate and describe high-contiguity long-read genome assemblies </w:t>
      </w:r>
      <w:r w:rsidR="00CC5260">
        <w:rPr>
          <w:rFonts w:eastAsia="Times New Roman" w:cs="Times New Roman"/>
          <w:color w:val="000000"/>
          <w:szCs w:val="24"/>
        </w:rPr>
        <w:t>and annotations</w:t>
      </w:r>
      <w:r>
        <w:rPr>
          <w:rFonts w:eastAsia="Times New Roman" w:cs="Times New Roman"/>
          <w:color w:val="000000"/>
          <w:szCs w:val="24"/>
        </w:rPr>
        <w:t xml:space="preserve"> for two closely related </w:t>
      </w:r>
      <w:proofErr w:type="spellStart"/>
      <w:r>
        <w:rPr>
          <w:rFonts w:eastAsia="Times New Roman" w:cs="Times New Roman"/>
          <w:color w:val="000000"/>
          <w:szCs w:val="24"/>
        </w:rPr>
        <w:t>Hydnophytinae</w:t>
      </w:r>
      <w:proofErr w:type="spellEnd"/>
      <w:r>
        <w:rPr>
          <w:rFonts w:eastAsia="Times New Roman" w:cs="Times New Roman"/>
          <w:color w:val="000000"/>
          <w:szCs w:val="24"/>
        </w:rPr>
        <w:t xml:space="preserve"> ant-plants, the generalist and </w:t>
      </w:r>
      <w:r w:rsidR="00CC5260">
        <w:rPr>
          <w:rFonts w:eastAsia="Times New Roman" w:cs="Times New Roman"/>
          <w:color w:val="000000"/>
          <w:szCs w:val="24"/>
        </w:rPr>
        <w:t xml:space="preserve">facultative </w:t>
      </w:r>
      <w:proofErr w:type="spellStart"/>
      <w:r w:rsidR="00CC5260">
        <w:rPr>
          <w:rFonts w:eastAsia="Times New Roman" w:cs="Times New Roman"/>
          <w:color w:val="000000"/>
          <w:szCs w:val="24"/>
        </w:rPr>
        <w:t>Hydnophytum</w:t>
      </w:r>
      <w:proofErr w:type="spellEnd"/>
      <w:r>
        <w:rPr>
          <w:rFonts w:eastAsia="Times New Roman" w:cs="Times New Roman"/>
          <w:i/>
          <w:iCs/>
          <w:color w:val="000000"/>
          <w:szCs w:val="24"/>
        </w:rPr>
        <w:t xml:space="preserve"> </w:t>
      </w:r>
      <w:proofErr w:type="spellStart"/>
      <w:r>
        <w:rPr>
          <w:rFonts w:eastAsia="Times New Roman" w:cs="Times New Roman"/>
          <w:i/>
          <w:iCs/>
          <w:color w:val="000000"/>
          <w:szCs w:val="24"/>
        </w:rPr>
        <w:t>moseleyanum</w:t>
      </w:r>
      <w:proofErr w:type="spellEnd"/>
      <w:r>
        <w:rPr>
          <w:rFonts w:eastAsia="Times New Roman" w:cs="Times New Roman"/>
          <w:i/>
          <w:iCs/>
          <w:color w:val="000000"/>
          <w:szCs w:val="24"/>
        </w:rPr>
        <w:t xml:space="preserve"> </w:t>
      </w:r>
      <w:r>
        <w:rPr>
          <w:rFonts w:eastAsia="Times New Roman" w:cs="Times New Roman"/>
          <w:color w:val="000000"/>
          <w:szCs w:val="24"/>
        </w:rPr>
        <w:t xml:space="preserve">and the obligate </w:t>
      </w:r>
      <w:proofErr w:type="spellStart"/>
      <w:r>
        <w:rPr>
          <w:rFonts w:eastAsia="Times New Roman" w:cs="Times New Roman"/>
          <w:i/>
          <w:iCs/>
          <w:color w:val="000000"/>
          <w:szCs w:val="24"/>
        </w:rPr>
        <w:t>Myrmecodia</w:t>
      </w:r>
      <w:proofErr w:type="spellEnd"/>
      <w:r>
        <w:rPr>
          <w:rFonts w:eastAsia="Times New Roman" w:cs="Times New Roman"/>
          <w:i/>
          <w:iCs/>
          <w:color w:val="000000"/>
          <w:szCs w:val="24"/>
        </w:rPr>
        <w:t xml:space="preserve"> </w:t>
      </w:r>
      <w:proofErr w:type="spellStart"/>
      <w:r>
        <w:rPr>
          <w:rFonts w:eastAsia="Times New Roman" w:cs="Times New Roman"/>
          <w:i/>
          <w:iCs/>
          <w:color w:val="000000"/>
          <w:szCs w:val="24"/>
        </w:rPr>
        <w:t>beccarii</w:t>
      </w:r>
      <w:proofErr w:type="spellEnd"/>
      <w:r>
        <w:rPr>
          <w:rFonts w:eastAsia="Times New Roman" w:cs="Times New Roman"/>
          <w:i/>
          <w:iCs/>
          <w:color w:val="000000"/>
          <w:szCs w:val="24"/>
        </w:rPr>
        <w:t xml:space="preserve"> </w:t>
      </w:r>
      <w:r>
        <w:rPr>
          <w:rFonts w:eastAsia="Times New Roman" w:cs="Times New Roman"/>
          <w:color w:val="000000"/>
          <w:szCs w:val="24"/>
        </w:rPr>
        <w:t xml:space="preserve">and plants. The </w:t>
      </w:r>
      <w:r w:rsidR="00CC5260">
        <w:rPr>
          <w:rFonts w:eastAsia="Times New Roman" w:cs="Times New Roman"/>
          <w:color w:val="000000"/>
          <w:szCs w:val="24"/>
        </w:rPr>
        <w:t>core objective</w:t>
      </w:r>
      <w:r>
        <w:rPr>
          <w:rFonts w:eastAsia="Times New Roman" w:cs="Times New Roman"/>
          <w:color w:val="000000"/>
          <w:szCs w:val="24"/>
        </w:rPr>
        <w:t xml:space="preserve"> of this chapter is to establish a reliable genomic foundation that can </w:t>
      </w:r>
      <w:r w:rsidR="00654784">
        <w:rPr>
          <w:rFonts w:eastAsia="Times New Roman" w:cs="Times New Roman"/>
          <w:color w:val="000000"/>
          <w:szCs w:val="24"/>
        </w:rPr>
        <w:t>support downstream</w:t>
      </w:r>
      <w:r>
        <w:rPr>
          <w:rFonts w:eastAsia="Times New Roman" w:cs="Times New Roman"/>
          <w:color w:val="000000"/>
          <w:szCs w:val="24"/>
        </w:rPr>
        <w:t xml:space="preserve"> analyses of ant-responsive transcriptional programmes and nutrient physiology </w:t>
      </w:r>
      <w:r w:rsidR="00654784">
        <w:rPr>
          <w:rFonts w:eastAsia="Times New Roman" w:cs="Times New Roman"/>
          <w:color w:val="000000"/>
          <w:szCs w:val="24"/>
        </w:rPr>
        <w:t>in the</w:t>
      </w:r>
      <w:r>
        <w:rPr>
          <w:rFonts w:eastAsia="Times New Roman" w:cs="Times New Roman"/>
          <w:color w:val="000000"/>
          <w:szCs w:val="24"/>
        </w:rPr>
        <w:t xml:space="preserve"> subsequent Chapters. The resulting assemblies, gene models, and functional </w:t>
      </w:r>
      <w:r w:rsidR="00CC5260">
        <w:rPr>
          <w:rFonts w:eastAsia="Times New Roman" w:cs="Times New Roman"/>
          <w:color w:val="000000"/>
          <w:szCs w:val="24"/>
        </w:rPr>
        <w:t>annotations provide</w:t>
      </w:r>
      <w:r>
        <w:rPr>
          <w:rFonts w:eastAsia="Times New Roman" w:cs="Times New Roman"/>
          <w:color w:val="000000"/>
          <w:szCs w:val="24"/>
        </w:rPr>
        <w:t xml:space="preserve"> the essential substrate for the transcriptomic analyses developed later, where </w:t>
      </w:r>
      <w:r w:rsidR="00654784">
        <w:rPr>
          <w:rFonts w:eastAsia="Times New Roman" w:cs="Times New Roman"/>
          <w:color w:val="000000"/>
          <w:szCs w:val="24"/>
        </w:rPr>
        <w:t>questions of</w:t>
      </w:r>
      <w:r>
        <w:rPr>
          <w:rFonts w:eastAsia="Times New Roman" w:cs="Times New Roman"/>
          <w:color w:val="000000"/>
          <w:szCs w:val="24"/>
        </w:rPr>
        <w:t xml:space="preserve"> inducible versus constitutive nutrient-related responses to ant occupation can be tested in </w:t>
      </w:r>
      <w:r w:rsidR="00654784">
        <w:rPr>
          <w:rFonts w:eastAsia="Times New Roman" w:cs="Times New Roman"/>
          <w:color w:val="000000"/>
          <w:szCs w:val="24"/>
        </w:rPr>
        <w:t>a gene</w:t>
      </w:r>
      <w:r>
        <w:rPr>
          <w:rFonts w:eastAsia="Times New Roman" w:cs="Times New Roman"/>
          <w:color w:val="000000"/>
          <w:szCs w:val="24"/>
        </w:rPr>
        <w:t>-aware and orthology-aware framework.</w:t>
      </w:r>
    </w:p>
    <w:p w14:paraId="000000BD" w14:textId="57878904" w:rsidR="00E420E3" w:rsidRDefault="008E5528" w:rsidP="00FA5BE4">
      <w:pPr>
        <w:pStyle w:val="Heading3"/>
      </w:pPr>
      <w:bookmarkStart w:id="15" w:name="_Toc235392963"/>
      <w:r>
        <w:t>2.3 Materials and methods</w:t>
      </w:r>
      <w:bookmarkEnd w:id="15"/>
      <w:r>
        <w:t xml:space="preserve"> </w:t>
      </w:r>
    </w:p>
    <w:p w14:paraId="000000BE" w14:textId="77777777" w:rsidR="00E420E3" w:rsidRPr="00FA5BE4" w:rsidRDefault="008E5528" w:rsidP="00FA5BE4">
      <w:pPr>
        <w:pStyle w:val="Heading4"/>
      </w:pPr>
      <w:bookmarkStart w:id="16" w:name="_Toc235392964"/>
      <w:r w:rsidRPr="00FA5BE4">
        <w:t>2.3.1 Sampling and high molecular weight DNA extraction</w:t>
      </w:r>
      <w:bookmarkEnd w:id="16"/>
      <w:r w:rsidRPr="00FA5BE4">
        <w:t xml:space="preserve"> </w:t>
      </w:r>
    </w:p>
    <w:p w14:paraId="000000BF" w14:textId="6A5292A4" w:rsidR="00E420E3" w:rsidRDefault="008E5528" w:rsidP="00FA5BE4">
      <w:r>
        <w:t xml:space="preserve">The </w:t>
      </w:r>
      <w:proofErr w:type="spellStart"/>
      <w:r>
        <w:t>Macherey</w:t>
      </w:r>
      <w:proofErr w:type="spellEnd"/>
      <w:r>
        <w:t xml:space="preserve">-Nagel </w:t>
      </w:r>
      <w:proofErr w:type="spellStart"/>
      <w:r>
        <w:t>Nucleobond</w:t>
      </w:r>
      <w:proofErr w:type="spellEnd"/>
      <w:r>
        <w:t xml:space="preserve"> HMW DNA Kit was employed for the extraction of </w:t>
      </w:r>
      <w:r w:rsidR="00CC5260">
        <w:t>high molecular</w:t>
      </w:r>
      <w:r>
        <w:t xml:space="preserve"> weight (HMW) DNA from </w:t>
      </w:r>
      <w:proofErr w:type="spellStart"/>
      <w:r>
        <w:rPr>
          <w:i/>
          <w:iCs/>
        </w:rPr>
        <w:t>Hydnophytum</w:t>
      </w:r>
      <w:proofErr w:type="spellEnd"/>
      <w:r>
        <w:rPr>
          <w:i/>
          <w:iCs/>
        </w:rPr>
        <w:t xml:space="preserve"> </w:t>
      </w:r>
      <w:proofErr w:type="spellStart"/>
      <w:r>
        <w:rPr>
          <w:i/>
          <w:iCs/>
        </w:rPr>
        <w:t>moseleyanum</w:t>
      </w:r>
      <w:proofErr w:type="spellEnd"/>
      <w:r>
        <w:rPr>
          <w:i/>
          <w:iCs/>
        </w:rPr>
        <w:t xml:space="preserve"> </w:t>
      </w:r>
      <w:r>
        <w:t xml:space="preserve">and </w:t>
      </w:r>
      <w:proofErr w:type="spellStart"/>
      <w:r>
        <w:rPr>
          <w:i/>
          <w:iCs/>
        </w:rPr>
        <w:t>Myrmecodia</w:t>
      </w:r>
      <w:proofErr w:type="spellEnd"/>
      <w:r>
        <w:rPr>
          <w:i/>
          <w:iCs/>
        </w:rPr>
        <w:t xml:space="preserve"> </w:t>
      </w:r>
      <w:proofErr w:type="spellStart"/>
      <w:r>
        <w:rPr>
          <w:i/>
          <w:iCs/>
        </w:rPr>
        <w:t>beccarii</w:t>
      </w:r>
      <w:proofErr w:type="spellEnd"/>
      <w:r>
        <w:t xml:space="preserve">.  Young leaves were collected and flash-frozen in liquid nitrogen and kept in a -80℃ </w:t>
      </w:r>
      <w:r w:rsidR="00CC5260">
        <w:t>freezer prior</w:t>
      </w:r>
      <w:r>
        <w:t xml:space="preserve"> to extraction. </w:t>
      </w:r>
      <w:r w:rsidRPr="006C7579">
        <w:t>Young leaves were selected to minimise secondary metabolites, maximising nuclear density and ensuring the high-purity HMW DNA required for PacBio HiFi sequencing.</w:t>
      </w:r>
      <w:r w:rsidRPr="006C7579">
        <w:rPr>
          <w:b/>
          <w:bCs/>
          <w:sz w:val="18"/>
          <w:szCs w:val="18"/>
        </w:rPr>
        <w:t xml:space="preserve"> </w:t>
      </w:r>
      <w:r>
        <w:t xml:space="preserve">They were then ground up using a pestle and mortar, prior to DNA extraction.  Quality control assessments, including quantification, purity evaluation, and size </w:t>
      </w:r>
      <w:r w:rsidR="00CC5260">
        <w:t>distribution analysis</w:t>
      </w:r>
      <w:r>
        <w:t xml:space="preserve">, were conducted following the manufacturer’s protocol to ensure the integrity </w:t>
      </w:r>
      <w:r w:rsidR="00654784">
        <w:t>and suitability</w:t>
      </w:r>
      <w:r>
        <w:t xml:space="preserve"> of the extracted DNA for PacBio HiFi sequencing. </w:t>
      </w:r>
    </w:p>
    <w:p w14:paraId="000000C0" w14:textId="77777777" w:rsidR="00E420E3" w:rsidRPr="00FA5BE4" w:rsidRDefault="008E5528" w:rsidP="00FA5BE4">
      <w:pPr>
        <w:pStyle w:val="Heading4"/>
      </w:pPr>
      <w:bookmarkStart w:id="17" w:name="_Toc235392965"/>
      <w:r w:rsidRPr="00FA5BE4">
        <w:t>2.3.2 Genome sequencing</w:t>
      </w:r>
      <w:bookmarkEnd w:id="17"/>
      <w:r w:rsidRPr="00FA5BE4">
        <w:t xml:space="preserve">  </w:t>
      </w:r>
    </w:p>
    <w:p w14:paraId="000000C1" w14:textId="100F5AC2" w:rsidR="00E420E3" w:rsidRDefault="008E5528" w:rsidP="00FA5BE4">
      <w:r>
        <w:t xml:space="preserve">Whole genome sequence data was generated from </w:t>
      </w:r>
      <w:proofErr w:type="spellStart"/>
      <w:r>
        <w:rPr>
          <w:i/>
          <w:iCs/>
        </w:rPr>
        <w:t>Hydnophytum</w:t>
      </w:r>
      <w:proofErr w:type="spellEnd"/>
      <w:r>
        <w:rPr>
          <w:i/>
          <w:iCs/>
        </w:rPr>
        <w:t xml:space="preserve"> </w:t>
      </w:r>
      <w:proofErr w:type="spellStart"/>
      <w:r>
        <w:rPr>
          <w:i/>
          <w:iCs/>
        </w:rPr>
        <w:t>moseleyanum</w:t>
      </w:r>
      <w:proofErr w:type="spellEnd"/>
      <w:r>
        <w:rPr>
          <w:i/>
          <w:iCs/>
        </w:rPr>
        <w:t xml:space="preserve"> </w:t>
      </w:r>
      <w:r w:rsidR="00CC5260">
        <w:t xml:space="preserve">and </w:t>
      </w:r>
      <w:proofErr w:type="spellStart"/>
      <w:r w:rsidR="00CC5260">
        <w:t>Myrmecodia</w:t>
      </w:r>
      <w:proofErr w:type="spellEnd"/>
      <w:r>
        <w:rPr>
          <w:i/>
          <w:iCs/>
        </w:rPr>
        <w:t xml:space="preserve"> </w:t>
      </w:r>
      <w:proofErr w:type="spellStart"/>
      <w:r>
        <w:rPr>
          <w:i/>
          <w:iCs/>
        </w:rPr>
        <w:t>beccarii</w:t>
      </w:r>
      <w:proofErr w:type="spellEnd"/>
      <w:r>
        <w:rPr>
          <w:i/>
          <w:iCs/>
        </w:rPr>
        <w:t xml:space="preserve"> </w:t>
      </w:r>
      <w:r>
        <w:t xml:space="preserve">PacBio High-Fidelity (HiFi) sequencing a cutting-edge DNA </w:t>
      </w:r>
      <w:r w:rsidR="00654784">
        <w:t>sequencing technology</w:t>
      </w:r>
      <w:r>
        <w:t xml:space="preserve"> that leverages Single Molecule, Real-Time (SMRT) sequencing to produce </w:t>
      </w:r>
      <w:r w:rsidR="00654784">
        <w:t>highly accurate</w:t>
      </w:r>
      <w:r>
        <w:t xml:space="preserve"> long reads, known as HiFi reads (Rhoads and Au, 2015). High-molecular-</w:t>
      </w:r>
      <w:r w:rsidR="00CC5260">
        <w:t>weight genomic</w:t>
      </w:r>
      <w:r>
        <w:t xml:space="preserve"> DNA from both species was sequenced using PacBio’s Single Molecule Real-</w:t>
      </w:r>
      <w:r w:rsidR="00654784">
        <w:t>Time (</w:t>
      </w:r>
      <w:r>
        <w:t xml:space="preserve">SMRT) long-read Sequel II platform, with library preparation and sequencing carried at </w:t>
      </w:r>
      <w:r w:rsidR="001501D6">
        <w:t>the Centre</w:t>
      </w:r>
      <w:r>
        <w:t xml:space="preserve"> for Genomic Research, University of Liverpool. Each species was sequenced to </w:t>
      </w:r>
      <w:r w:rsidR="00CC5260">
        <w:t>an approximate</w:t>
      </w:r>
      <w:r>
        <w:t xml:space="preserve"> 40× genome coverage, ensuring comparable depth across taxa for </w:t>
      </w:r>
      <w:r w:rsidR="00654784">
        <w:t>downstream assembly</w:t>
      </w:r>
      <w:r>
        <w:t xml:space="preserve"> and comparative analyses. </w:t>
      </w:r>
    </w:p>
    <w:p w14:paraId="000000C2" w14:textId="77777777" w:rsidR="00E420E3" w:rsidRPr="006C7579" w:rsidRDefault="008E5528" w:rsidP="00FA5BE4">
      <w:pPr>
        <w:pStyle w:val="Heading4"/>
      </w:pPr>
      <w:bookmarkStart w:id="18" w:name="_Toc235392966"/>
      <w:r w:rsidRPr="006C7579">
        <w:lastRenderedPageBreak/>
        <w:t xml:space="preserve">2.3.3 </w:t>
      </w:r>
      <w:r w:rsidRPr="00FA5BE4">
        <w:t>Genome</w:t>
      </w:r>
      <w:r w:rsidRPr="006C7579">
        <w:t xml:space="preserve"> assembly</w:t>
      </w:r>
      <w:bookmarkEnd w:id="18"/>
      <w:r w:rsidRPr="006C7579">
        <w:t xml:space="preserve"> </w:t>
      </w:r>
    </w:p>
    <w:p w14:paraId="000000C6" w14:textId="08DAF28B" w:rsidR="00E420E3" w:rsidRDefault="008E5528" w:rsidP="00FA5BE4">
      <w:r>
        <w:t xml:space="preserve">HiFi were </w:t>
      </w:r>
      <w:r w:rsidRPr="006C7579">
        <w:t>as</w:t>
      </w:r>
      <w:r>
        <w:t xml:space="preserve">sembled using </w:t>
      </w:r>
      <w:proofErr w:type="spellStart"/>
      <w:r>
        <w:t>HiFiASM</w:t>
      </w:r>
      <w:proofErr w:type="spellEnd"/>
      <w:r>
        <w:t xml:space="preserve"> v0.16.1 (Cheng et al., 2021), a haplotype-</w:t>
      </w:r>
      <w:r w:rsidR="00CC5260">
        <w:t>resolved assembler</w:t>
      </w:r>
      <w:r>
        <w:t xml:space="preserve"> optimi</w:t>
      </w:r>
      <w:r w:rsidR="00516242">
        <w:t>s</w:t>
      </w:r>
      <w:r>
        <w:t xml:space="preserve">ed for accurate long-read data. Genome contamination was assessed </w:t>
      </w:r>
      <w:r w:rsidR="00CC5260">
        <w:t>based on</w:t>
      </w:r>
      <w:r>
        <w:t xml:space="preserve"> blobtoolkit2/3.1.6 (Challis et al., 2020). Assembly contiguity was summarised </w:t>
      </w:r>
      <w:r w:rsidR="00CC5260">
        <w:t>using standard</w:t>
      </w:r>
      <w:r>
        <w:t xml:space="preserve"> metrics (contig N50 and contig counts). Raw sequencing reads were processed </w:t>
      </w:r>
      <w:r w:rsidR="00CC5260">
        <w:t>and assembled</w:t>
      </w:r>
      <w:r>
        <w:t xml:space="preserve"> using the --n-hap 4 parameter for </w:t>
      </w:r>
      <w:r>
        <w:rPr>
          <w:i/>
          <w:iCs/>
        </w:rPr>
        <w:t xml:space="preserve">H. </w:t>
      </w:r>
      <w:proofErr w:type="spellStart"/>
      <w:r>
        <w:rPr>
          <w:i/>
          <w:iCs/>
        </w:rPr>
        <w:t>moseleyanum</w:t>
      </w:r>
      <w:proofErr w:type="spellEnd"/>
      <w:r>
        <w:rPr>
          <w:i/>
          <w:iCs/>
        </w:rPr>
        <w:t xml:space="preserve"> </w:t>
      </w:r>
      <w:r>
        <w:t xml:space="preserve">and --n-hap 2 parameter for </w:t>
      </w:r>
      <w:r>
        <w:rPr>
          <w:i/>
          <w:iCs/>
        </w:rPr>
        <w:t xml:space="preserve">M.  </w:t>
      </w:r>
      <w:proofErr w:type="spellStart"/>
      <w:r>
        <w:rPr>
          <w:i/>
          <w:iCs/>
        </w:rPr>
        <w:t>beccarii</w:t>
      </w:r>
      <w:proofErr w:type="spellEnd"/>
      <w:r>
        <w:rPr>
          <w:i/>
          <w:iCs/>
        </w:rPr>
        <w:t xml:space="preserve"> </w:t>
      </w:r>
      <w:r>
        <w:t xml:space="preserve">provided by the software developers, to account for differences in ploidy between </w:t>
      </w:r>
      <w:r>
        <w:rPr>
          <w:i/>
          <w:iCs/>
        </w:rPr>
        <w:t xml:space="preserve">H.  </w:t>
      </w:r>
      <w:proofErr w:type="spellStart"/>
      <w:r>
        <w:rPr>
          <w:i/>
          <w:iCs/>
        </w:rPr>
        <w:t>moseleyanum</w:t>
      </w:r>
      <w:proofErr w:type="spellEnd"/>
      <w:r>
        <w:rPr>
          <w:i/>
          <w:iCs/>
        </w:rPr>
        <w:t xml:space="preserve"> </w:t>
      </w:r>
      <w:r>
        <w:t xml:space="preserve">and </w:t>
      </w:r>
      <w:r>
        <w:rPr>
          <w:i/>
          <w:iCs/>
        </w:rPr>
        <w:t xml:space="preserve">M. </w:t>
      </w:r>
      <w:proofErr w:type="spellStart"/>
      <w:r>
        <w:rPr>
          <w:i/>
          <w:iCs/>
        </w:rPr>
        <w:t>beccarii</w:t>
      </w:r>
      <w:proofErr w:type="spellEnd"/>
      <w:r>
        <w:rPr>
          <w:i/>
          <w:iCs/>
        </w:rPr>
        <w:t xml:space="preserve"> </w:t>
      </w:r>
      <w:r>
        <w:t xml:space="preserve">(see </w:t>
      </w:r>
      <w:r>
        <w:rPr>
          <w:i/>
          <w:iCs/>
        </w:rPr>
        <w:t>Results</w:t>
      </w:r>
      <w:r>
        <w:t xml:space="preserve">). The completeness of the assembled genomes </w:t>
      </w:r>
      <w:proofErr w:type="gramStart"/>
      <w:r w:rsidR="00CC5260">
        <w:t>were</w:t>
      </w:r>
      <w:proofErr w:type="gramEnd"/>
      <w:r w:rsidR="00CC5260">
        <w:t xml:space="preserve"> assessed</w:t>
      </w:r>
      <w:r>
        <w:t xml:space="preserve"> using </w:t>
      </w:r>
      <w:r w:rsidR="00EE0C9A">
        <w:t>BUSCO</w:t>
      </w:r>
      <w:r>
        <w:t xml:space="preserve"> 5.5.0 (Simão et al., 2015), a tool for benchmarking the completeness of genome assemblies. The Benchmarking Universal Single-Copy Orthologs (BUSCO) </w:t>
      </w:r>
      <w:r w:rsidR="00CC5260">
        <w:t>analysis was</w:t>
      </w:r>
      <w:r>
        <w:t xml:space="preserve"> conducted with embryophyta_odb10 to evaluate the presence of a conserved set of single copy orthologous genes within the assembled genome.</w:t>
      </w:r>
    </w:p>
    <w:p w14:paraId="000000C7" w14:textId="77777777" w:rsidR="00E420E3" w:rsidRPr="000406B6" w:rsidRDefault="008E5528" w:rsidP="00FA5BE4">
      <w:pPr>
        <w:pStyle w:val="Heading4"/>
      </w:pPr>
      <w:bookmarkStart w:id="19" w:name="_Toc235392967"/>
      <w:r w:rsidRPr="000406B6">
        <w:t xml:space="preserve">2.3.4 </w:t>
      </w:r>
      <w:r w:rsidRPr="00FA5BE4">
        <w:t>Flow</w:t>
      </w:r>
      <w:r w:rsidRPr="000406B6">
        <w:t xml:space="preserve"> </w:t>
      </w:r>
      <w:r w:rsidRPr="00FA5BE4">
        <w:t>Cytometry</w:t>
      </w:r>
      <w:r w:rsidRPr="000406B6">
        <w:t xml:space="preserve"> Analysis</w:t>
      </w:r>
      <w:bookmarkEnd w:id="19"/>
    </w:p>
    <w:p w14:paraId="000000C8" w14:textId="5221C40E" w:rsidR="00E420E3" w:rsidRDefault="008E5528" w:rsidP="00FA5BE4">
      <w:pPr>
        <w:rPr>
          <w:b/>
          <w:bCs/>
          <w:color w:val="C00000"/>
          <w:sz w:val="18"/>
          <w:szCs w:val="18"/>
        </w:rPr>
      </w:pPr>
      <w:r w:rsidRPr="00E75353">
        <w:t>Young leaf tissue was finely chopped together with an internal reference standard in a chilled isolation buffer to release intact nuclei. The suspension was filtered through a nylon mesh, treated with RNase, and stained the nuclei with propidium iodide. We measured the fluorescence intensities using a flow cytometer, recording at least 5,000 nuclei per sample.</w:t>
      </w:r>
      <w:r w:rsidRPr="00E75353">
        <w:rPr>
          <w:b/>
          <w:bCs/>
        </w:rPr>
        <w:t xml:space="preserve"> </w:t>
      </w:r>
      <w:r w:rsidRPr="0020558B">
        <w:t>(Royal Botanic Gardens, Kew, unpublished protocol).</w:t>
      </w:r>
    </w:p>
    <w:p w14:paraId="000000CA" w14:textId="77777777" w:rsidR="00E420E3" w:rsidRDefault="008E5528" w:rsidP="00FA5BE4">
      <w:pPr>
        <w:pStyle w:val="Heading4"/>
      </w:pPr>
      <w:bookmarkStart w:id="20" w:name="_Toc235392968"/>
      <w:r>
        <w:t xml:space="preserve">2.3.5 </w:t>
      </w:r>
      <w:proofErr w:type="spellStart"/>
      <w:r w:rsidRPr="00FA5BE4">
        <w:t>GenomeScope</w:t>
      </w:r>
      <w:proofErr w:type="spellEnd"/>
      <w:r>
        <w:t xml:space="preserve"> Analysis</w:t>
      </w:r>
      <w:bookmarkEnd w:id="20"/>
    </w:p>
    <w:p w14:paraId="000000CB" w14:textId="6CA6552A" w:rsidR="00E420E3" w:rsidRDefault="008E5528" w:rsidP="00FA5BE4">
      <w:pPr>
        <w:rPr>
          <w:b/>
          <w:bCs/>
          <w:color w:val="C00000"/>
        </w:rPr>
      </w:pPr>
      <w:r w:rsidRPr="0020558B">
        <w:t>We performed a reference-free k-</w:t>
      </w:r>
      <w:proofErr w:type="spellStart"/>
      <w:r w:rsidRPr="0020558B">
        <w:t>mer</w:t>
      </w:r>
      <w:proofErr w:type="spellEnd"/>
      <w:r w:rsidRPr="0020558B">
        <w:t xml:space="preserve"> analysis using raw high-throughput sequencing reads to independently estimate genome metrics. We generated a k-</w:t>
      </w:r>
      <w:proofErr w:type="spellStart"/>
      <w:r w:rsidRPr="0020558B">
        <w:t>mer</w:t>
      </w:r>
      <w:proofErr w:type="spellEnd"/>
      <w:r w:rsidRPr="0020558B">
        <w:t xml:space="preserve"> count histogram (k=21) using Jellyfish and uploaded the frequency distribution file to </w:t>
      </w:r>
      <w:proofErr w:type="spellStart"/>
      <w:r w:rsidRPr="0020558B">
        <w:t>GenomeScope</w:t>
      </w:r>
      <w:proofErr w:type="spellEnd"/>
      <w:r w:rsidRPr="0020558B">
        <w:t xml:space="preserve"> 2.0 to model the genome profile. We evaluated the resulting distribution to quantify the total haploid genome length, repeat content, and nucleotide heterozygosity (Ranallo-Benavidez et al., 2020).</w:t>
      </w:r>
    </w:p>
    <w:p w14:paraId="000000CC" w14:textId="77777777" w:rsidR="00E420E3" w:rsidRPr="00FA5BE4" w:rsidRDefault="008E5528" w:rsidP="00FA5BE4">
      <w:pPr>
        <w:pStyle w:val="Heading4"/>
      </w:pPr>
      <w:bookmarkStart w:id="21" w:name="_Toc235392969"/>
      <w:r w:rsidRPr="00FA5BE4">
        <w:t>2.3.6 Reducing Genome Redundancy</w:t>
      </w:r>
      <w:bookmarkEnd w:id="21"/>
    </w:p>
    <w:p w14:paraId="000000CD" w14:textId="42EAA9F1" w:rsidR="00E420E3" w:rsidRPr="004A3685" w:rsidRDefault="008E5528" w:rsidP="00FA5BE4">
      <w:r w:rsidRPr="004A3685">
        <w:t xml:space="preserve">To reduce redundancy in the assembled genome and generate a more accurate haploid representation, we used </w:t>
      </w:r>
      <w:proofErr w:type="spellStart"/>
      <w:r w:rsidRPr="004A3685">
        <w:t>purge_dups</w:t>
      </w:r>
      <w:proofErr w:type="spellEnd"/>
      <w:r w:rsidRPr="004A3685">
        <w:t xml:space="preserve"> v1.2.5 (Guan et al., 2020). PacBio HiFi reads were first aligned to the </w:t>
      </w:r>
      <w:proofErr w:type="spellStart"/>
      <w:r w:rsidRPr="004A3685">
        <w:t>HiFiASM</w:t>
      </w:r>
      <w:proofErr w:type="spellEnd"/>
      <w:r w:rsidRPr="004A3685">
        <w:t>-assembled primary contigs using minimap2 v2.2.24 with the -x map-</w:t>
      </w:r>
      <w:proofErr w:type="spellStart"/>
      <w:r w:rsidRPr="004A3685">
        <w:t>hifi</w:t>
      </w:r>
      <w:proofErr w:type="spellEnd"/>
      <w:r w:rsidRPr="004A3685">
        <w:t xml:space="preserve"> preset. The resulting BAM file was used to calculate read-depth statistics (</w:t>
      </w:r>
      <w:proofErr w:type="spellStart"/>
      <w:r w:rsidRPr="004A3685">
        <w:t>pbcstat</w:t>
      </w:r>
      <w:proofErr w:type="spellEnd"/>
      <w:r w:rsidRPr="004A3685">
        <w:t>) and to estimate cutoff values for distinguishing haploid and diploid regions (</w:t>
      </w:r>
      <w:proofErr w:type="spellStart"/>
      <w:r w:rsidRPr="004A3685">
        <w:t>calcuts</w:t>
      </w:r>
      <w:proofErr w:type="spellEnd"/>
      <w:r w:rsidRPr="004A3685">
        <w:t>). The genome assembly was then split into smaller sequences (</w:t>
      </w:r>
      <w:proofErr w:type="spellStart"/>
      <w:r w:rsidRPr="004A3685">
        <w:t>split_fa</w:t>
      </w:r>
      <w:proofErr w:type="spellEnd"/>
      <w:r w:rsidRPr="004A3685">
        <w:t xml:space="preserve">), and duplicated regions were </w:t>
      </w:r>
      <w:r w:rsidRPr="004A3685">
        <w:lastRenderedPageBreak/>
        <w:t>identified (</w:t>
      </w:r>
      <w:proofErr w:type="spellStart"/>
      <w:r w:rsidRPr="004A3685">
        <w:t>purge_dups</w:t>
      </w:r>
      <w:proofErr w:type="spellEnd"/>
      <w:r w:rsidRPr="004A3685">
        <w:t>) and removed (</w:t>
      </w:r>
      <w:proofErr w:type="spellStart"/>
      <w:r w:rsidRPr="004A3685">
        <w:t>get_seqs</w:t>
      </w:r>
      <w:proofErr w:type="spellEnd"/>
      <w:r w:rsidRPr="004A3685">
        <w:t>) based on depth and alignment patterns. The final assemblies for both species were produced without purging duplicates (purge level 0), as assessed across a range of purge levels (0.05–0.3). This decision was based on the clear redundancy–completeness trade-off observed: aggressive purging caused significant loss of authentic gene content, while the unpurged assembly retained full BUSCO completeness. Given that the primary aim of this chapter is to support duplication-aware downstream analyses including classification of whole-genome duplication events retaining the full duplicate complement in the assembly is biologically justified and analytically necessary (see Results, section 2.4.4).</w:t>
      </w:r>
    </w:p>
    <w:p w14:paraId="000000CE" w14:textId="77777777" w:rsidR="00E420E3" w:rsidRDefault="008E5528" w:rsidP="00FA5BE4">
      <w:pPr>
        <w:pStyle w:val="Heading4"/>
      </w:pPr>
      <w:bookmarkStart w:id="22" w:name="_Toc235392970"/>
      <w:r>
        <w:t>2.3.7 Candidate Nitrogen gene confirmation</w:t>
      </w:r>
      <w:bookmarkEnd w:id="22"/>
    </w:p>
    <w:p w14:paraId="000000CF" w14:textId="6976AB34" w:rsidR="00E420E3" w:rsidRDefault="008E5528" w:rsidP="00FA5BE4">
      <w:r w:rsidRPr="00FA5BE4">
        <w:t>Following initial functional annotation, BLAST searches were performed on candidate sequences to verify the specific types of nitrogen-related genes involved.</w:t>
      </w:r>
      <w:r>
        <w:t xml:space="preserve"> We performed BLAST searches against reference databases to identify homologous sequences, annotate predicted genes, and assess potential contamination in the genome assembly. </w:t>
      </w:r>
      <w:proofErr w:type="spellStart"/>
      <w:r>
        <w:t>BLASTn</w:t>
      </w:r>
      <w:proofErr w:type="spellEnd"/>
      <w:r>
        <w:t xml:space="preserve"> v2.16.0 (Altschul et al., 1990) was used to compare nucleotide sequences against an NCBI database of nucleotide sequences. The tool identifies regions of similarity (local alignments) between the query sequence and sequences in the database, based on statistical significance scores. Searches were interpreted using standard alignment statistics (E-values and percent identity) to support downstream annotation and quality control.</w:t>
      </w:r>
    </w:p>
    <w:p w14:paraId="000000D1" w14:textId="77777777" w:rsidR="00E420E3" w:rsidRDefault="008E5528" w:rsidP="00FA5BE4">
      <w:pPr>
        <w:pStyle w:val="Heading4"/>
      </w:pPr>
      <w:bookmarkStart w:id="23" w:name="_Toc235392971"/>
      <w:r>
        <w:t>2.3.8 Gene Prediction</w:t>
      </w:r>
      <w:bookmarkEnd w:id="23"/>
    </w:p>
    <w:p w14:paraId="000000D2" w14:textId="73BB4742" w:rsidR="00E420E3" w:rsidRDefault="008E5528" w:rsidP="00FA5BE4">
      <w:r>
        <w:t xml:space="preserve">To </w:t>
      </w:r>
      <w:r w:rsidRPr="00FA5BE4">
        <w:t>predict genes</w:t>
      </w:r>
      <w:r>
        <w:t xml:space="preserve"> in the genomes, we relied on the deep learning-based software Helixer_v0.3.2 (Stiehler et al., 2021). This deep learning-based approach facilitated accurate and comprehensive </w:t>
      </w:r>
      <w:r w:rsidRPr="00FA5BE4">
        <w:t>gene predictions</w:t>
      </w:r>
      <w:r>
        <w:t>, crucial for comparative genomic analyses between the two species.</w:t>
      </w:r>
    </w:p>
    <w:p w14:paraId="000000D3" w14:textId="77777777" w:rsidR="00E420E3" w:rsidRPr="00F5217D" w:rsidRDefault="008E5528" w:rsidP="00F5217D">
      <w:pPr>
        <w:pStyle w:val="Heading4"/>
      </w:pPr>
      <w:bookmarkStart w:id="24" w:name="_Toc235392972"/>
      <w:r w:rsidRPr="00F5217D">
        <w:t>2.3.9 Functional Annotation</w:t>
      </w:r>
      <w:bookmarkEnd w:id="24"/>
      <w:r w:rsidRPr="00F5217D">
        <w:t xml:space="preserve"> </w:t>
      </w:r>
    </w:p>
    <w:p w14:paraId="000000D4" w14:textId="1D5B9CF6" w:rsidR="00E420E3" w:rsidRDefault="008E5528" w:rsidP="00F5217D">
      <w:r>
        <w:t xml:space="preserve">To functionally annotate predicted protein-coding genes, we used </w:t>
      </w:r>
      <w:proofErr w:type="spellStart"/>
      <w:r>
        <w:t>InterProScan</w:t>
      </w:r>
      <w:proofErr w:type="spellEnd"/>
      <w:r>
        <w:t xml:space="preserve"> v5.73-104.0, which integrates diverse protein signature recognition methods from multiple databases, including </w:t>
      </w:r>
      <w:proofErr w:type="spellStart"/>
      <w:r>
        <w:t>Pfam</w:t>
      </w:r>
      <w:proofErr w:type="spellEnd"/>
      <w:r>
        <w:t xml:space="preserve">, TIGRFAM, SMART, Gene3D, and PANTHER (Jones et al., 2014). Input protein sequences were derived from the translated gene models identified during </w:t>
      </w:r>
      <w:r w:rsidRPr="00F5217D">
        <w:t>gene prediction</w:t>
      </w:r>
      <w:r>
        <w:t>.</w:t>
      </w:r>
    </w:p>
    <w:p w14:paraId="000000D5" w14:textId="77777777" w:rsidR="00E420E3" w:rsidRDefault="008E5528" w:rsidP="00F5217D">
      <w:pPr>
        <w:pStyle w:val="Heading4"/>
      </w:pPr>
      <w:bookmarkStart w:id="25" w:name="_Toc235392973"/>
      <w:r>
        <w:lastRenderedPageBreak/>
        <w:t>2.3.10 Characterisation of Gene Duplication</w:t>
      </w:r>
      <w:bookmarkEnd w:id="25"/>
    </w:p>
    <w:p w14:paraId="000000D6" w14:textId="3AE911AC" w:rsidR="00E420E3" w:rsidRDefault="008E5528" w:rsidP="00BD7D0E">
      <w:r>
        <w:t xml:space="preserve">To characterise patterns of gene duplication in </w:t>
      </w:r>
      <w:r>
        <w:rPr>
          <w:i/>
          <w:iCs/>
        </w:rPr>
        <w:t xml:space="preserve">H. </w:t>
      </w:r>
      <w:proofErr w:type="spellStart"/>
      <w:r>
        <w:rPr>
          <w:i/>
          <w:iCs/>
        </w:rPr>
        <w:t>moseleyanum</w:t>
      </w:r>
      <w:proofErr w:type="spellEnd"/>
      <w:r>
        <w:t xml:space="preserve"> and </w:t>
      </w:r>
      <w:r>
        <w:rPr>
          <w:i/>
          <w:iCs/>
        </w:rPr>
        <w:t xml:space="preserve">M. </w:t>
      </w:r>
      <w:proofErr w:type="spellStart"/>
      <w:r>
        <w:rPr>
          <w:i/>
          <w:iCs/>
        </w:rPr>
        <w:t>beccarii</w:t>
      </w:r>
      <w:proofErr w:type="spellEnd"/>
      <w:r>
        <w:t xml:space="preserve">, we used </w:t>
      </w:r>
      <w:proofErr w:type="spellStart"/>
      <w:r>
        <w:t>DupGen_finder</w:t>
      </w:r>
      <w:proofErr w:type="spellEnd"/>
      <w:r>
        <w:t xml:space="preserve"> (Qiao et al., 2019) to classify duplicated genes by duplication mode. </w:t>
      </w:r>
      <w:proofErr w:type="spellStart"/>
      <w:r>
        <w:t>DupGen_finder</w:t>
      </w:r>
      <w:proofErr w:type="spellEnd"/>
      <w:r>
        <w:t xml:space="preserve"> infers duplicate relationships from sequence similarity and genome </w:t>
      </w:r>
      <w:r w:rsidR="00CC5260">
        <w:t>collinearity and</w:t>
      </w:r>
      <w:r>
        <w:t xml:space="preserve"> assigns duplicates to categories such as </w:t>
      </w:r>
      <w:r w:rsidR="00825A39">
        <w:t>whole genome</w:t>
      </w:r>
      <w:r>
        <w:t>/segmental (WGD), tandem, proximal, transposed, and dispersed duplication. Analyses were performed using the predicted protein-coding gene models and their genomic coordinates from the final assemblies, and summary counts of each duplication class were used for comparisons between species.</w:t>
      </w:r>
    </w:p>
    <w:p w14:paraId="000000D9" w14:textId="77777777" w:rsidR="00E420E3" w:rsidRDefault="008E5528" w:rsidP="00BD7D0E">
      <w:pPr>
        <w:pStyle w:val="Heading3"/>
      </w:pPr>
      <w:bookmarkStart w:id="26" w:name="_Toc235392974"/>
      <w:r>
        <w:t>2</w:t>
      </w:r>
      <w:r w:rsidRPr="00885A59">
        <w:t>.4 Results</w:t>
      </w:r>
      <w:bookmarkEnd w:id="26"/>
      <w:r>
        <w:t xml:space="preserve"> </w:t>
      </w:r>
    </w:p>
    <w:p w14:paraId="000000DA" w14:textId="77777777" w:rsidR="00E420E3" w:rsidRPr="00885A59" w:rsidRDefault="008E5528" w:rsidP="00885A59">
      <w:pPr>
        <w:pStyle w:val="Heading4"/>
      </w:pPr>
      <w:bookmarkStart w:id="27" w:name="_Toc235392975"/>
      <w:r w:rsidRPr="00885A59">
        <w:t>2.4.1 Genome size estimation and ploidy</w:t>
      </w:r>
      <w:bookmarkEnd w:id="27"/>
      <w:r w:rsidRPr="00885A59">
        <w:t xml:space="preserve"> </w:t>
      </w:r>
    </w:p>
    <w:p w14:paraId="000000DB" w14:textId="743CDC4D" w:rsidR="00E420E3" w:rsidRDefault="008E5528" w:rsidP="00BD7D0E">
      <w:pPr>
        <w:rPr>
          <w:rFonts w:eastAsia="Times New Roman" w:cs="Times New Roman"/>
          <w:b/>
          <w:bCs/>
          <w:color w:val="C00000"/>
          <w:sz w:val="18"/>
          <w:szCs w:val="18"/>
        </w:rPr>
      </w:pPr>
      <w:r w:rsidRPr="00BD7D0E">
        <w:t xml:space="preserve">Flow cytometry analysis revealed an empirical genome size of 3.81 Gb for </w:t>
      </w:r>
      <w:r w:rsidRPr="00626DB7">
        <w:rPr>
          <w:i/>
          <w:iCs/>
        </w:rPr>
        <w:t xml:space="preserve">H. </w:t>
      </w:r>
      <w:proofErr w:type="spellStart"/>
      <w:r w:rsidRPr="00626DB7">
        <w:rPr>
          <w:i/>
          <w:iCs/>
        </w:rPr>
        <w:t>moseleyanum</w:t>
      </w:r>
      <w:proofErr w:type="spellEnd"/>
      <w:r w:rsidRPr="00BD7D0E">
        <w:t xml:space="preserve">, whereas </w:t>
      </w:r>
      <w:proofErr w:type="spellStart"/>
      <w:r w:rsidRPr="00BD7D0E">
        <w:t>Hifiasm</w:t>
      </w:r>
      <w:proofErr w:type="spellEnd"/>
      <w:r w:rsidRPr="00BD7D0E">
        <w:t xml:space="preserve"> estimated an assembled size of 3.12 Gb. The assembly therefore recovers 81.9% of the true empirical genome size, capturing over four-fifths of the total sequence. Because the </w:t>
      </w:r>
      <w:proofErr w:type="spellStart"/>
      <w:r w:rsidRPr="00BD7D0E">
        <w:t>Hifiasm</w:t>
      </w:r>
      <w:proofErr w:type="spellEnd"/>
      <w:r w:rsidRPr="00BD7D0E">
        <w:t xml:space="preserve"> assembly exceeds 80% recovery, it is highly complete and well-positioned close to a chromosome-level assembly; the remaining ~18.1% of unassembled sequence likely corresponds to highly repetitive or polyploid regions that are notoriously difficult for assembly algorithms to resolve without additional long-range scaffolding data.</w:t>
      </w:r>
    </w:p>
    <w:p w14:paraId="000000DC" w14:textId="6E2E00E7" w:rsidR="00E420E3" w:rsidRDefault="008E5528" w:rsidP="00BD7D0E">
      <w:pPr>
        <w:rPr>
          <w:b/>
          <w:bCs/>
          <w:color w:val="C00000"/>
          <w:sz w:val="18"/>
          <w:szCs w:val="18"/>
        </w:rPr>
      </w:pPr>
      <w:r>
        <w:t>To assess genome size and infer ploidy in each species, we analysed k-</w:t>
      </w:r>
      <w:proofErr w:type="spellStart"/>
      <w:r>
        <w:t>mer</w:t>
      </w:r>
      <w:proofErr w:type="spellEnd"/>
      <w:r>
        <w:t xml:space="preserve"> frequency spectra using </w:t>
      </w:r>
      <w:proofErr w:type="spellStart"/>
      <w:r>
        <w:t>GenomeScope</w:t>
      </w:r>
      <w:proofErr w:type="spellEnd"/>
      <w:r>
        <w:t xml:space="preserve"> (Ranallo-Benavidez et al., 2020). For </w:t>
      </w:r>
      <w:r>
        <w:rPr>
          <w:i/>
          <w:iCs/>
        </w:rPr>
        <w:t xml:space="preserve">H. </w:t>
      </w:r>
      <w:proofErr w:type="spellStart"/>
      <w:r>
        <w:rPr>
          <w:i/>
          <w:iCs/>
        </w:rPr>
        <w:t>moseleyanum</w:t>
      </w:r>
      <w:proofErr w:type="spellEnd"/>
      <w:r>
        <w:t xml:space="preserve">, the </w:t>
      </w:r>
      <w:proofErr w:type="spellStart"/>
      <w:r>
        <w:t>GenomeScope</w:t>
      </w:r>
      <w:proofErr w:type="spellEnd"/>
      <w:r>
        <w:t xml:space="preserve"> plot suggests that the genome may be tetraploid (Fig. </w:t>
      </w:r>
      <w:r w:rsidR="005F3ECC">
        <w:t>2</w:t>
      </w:r>
      <w:r>
        <w:t>). This is inferred from the presence of multiple peaks in the k-</w:t>
      </w:r>
      <w:proofErr w:type="spellStart"/>
      <w:r>
        <w:t>mer</w:t>
      </w:r>
      <w:proofErr w:type="spellEnd"/>
      <w:r>
        <w:t xml:space="preserve"> coverage distribution, with a primary peak at approximately 17× coverage, a secondary peak at around 34×, and a subtle shoulder between 50×–60×. Such peak patterns are consistent with polyploid genomes, </w:t>
      </w:r>
      <w:r w:rsidRPr="00BD7D0E">
        <w:t xml:space="preserve">in particular </w:t>
      </w:r>
      <w:proofErr w:type="spellStart"/>
      <w:r w:rsidRPr="00BD7D0E">
        <w:t>autotetraploids</w:t>
      </w:r>
      <w:proofErr w:type="spellEnd"/>
      <w:r w:rsidRPr="00BD7D0E">
        <w:t>, organisms with four identical chromosome sets arising from duplication of a single species' genome, or allotetraploids, organisms with differing chromosomal sets arising from the hybridisation and genome doubling of two distinct ancestral species.</w:t>
      </w:r>
      <w:r w:rsidRPr="00BD7D0E">
        <w:rPr>
          <w:color w:val="C00000"/>
        </w:rPr>
        <w:t xml:space="preserve"> </w:t>
      </w:r>
      <w:r w:rsidRPr="00BD7D0E">
        <w:t>The relatively low heterozygosity value (ab: 6.36%) could suggest an autotetraploid that has undergone extensive diploidi</w:t>
      </w:r>
      <w:r w:rsidR="00516242">
        <w:t>s</w:t>
      </w:r>
      <w:r w:rsidRPr="00BD7D0E">
        <w:t xml:space="preserve">ation over time, or more likely reflects an allotetraploid structure where low variation remains within the fixed </w:t>
      </w:r>
      <w:proofErr w:type="spellStart"/>
      <w:r w:rsidRPr="00BD7D0E">
        <w:t>subgenomes</w:t>
      </w:r>
      <w:proofErr w:type="spellEnd"/>
      <w:r w:rsidRPr="00BD7D0E">
        <w:t>.</w:t>
      </w:r>
    </w:p>
    <w:p w14:paraId="5222498E" w14:textId="1CB52544" w:rsidR="00BD7D0E" w:rsidRDefault="00BD7D0E">
      <w:pPr>
        <w:widowControl w:val="0"/>
        <w:pBdr>
          <w:top w:val="nil"/>
          <w:left w:val="nil"/>
          <w:bottom w:val="nil"/>
          <w:right w:val="nil"/>
          <w:between w:val="nil"/>
        </w:pBdr>
        <w:spacing w:before="293" w:line="344" w:lineRule="auto"/>
        <w:ind w:left="1440" w:right="350" w:firstLine="6"/>
        <w:rPr>
          <w:rFonts w:eastAsia="Times New Roman" w:cs="Times New Roman"/>
          <w:szCs w:val="24"/>
        </w:rPr>
      </w:pPr>
    </w:p>
    <w:p w14:paraId="4E475218" w14:textId="6C635840" w:rsidR="00BD7D0E" w:rsidRDefault="00453AF7">
      <w:pPr>
        <w:widowControl w:val="0"/>
        <w:pBdr>
          <w:top w:val="nil"/>
          <w:left w:val="nil"/>
          <w:bottom w:val="nil"/>
          <w:right w:val="nil"/>
          <w:between w:val="nil"/>
        </w:pBdr>
        <w:spacing w:before="293" w:line="344" w:lineRule="auto"/>
        <w:ind w:left="1440" w:right="350" w:firstLine="6"/>
        <w:rPr>
          <w:rFonts w:eastAsia="Times New Roman" w:cs="Times New Roman"/>
          <w:szCs w:val="24"/>
        </w:rPr>
      </w:pPr>
      <w:r>
        <w:rPr>
          <w:rFonts w:eastAsia="Times New Roman" w:cs="Times New Roman"/>
          <w:noProof/>
          <w:color w:val="000000"/>
          <w:szCs w:val="24"/>
        </w:rPr>
        <w:lastRenderedPageBreak/>
        <w:drawing>
          <wp:anchor distT="0" distB="0" distL="114300" distR="114300" simplePos="0" relativeHeight="251664390" behindDoc="0" locked="0" layoutInCell="1" allowOverlap="1" wp14:anchorId="0330A189" wp14:editId="0854F49A">
            <wp:simplePos x="0" y="0"/>
            <wp:positionH relativeFrom="column">
              <wp:posOffset>126365</wp:posOffset>
            </wp:positionH>
            <wp:positionV relativeFrom="paragraph">
              <wp:posOffset>-307340</wp:posOffset>
            </wp:positionV>
            <wp:extent cx="5399532" cy="507174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5399532" cy="5071745"/>
                    </a:xfrm>
                    <a:prstGeom prst="rect">
                      <a:avLst/>
                    </a:prstGeom>
                    <a:ln/>
                  </pic:spPr>
                </pic:pic>
              </a:graphicData>
            </a:graphic>
          </wp:anchor>
        </w:drawing>
      </w:r>
    </w:p>
    <w:p w14:paraId="2B3DDAE2" w14:textId="77777777" w:rsidR="00BD7D0E" w:rsidRDefault="00BD7D0E">
      <w:pPr>
        <w:widowControl w:val="0"/>
        <w:pBdr>
          <w:top w:val="nil"/>
          <w:left w:val="nil"/>
          <w:bottom w:val="nil"/>
          <w:right w:val="nil"/>
          <w:between w:val="nil"/>
        </w:pBdr>
        <w:spacing w:before="293" w:line="344" w:lineRule="auto"/>
        <w:ind w:left="1440" w:right="350" w:firstLine="6"/>
        <w:rPr>
          <w:rFonts w:eastAsia="Times New Roman" w:cs="Times New Roman"/>
          <w:szCs w:val="24"/>
        </w:rPr>
      </w:pPr>
    </w:p>
    <w:p w14:paraId="2BE72A78" w14:textId="77777777" w:rsidR="00BD7D0E" w:rsidRDefault="00BD7D0E">
      <w:pPr>
        <w:widowControl w:val="0"/>
        <w:pBdr>
          <w:top w:val="nil"/>
          <w:left w:val="nil"/>
          <w:bottom w:val="nil"/>
          <w:right w:val="nil"/>
          <w:between w:val="nil"/>
        </w:pBdr>
        <w:spacing w:before="293" w:line="344" w:lineRule="auto"/>
        <w:ind w:left="1440" w:right="350" w:firstLine="6"/>
        <w:rPr>
          <w:rFonts w:eastAsia="Times New Roman" w:cs="Times New Roman"/>
          <w:szCs w:val="24"/>
        </w:rPr>
      </w:pPr>
    </w:p>
    <w:p w14:paraId="7E62F22B" w14:textId="77777777" w:rsidR="00BD7D0E" w:rsidRDefault="00BD7D0E">
      <w:pPr>
        <w:widowControl w:val="0"/>
        <w:pBdr>
          <w:top w:val="nil"/>
          <w:left w:val="nil"/>
          <w:bottom w:val="nil"/>
          <w:right w:val="nil"/>
          <w:between w:val="nil"/>
        </w:pBdr>
        <w:spacing w:before="293" w:line="344" w:lineRule="auto"/>
        <w:ind w:left="1440" w:right="350" w:firstLine="6"/>
        <w:rPr>
          <w:rFonts w:eastAsia="Times New Roman" w:cs="Times New Roman"/>
          <w:szCs w:val="24"/>
        </w:rPr>
      </w:pPr>
    </w:p>
    <w:p w14:paraId="2B8D31B1" w14:textId="77777777" w:rsidR="00BD7D0E" w:rsidRDefault="00BD7D0E">
      <w:pPr>
        <w:widowControl w:val="0"/>
        <w:pBdr>
          <w:top w:val="nil"/>
          <w:left w:val="nil"/>
          <w:bottom w:val="nil"/>
          <w:right w:val="nil"/>
          <w:between w:val="nil"/>
        </w:pBdr>
        <w:spacing w:before="293" w:line="344" w:lineRule="auto"/>
        <w:ind w:left="1440" w:right="350" w:firstLine="6"/>
        <w:rPr>
          <w:rFonts w:eastAsia="Times New Roman" w:cs="Times New Roman"/>
          <w:szCs w:val="24"/>
        </w:rPr>
      </w:pPr>
    </w:p>
    <w:p w14:paraId="4D697E1B" w14:textId="77777777" w:rsidR="00BD7D0E" w:rsidRDefault="00BD7D0E">
      <w:pPr>
        <w:widowControl w:val="0"/>
        <w:pBdr>
          <w:top w:val="nil"/>
          <w:left w:val="nil"/>
          <w:bottom w:val="nil"/>
          <w:right w:val="nil"/>
          <w:between w:val="nil"/>
        </w:pBdr>
        <w:spacing w:before="293" w:line="344" w:lineRule="auto"/>
        <w:ind w:left="1440" w:right="350" w:firstLine="6"/>
        <w:rPr>
          <w:rFonts w:eastAsia="Times New Roman" w:cs="Times New Roman"/>
          <w:szCs w:val="24"/>
        </w:rPr>
      </w:pPr>
    </w:p>
    <w:p w14:paraId="1D9F76CC" w14:textId="77777777" w:rsidR="00BD7D0E" w:rsidRDefault="00BD7D0E">
      <w:pPr>
        <w:widowControl w:val="0"/>
        <w:pBdr>
          <w:top w:val="nil"/>
          <w:left w:val="nil"/>
          <w:bottom w:val="nil"/>
          <w:right w:val="nil"/>
          <w:between w:val="nil"/>
        </w:pBdr>
        <w:spacing w:before="293" w:line="344" w:lineRule="auto"/>
        <w:ind w:left="1440" w:right="350" w:firstLine="6"/>
        <w:rPr>
          <w:rFonts w:eastAsia="Times New Roman" w:cs="Times New Roman"/>
          <w:szCs w:val="24"/>
        </w:rPr>
      </w:pPr>
    </w:p>
    <w:p w14:paraId="71252CB7" w14:textId="77777777" w:rsidR="00BD7D0E" w:rsidRDefault="00BD7D0E">
      <w:pPr>
        <w:widowControl w:val="0"/>
        <w:pBdr>
          <w:top w:val="nil"/>
          <w:left w:val="nil"/>
          <w:bottom w:val="nil"/>
          <w:right w:val="nil"/>
          <w:between w:val="nil"/>
        </w:pBdr>
        <w:spacing w:before="293" w:line="344" w:lineRule="auto"/>
        <w:ind w:left="1440" w:right="350" w:firstLine="6"/>
        <w:rPr>
          <w:rFonts w:eastAsia="Times New Roman" w:cs="Times New Roman"/>
          <w:szCs w:val="24"/>
        </w:rPr>
      </w:pPr>
    </w:p>
    <w:p w14:paraId="132E030C" w14:textId="77777777" w:rsidR="00BD7D0E" w:rsidRDefault="00BD7D0E">
      <w:pPr>
        <w:widowControl w:val="0"/>
        <w:pBdr>
          <w:top w:val="nil"/>
          <w:left w:val="nil"/>
          <w:bottom w:val="nil"/>
          <w:right w:val="nil"/>
          <w:between w:val="nil"/>
        </w:pBdr>
        <w:spacing w:before="293" w:line="344" w:lineRule="auto"/>
        <w:ind w:left="1440" w:right="350" w:firstLine="6"/>
        <w:rPr>
          <w:rFonts w:eastAsia="Times New Roman" w:cs="Times New Roman"/>
          <w:szCs w:val="24"/>
        </w:rPr>
      </w:pPr>
    </w:p>
    <w:p w14:paraId="5CA4EA43" w14:textId="77777777" w:rsidR="00BD7D0E" w:rsidRDefault="00BD7D0E">
      <w:pPr>
        <w:widowControl w:val="0"/>
        <w:pBdr>
          <w:top w:val="nil"/>
          <w:left w:val="nil"/>
          <w:bottom w:val="nil"/>
          <w:right w:val="nil"/>
          <w:between w:val="nil"/>
        </w:pBdr>
        <w:spacing w:before="293" w:line="344" w:lineRule="auto"/>
        <w:ind w:left="1440" w:right="350" w:firstLine="6"/>
        <w:rPr>
          <w:rFonts w:eastAsia="Times New Roman" w:cs="Times New Roman"/>
          <w:szCs w:val="24"/>
        </w:rPr>
      </w:pPr>
    </w:p>
    <w:p w14:paraId="028E53FB" w14:textId="77777777" w:rsidR="00BD7D0E" w:rsidRDefault="00BD7D0E" w:rsidP="00BD7D0E">
      <w:pPr>
        <w:widowControl w:val="0"/>
        <w:pBdr>
          <w:top w:val="nil"/>
          <w:left w:val="nil"/>
          <w:bottom w:val="nil"/>
          <w:right w:val="nil"/>
          <w:between w:val="nil"/>
        </w:pBdr>
        <w:ind w:firstLine="6"/>
        <w:rPr>
          <w:rFonts w:eastAsia="Times New Roman" w:cs="Times New Roman"/>
          <w:szCs w:val="24"/>
        </w:rPr>
      </w:pPr>
    </w:p>
    <w:p w14:paraId="624E5995" w14:textId="77777777" w:rsidR="00453AF7" w:rsidRDefault="00453AF7" w:rsidP="00CC5E61">
      <w:pPr>
        <w:pStyle w:val="Caption"/>
        <w:rPr>
          <w:b/>
          <w:bCs/>
          <w:i w:val="0"/>
          <w:iCs w:val="0"/>
          <w:color w:val="auto"/>
          <w:sz w:val="24"/>
          <w:szCs w:val="24"/>
        </w:rPr>
      </w:pPr>
      <w:bookmarkStart w:id="28" w:name="_Toc235390724"/>
    </w:p>
    <w:p w14:paraId="000000DF" w14:textId="3A3D7215" w:rsidR="00E420E3" w:rsidRPr="00096BD8" w:rsidRDefault="00CC5E61" w:rsidP="00CC5E61">
      <w:pPr>
        <w:pStyle w:val="Caption"/>
        <w:rPr>
          <w:rFonts w:eastAsia="Times New Roman" w:cs="Times New Roman"/>
          <w:i w:val="0"/>
          <w:iCs w:val="0"/>
          <w:color w:val="auto"/>
          <w:sz w:val="24"/>
          <w:szCs w:val="24"/>
        </w:rPr>
      </w:pPr>
      <w:r w:rsidRPr="00096BD8">
        <w:rPr>
          <w:b/>
          <w:bCs/>
          <w:i w:val="0"/>
          <w:iCs w:val="0"/>
          <w:color w:val="auto"/>
          <w:sz w:val="24"/>
          <w:szCs w:val="24"/>
        </w:rPr>
        <w:t xml:space="preserve">Figure </w:t>
      </w:r>
      <w:r w:rsidRPr="00096BD8">
        <w:rPr>
          <w:b/>
          <w:bCs/>
          <w:i w:val="0"/>
          <w:iCs w:val="0"/>
          <w:color w:val="auto"/>
          <w:sz w:val="24"/>
          <w:szCs w:val="24"/>
        </w:rPr>
        <w:fldChar w:fldCharType="begin"/>
      </w:r>
      <w:r w:rsidRPr="00096BD8">
        <w:rPr>
          <w:b/>
          <w:bCs/>
          <w:i w:val="0"/>
          <w:iCs w:val="0"/>
          <w:color w:val="auto"/>
          <w:sz w:val="24"/>
          <w:szCs w:val="24"/>
        </w:rPr>
        <w:instrText xml:space="preserve"> SEQ Figure \* ARABIC </w:instrText>
      </w:r>
      <w:r w:rsidRPr="00096BD8">
        <w:rPr>
          <w:b/>
          <w:bCs/>
          <w:i w:val="0"/>
          <w:iCs w:val="0"/>
          <w:color w:val="auto"/>
          <w:sz w:val="24"/>
          <w:szCs w:val="24"/>
        </w:rPr>
        <w:fldChar w:fldCharType="separate"/>
      </w:r>
      <w:r w:rsidR="008248B6" w:rsidRPr="00096BD8">
        <w:rPr>
          <w:b/>
          <w:bCs/>
          <w:i w:val="0"/>
          <w:iCs w:val="0"/>
          <w:noProof/>
          <w:color w:val="auto"/>
          <w:sz w:val="24"/>
          <w:szCs w:val="24"/>
        </w:rPr>
        <w:t>2</w:t>
      </w:r>
      <w:r w:rsidRPr="00096BD8">
        <w:rPr>
          <w:b/>
          <w:bCs/>
          <w:i w:val="0"/>
          <w:iCs w:val="0"/>
          <w:color w:val="auto"/>
          <w:sz w:val="24"/>
          <w:szCs w:val="24"/>
        </w:rPr>
        <w:fldChar w:fldCharType="end"/>
      </w:r>
      <w:r w:rsidR="00201466">
        <w:rPr>
          <w:b/>
          <w:bCs/>
          <w:i w:val="0"/>
          <w:iCs w:val="0"/>
          <w:color w:val="auto"/>
          <w:sz w:val="24"/>
          <w:szCs w:val="24"/>
        </w:rPr>
        <w:t xml:space="preserve">. </w:t>
      </w:r>
      <w:r w:rsidRPr="00096BD8">
        <w:rPr>
          <w:b/>
          <w:bCs/>
          <w:i w:val="0"/>
          <w:iCs w:val="0"/>
          <w:color w:val="auto"/>
          <w:sz w:val="24"/>
          <w:szCs w:val="24"/>
        </w:rPr>
        <w:t xml:space="preserve"> </w:t>
      </w:r>
      <w:proofErr w:type="spellStart"/>
      <w:r w:rsidRPr="00096BD8">
        <w:rPr>
          <w:i w:val="0"/>
          <w:iCs w:val="0"/>
          <w:color w:val="auto"/>
          <w:sz w:val="24"/>
          <w:szCs w:val="24"/>
        </w:rPr>
        <w:t>GenomeScope</w:t>
      </w:r>
      <w:proofErr w:type="spellEnd"/>
      <w:r w:rsidRPr="00096BD8">
        <w:rPr>
          <w:i w:val="0"/>
          <w:iCs w:val="0"/>
          <w:color w:val="auto"/>
          <w:sz w:val="24"/>
          <w:szCs w:val="24"/>
        </w:rPr>
        <w:t xml:space="preserve"> k-</w:t>
      </w:r>
      <w:proofErr w:type="spellStart"/>
      <w:r w:rsidRPr="00096BD8">
        <w:rPr>
          <w:i w:val="0"/>
          <w:iCs w:val="0"/>
          <w:color w:val="auto"/>
          <w:sz w:val="24"/>
          <w:szCs w:val="24"/>
        </w:rPr>
        <w:t>mer</w:t>
      </w:r>
      <w:proofErr w:type="spellEnd"/>
      <w:r w:rsidRPr="00096BD8">
        <w:rPr>
          <w:i w:val="0"/>
          <w:iCs w:val="0"/>
          <w:color w:val="auto"/>
          <w:sz w:val="24"/>
          <w:szCs w:val="24"/>
        </w:rPr>
        <w:t xml:space="preserve"> frequency spectrum for </w:t>
      </w:r>
      <w:r w:rsidRPr="00201466">
        <w:rPr>
          <w:color w:val="auto"/>
          <w:sz w:val="24"/>
          <w:szCs w:val="24"/>
        </w:rPr>
        <w:t>H</w:t>
      </w:r>
      <w:r w:rsidR="002053D0">
        <w:rPr>
          <w:color w:val="auto"/>
          <w:sz w:val="24"/>
          <w:szCs w:val="24"/>
        </w:rPr>
        <w:t>.</w:t>
      </w:r>
      <w:r w:rsidRPr="00201466">
        <w:rPr>
          <w:color w:val="auto"/>
          <w:sz w:val="24"/>
          <w:szCs w:val="24"/>
        </w:rPr>
        <w:t xml:space="preserve"> </w:t>
      </w:r>
      <w:proofErr w:type="spellStart"/>
      <w:r w:rsidRPr="00201466">
        <w:rPr>
          <w:color w:val="auto"/>
          <w:sz w:val="24"/>
          <w:szCs w:val="24"/>
        </w:rPr>
        <w:t>moseleyanum</w:t>
      </w:r>
      <w:proofErr w:type="spellEnd"/>
      <w:r w:rsidRPr="00096BD8">
        <w:rPr>
          <w:i w:val="0"/>
          <w:iCs w:val="0"/>
          <w:color w:val="auto"/>
          <w:sz w:val="24"/>
          <w:szCs w:val="24"/>
        </w:rPr>
        <w:t>, showing k-</w:t>
      </w:r>
      <w:proofErr w:type="spellStart"/>
      <w:r w:rsidRPr="00096BD8">
        <w:rPr>
          <w:i w:val="0"/>
          <w:iCs w:val="0"/>
          <w:color w:val="auto"/>
          <w:sz w:val="24"/>
          <w:szCs w:val="24"/>
        </w:rPr>
        <w:t>mer</w:t>
      </w:r>
      <w:proofErr w:type="spellEnd"/>
      <w:r w:rsidRPr="00096BD8">
        <w:rPr>
          <w:i w:val="0"/>
          <w:iCs w:val="0"/>
          <w:color w:val="auto"/>
          <w:sz w:val="24"/>
          <w:szCs w:val="24"/>
        </w:rPr>
        <w:t xml:space="preserve"> coverage (x-axis) versus frequency (y-axis).</w:t>
      </w:r>
      <w:bookmarkEnd w:id="28"/>
    </w:p>
    <w:p w14:paraId="1040A68E" w14:textId="77777777" w:rsidR="00EE57C3" w:rsidRDefault="008E5528" w:rsidP="00D819C6">
      <w:pPr>
        <w:rPr>
          <w:b/>
          <w:bCs/>
          <w:color w:val="C00000"/>
          <w:sz w:val="18"/>
          <w:szCs w:val="18"/>
        </w:rPr>
      </w:pPr>
      <w:r w:rsidRPr="00581CAE">
        <w:t xml:space="preserve">Flow cytometry analysis revealed an empirical genome size of 1.56 Gb for </w:t>
      </w:r>
      <w:r w:rsidRPr="00581CAE">
        <w:rPr>
          <w:i/>
          <w:iCs/>
        </w:rPr>
        <w:t xml:space="preserve">M. </w:t>
      </w:r>
      <w:proofErr w:type="spellStart"/>
      <w:r w:rsidRPr="00581CAE">
        <w:rPr>
          <w:i/>
          <w:iCs/>
        </w:rPr>
        <w:t>beccarii</w:t>
      </w:r>
      <w:proofErr w:type="spellEnd"/>
      <w:r w:rsidRPr="00581CAE">
        <w:t xml:space="preserve">, whereas </w:t>
      </w:r>
      <w:proofErr w:type="spellStart"/>
      <w:r w:rsidRPr="00581CAE">
        <w:t>Hifiasm</w:t>
      </w:r>
      <w:proofErr w:type="spellEnd"/>
      <w:r w:rsidRPr="00581CAE">
        <w:t xml:space="preserve"> estimated an assembled size of 1.40 Gb, representing 89.7% recovery of the true genome. The small missing fraction (~10%, 0.16 Gb) likely represents highly condensed repetitive heterochromatic regions or centromeric repeats that are difficult for assembly algorithms to resolve. The </w:t>
      </w:r>
      <w:r w:rsidRPr="00581CAE">
        <w:rPr>
          <w:i/>
          <w:iCs/>
        </w:rPr>
        <w:t xml:space="preserve">M. </w:t>
      </w:r>
      <w:proofErr w:type="spellStart"/>
      <w:r w:rsidRPr="00581CAE">
        <w:rPr>
          <w:i/>
          <w:iCs/>
        </w:rPr>
        <w:t>beccarii</w:t>
      </w:r>
      <w:proofErr w:type="spellEnd"/>
      <w:r w:rsidRPr="00581CAE">
        <w:t xml:space="preserve"> assembly is therefore exceptionally complete and positioned very close to a chromosome-level architecture, requiring minimal targeted scaffolding to achieve full chromosomal resolution.</w:t>
      </w:r>
      <w:r w:rsidRPr="00581CAE">
        <w:rPr>
          <w:b/>
          <w:bCs/>
          <w:sz w:val="18"/>
          <w:szCs w:val="18"/>
        </w:rPr>
        <w:t xml:space="preserve"> </w:t>
      </w:r>
      <w:r>
        <w:rPr>
          <w:b/>
          <w:bCs/>
          <w:color w:val="C00000"/>
          <w:sz w:val="18"/>
          <w:szCs w:val="18"/>
        </w:rPr>
        <w:t xml:space="preserve"> </w:t>
      </w:r>
    </w:p>
    <w:p w14:paraId="000000E0" w14:textId="57F14862" w:rsidR="00E420E3" w:rsidRDefault="008E5528" w:rsidP="00D819C6">
      <w:r>
        <w:t xml:space="preserve">In contrast, the </w:t>
      </w:r>
      <w:proofErr w:type="spellStart"/>
      <w:r>
        <w:t>GenomeScope</w:t>
      </w:r>
      <w:proofErr w:type="spellEnd"/>
      <w:r>
        <w:t xml:space="preserve"> plot for </w:t>
      </w:r>
      <w:r>
        <w:rPr>
          <w:i/>
          <w:iCs/>
        </w:rPr>
        <w:t xml:space="preserve">M. </w:t>
      </w:r>
      <w:proofErr w:type="spellStart"/>
      <w:r>
        <w:rPr>
          <w:i/>
          <w:iCs/>
        </w:rPr>
        <w:t>beccarii</w:t>
      </w:r>
      <w:proofErr w:type="spellEnd"/>
      <w:r>
        <w:t xml:space="preserve"> indicates that the genome is likely diploid (</w:t>
      </w:r>
      <w:r w:rsidR="002060CB">
        <w:t xml:space="preserve">Fig. </w:t>
      </w:r>
      <w:r w:rsidR="00EE57C3">
        <w:t>3</w:t>
      </w:r>
      <w:r>
        <w:t>). This is supported by the presence of a single dominant k-</w:t>
      </w:r>
      <w:proofErr w:type="spellStart"/>
      <w:r>
        <w:t>mer</w:t>
      </w:r>
      <w:proofErr w:type="spellEnd"/>
      <w:r>
        <w:t xml:space="preserve"> peak at around 41× coverage, with a smaller secondary hump appearing at approximately 82× close to double the coverage of the main peak. This pattern is indicative of diploid genomes, where the primary peak represents heterozygous k-</w:t>
      </w:r>
      <w:proofErr w:type="spellStart"/>
      <w:r>
        <w:t>mers</w:t>
      </w:r>
      <w:proofErr w:type="spellEnd"/>
      <w:r>
        <w:t xml:space="preserve"> and the secondary peak represents homozygous k-</w:t>
      </w:r>
      <w:proofErr w:type="spellStart"/>
      <w:r>
        <w:t>mers</w:t>
      </w:r>
      <w:proofErr w:type="spellEnd"/>
      <w:r>
        <w:t xml:space="preserve">. </w:t>
      </w:r>
      <w:r>
        <w:lastRenderedPageBreak/>
        <w:t xml:space="preserve">The summary also supports diploidy with p:2, explicitly indicating a diploid model was used. Additionally, the heterozygosity level (ab: 9.52%) is consistent with a diploid genome that has moderate allelic variation. There is no clear evidence of additional peaks at 3× or 4× coverage intervals, which would be expected in polyploid genomes. Overall, the tight peak structure and the </w:t>
      </w:r>
      <w:proofErr w:type="spellStart"/>
      <w:r>
        <w:t>GenomeScope</w:t>
      </w:r>
      <w:proofErr w:type="spellEnd"/>
      <w:r>
        <w:t xml:space="preserve"> model output strongly support a diploid genome.</w:t>
      </w:r>
    </w:p>
    <w:p w14:paraId="000000E1" w14:textId="5CB6876F" w:rsidR="00E420E3" w:rsidRDefault="00893B18" w:rsidP="00893B18">
      <w:r>
        <w:rPr>
          <w:rFonts w:eastAsia="Times New Roman" w:cs="Times New Roman"/>
          <w:noProof/>
          <w:color w:val="000000"/>
          <w:szCs w:val="24"/>
        </w:rPr>
        <w:drawing>
          <wp:anchor distT="0" distB="0" distL="114300" distR="114300" simplePos="0" relativeHeight="251665414" behindDoc="0" locked="0" layoutInCell="1" allowOverlap="1" wp14:anchorId="6CE4AFD3" wp14:editId="4EE12FDC">
            <wp:simplePos x="0" y="0"/>
            <wp:positionH relativeFrom="margin">
              <wp:posOffset>68884</wp:posOffset>
            </wp:positionH>
            <wp:positionV relativeFrom="paragraph">
              <wp:posOffset>61264</wp:posOffset>
            </wp:positionV>
            <wp:extent cx="5904484" cy="4998084"/>
            <wp:effectExtent l="0" t="0" r="1270" b="0"/>
            <wp:wrapNone/>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extLst>
                        <a:ext uri="{28A0092B-C50C-407E-A947-70E740481C1C}">
                          <a14:useLocalDpi xmlns:a14="http://schemas.microsoft.com/office/drawing/2010/main" val="0"/>
                        </a:ext>
                      </a:extLst>
                    </a:blip>
                    <a:srcRect/>
                    <a:stretch>
                      <a:fillRect/>
                    </a:stretch>
                  </pic:blipFill>
                  <pic:spPr>
                    <a:xfrm>
                      <a:off x="0" y="0"/>
                      <a:ext cx="5904484" cy="4998084"/>
                    </a:xfrm>
                    <a:prstGeom prst="rect">
                      <a:avLst/>
                    </a:prstGeom>
                    <a:ln/>
                  </pic:spPr>
                </pic:pic>
              </a:graphicData>
            </a:graphic>
          </wp:anchor>
        </w:drawing>
      </w:r>
    </w:p>
    <w:p w14:paraId="031C384C" w14:textId="4680798C" w:rsidR="00893B18" w:rsidRDefault="00893B18" w:rsidP="00893B18"/>
    <w:p w14:paraId="11F190BE" w14:textId="77777777" w:rsidR="00893B18" w:rsidRDefault="00893B18" w:rsidP="00893B18"/>
    <w:p w14:paraId="74EA3CE9" w14:textId="77777777" w:rsidR="00893B18" w:rsidRDefault="00893B18" w:rsidP="00893B18"/>
    <w:p w14:paraId="1292A21B" w14:textId="77777777" w:rsidR="00893B18" w:rsidRDefault="00893B18" w:rsidP="00893B18"/>
    <w:p w14:paraId="2128785C" w14:textId="77777777" w:rsidR="00893B18" w:rsidRDefault="00893B18" w:rsidP="00893B18"/>
    <w:p w14:paraId="53527033" w14:textId="77777777" w:rsidR="00893B18" w:rsidRDefault="00893B18" w:rsidP="00893B18"/>
    <w:p w14:paraId="1341E59E" w14:textId="77777777" w:rsidR="00893B18" w:rsidRDefault="00893B18" w:rsidP="00893B18"/>
    <w:p w14:paraId="20A3E5E7" w14:textId="77777777" w:rsidR="00893B18" w:rsidRDefault="00893B18" w:rsidP="00893B18"/>
    <w:p w14:paraId="7EF7F881" w14:textId="77777777" w:rsidR="00893B18" w:rsidRDefault="00893B18" w:rsidP="00893B18"/>
    <w:p w14:paraId="0C41A1FE" w14:textId="77777777" w:rsidR="00893B18" w:rsidRDefault="00893B18" w:rsidP="00893B18"/>
    <w:p w14:paraId="3AB6D77B" w14:textId="77777777" w:rsidR="00893B18" w:rsidRDefault="00893B18" w:rsidP="00893B18"/>
    <w:p w14:paraId="1655E170" w14:textId="77777777" w:rsidR="00893B18" w:rsidRDefault="00893B18" w:rsidP="00893B18"/>
    <w:p w14:paraId="574E1F6D" w14:textId="77777777" w:rsidR="00893B18" w:rsidRDefault="00893B18" w:rsidP="00893B18"/>
    <w:p w14:paraId="16A26BFD" w14:textId="517A8676" w:rsidR="00A25E37" w:rsidRPr="00096BD8" w:rsidRDefault="00A25E37" w:rsidP="00A25E37">
      <w:pPr>
        <w:pStyle w:val="Caption"/>
        <w:rPr>
          <w:i w:val="0"/>
          <w:iCs w:val="0"/>
          <w:color w:val="auto"/>
          <w:sz w:val="24"/>
          <w:szCs w:val="24"/>
        </w:rPr>
      </w:pPr>
      <w:bookmarkStart w:id="29" w:name="_Toc235390725"/>
      <w:r w:rsidRPr="00096BD8">
        <w:rPr>
          <w:b/>
          <w:bCs/>
          <w:i w:val="0"/>
          <w:iCs w:val="0"/>
          <w:color w:val="auto"/>
          <w:sz w:val="24"/>
          <w:szCs w:val="24"/>
        </w:rPr>
        <w:t xml:space="preserve">Figure </w:t>
      </w:r>
      <w:r w:rsidRPr="00096BD8">
        <w:rPr>
          <w:b/>
          <w:bCs/>
          <w:i w:val="0"/>
          <w:iCs w:val="0"/>
          <w:color w:val="auto"/>
          <w:sz w:val="24"/>
          <w:szCs w:val="24"/>
        </w:rPr>
        <w:fldChar w:fldCharType="begin"/>
      </w:r>
      <w:r w:rsidRPr="00096BD8">
        <w:rPr>
          <w:b/>
          <w:bCs/>
          <w:i w:val="0"/>
          <w:iCs w:val="0"/>
          <w:color w:val="auto"/>
          <w:sz w:val="24"/>
          <w:szCs w:val="24"/>
        </w:rPr>
        <w:instrText xml:space="preserve"> SEQ Figure \* ARABIC </w:instrText>
      </w:r>
      <w:r w:rsidRPr="00096BD8">
        <w:rPr>
          <w:b/>
          <w:bCs/>
          <w:i w:val="0"/>
          <w:iCs w:val="0"/>
          <w:color w:val="auto"/>
          <w:sz w:val="24"/>
          <w:szCs w:val="24"/>
        </w:rPr>
        <w:fldChar w:fldCharType="separate"/>
      </w:r>
      <w:r w:rsidR="008248B6" w:rsidRPr="00096BD8">
        <w:rPr>
          <w:b/>
          <w:bCs/>
          <w:i w:val="0"/>
          <w:iCs w:val="0"/>
          <w:noProof/>
          <w:color w:val="auto"/>
          <w:sz w:val="24"/>
          <w:szCs w:val="24"/>
        </w:rPr>
        <w:t>3</w:t>
      </w:r>
      <w:r w:rsidRPr="00096BD8">
        <w:rPr>
          <w:b/>
          <w:bCs/>
          <w:i w:val="0"/>
          <w:iCs w:val="0"/>
          <w:color w:val="auto"/>
          <w:sz w:val="24"/>
          <w:szCs w:val="24"/>
        </w:rPr>
        <w:fldChar w:fldCharType="end"/>
      </w:r>
      <w:r w:rsidR="00201466">
        <w:rPr>
          <w:b/>
          <w:bCs/>
          <w:i w:val="0"/>
          <w:iCs w:val="0"/>
          <w:color w:val="auto"/>
          <w:sz w:val="24"/>
          <w:szCs w:val="24"/>
        </w:rPr>
        <w:t>.</w:t>
      </w:r>
      <w:r w:rsidRPr="00096BD8">
        <w:rPr>
          <w:b/>
          <w:bCs/>
          <w:i w:val="0"/>
          <w:iCs w:val="0"/>
          <w:color w:val="auto"/>
          <w:sz w:val="24"/>
          <w:szCs w:val="24"/>
        </w:rPr>
        <w:t xml:space="preserve"> </w:t>
      </w:r>
      <w:proofErr w:type="spellStart"/>
      <w:r w:rsidRPr="00096BD8">
        <w:rPr>
          <w:i w:val="0"/>
          <w:iCs w:val="0"/>
          <w:color w:val="auto"/>
          <w:sz w:val="24"/>
          <w:szCs w:val="24"/>
        </w:rPr>
        <w:t>GenomeScope</w:t>
      </w:r>
      <w:proofErr w:type="spellEnd"/>
      <w:r w:rsidRPr="00096BD8">
        <w:rPr>
          <w:i w:val="0"/>
          <w:iCs w:val="0"/>
          <w:color w:val="auto"/>
          <w:sz w:val="24"/>
          <w:szCs w:val="24"/>
        </w:rPr>
        <w:t xml:space="preserve"> k-</w:t>
      </w:r>
      <w:proofErr w:type="spellStart"/>
      <w:r w:rsidRPr="00096BD8">
        <w:rPr>
          <w:i w:val="0"/>
          <w:iCs w:val="0"/>
          <w:color w:val="auto"/>
          <w:sz w:val="24"/>
          <w:szCs w:val="24"/>
        </w:rPr>
        <w:t>mer</w:t>
      </w:r>
      <w:proofErr w:type="spellEnd"/>
      <w:r w:rsidRPr="00096BD8">
        <w:rPr>
          <w:i w:val="0"/>
          <w:iCs w:val="0"/>
          <w:color w:val="auto"/>
          <w:sz w:val="24"/>
          <w:szCs w:val="24"/>
        </w:rPr>
        <w:t xml:space="preserve"> frequency spectrum for </w:t>
      </w:r>
      <w:r w:rsidRPr="002053D0">
        <w:rPr>
          <w:color w:val="auto"/>
          <w:sz w:val="24"/>
          <w:szCs w:val="24"/>
        </w:rPr>
        <w:t>M</w:t>
      </w:r>
      <w:r w:rsidR="002053D0" w:rsidRPr="002053D0">
        <w:rPr>
          <w:color w:val="auto"/>
          <w:sz w:val="24"/>
          <w:szCs w:val="24"/>
        </w:rPr>
        <w:t>.</w:t>
      </w:r>
      <w:r w:rsidRPr="002053D0">
        <w:rPr>
          <w:color w:val="auto"/>
          <w:sz w:val="24"/>
          <w:szCs w:val="24"/>
        </w:rPr>
        <w:t xml:space="preserve"> </w:t>
      </w:r>
      <w:proofErr w:type="spellStart"/>
      <w:r w:rsidRPr="002053D0">
        <w:rPr>
          <w:color w:val="auto"/>
          <w:sz w:val="24"/>
          <w:szCs w:val="24"/>
        </w:rPr>
        <w:t>beccarii</w:t>
      </w:r>
      <w:proofErr w:type="spellEnd"/>
      <w:r w:rsidRPr="00096BD8">
        <w:rPr>
          <w:i w:val="0"/>
          <w:iCs w:val="0"/>
          <w:color w:val="auto"/>
          <w:sz w:val="24"/>
          <w:szCs w:val="24"/>
        </w:rPr>
        <w:t>, showing k-</w:t>
      </w:r>
      <w:proofErr w:type="spellStart"/>
      <w:r w:rsidRPr="00096BD8">
        <w:rPr>
          <w:i w:val="0"/>
          <w:iCs w:val="0"/>
          <w:color w:val="auto"/>
          <w:sz w:val="24"/>
          <w:szCs w:val="24"/>
        </w:rPr>
        <w:t>mer</w:t>
      </w:r>
      <w:proofErr w:type="spellEnd"/>
      <w:r w:rsidRPr="00096BD8">
        <w:rPr>
          <w:i w:val="0"/>
          <w:iCs w:val="0"/>
          <w:color w:val="auto"/>
          <w:sz w:val="24"/>
          <w:szCs w:val="24"/>
        </w:rPr>
        <w:t xml:space="preserve"> coverage (x-axis) versus frequency (y-axis).</w:t>
      </w:r>
      <w:bookmarkEnd w:id="29"/>
    </w:p>
    <w:p w14:paraId="000000E5" w14:textId="77777777" w:rsidR="00E420E3" w:rsidRPr="00324308" w:rsidRDefault="008E5528" w:rsidP="00324308">
      <w:pPr>
        <w:pStyle w:val="Heading4"/>
      </w:pPr>
      <w:bookmarkStart w:id="30" w:name="_Toc235392976"/>
      <w:r w:rsidRPr="00324308">
        <w:t xml:space="preserve">2.4.2 Genome assembly of </w:t>
      </w:r>
      <w:proofErr w:type="spellStart"/>
      <w:r w:rsidRPr="00324308">
        <w:t>Hydnophytum</w:t>
      </w:r>
      <w:proofErr w:type="spellEnd"/>
      <w:r w:rsidRPr="00324308">
        <w:t xml:space="preserve"> </w:t>
      </w:r>
      <w:proofErr w:type="spellStart"/>
      <w:r w:rsidRPr="00324308">
        <w:t>moseleyanum</w:t>
      </w:r>
      <w:proofErr w:type="spellEnd"/>
      <w:r w:rsidRPr="00324308">
        <w:t xml:space="preserve"> and </w:t>
      </w:r>
      <w:proofErr w:type="spellStart"/>
      <w:r w:rsidRPr="00324308">
        <w:t>Myrmecodia</w:t>
      </w:r>
      <w:proofErr w:type="spellEnd"/>
      <w:r w:rsidRPr="00324308">
        <w:t xml:space="preserve"> </w:t>
      </w:r>
      <w:proofErr w:type="spellStart"/>
      <w:r w:rsidRPr="00324308">
        <w:t>beccarii</w:t>
      </w:r>
      <w:bookmarkEnd w:id="30"/>
      <w:proofErr w:type="spellEnd"/>
      <w:r w:rsidRPr="00324308">
        <w:t xml:space="preserve"> </w:t>
      </w:r>
    </w:p>
    <w:p w14:paraId="000000E6" w14:textId="4F53BF41" w:rsidR="00E420E3" w:rsidRDefault="008E5528" w:rsidP="00324308">
      <w:r>
        <w:t xml:space="preserve">The initial </w:t>
      </w:r>
      <w:r>
        <w:rPr>
          <w:i/>
          <w:iCs/>
        </w:rPr>
        <w:t xml:space="preserve">H. </w:t>
      </w:r>
      <w:proofErr w:type="spellStart"/>
      <w:r>
        <w:rPr>
          <w:i/>
          <w:iCs/>
        </w:rPr>
        <w:t>moseleyanum</w:t>
      </w:r>
      <w:proofErr w:type="spellEnd"/>
      <w:r>
        <w:rPr>
          <w:i/>
          <w:iCs/>
        </w:rPr>
        <w:t xml:space="preserve"> </w:t>
      </w:r>
      <w:r>
        <w:t xml:space="preserve">assembly generated using </w:t>
      </w:r>
      <w:proofErr w:type="spellStart"/>
      <w:r>
        <w:t>Hifiasm</w:t>
      </w:r>
      <w:proofErr w:type="spellEnd"/>
      <w:r>
        <w:t xml:space="preserve"> resulted in a genome size </w:t>
      </w:r>
      <w:r w:rsidR="00CC5260">
        <w:t>of approximately</w:t>
      </w:r>
      <w:r>
        <w:t xml:space="preserve"> 3.12 Gb across 166 contigs, with an N50 of 55.4 Mb (Table 1). Following </w:t>
      </w:r>
      <w:r w:rsidR="00CC5260">
        <w:t>the first</w:t>
      </w:r>
      <w:r>
        <w:t xml:space="preserve"> round of duplication purging, the genome size reduced slightly to 3.05 Gb and the </w:t>
      </w:r>
      <w:r w:rsidR="00825A39">
        <w:t>number of</w:t>
      </w:r>
      <w:r>
        <w:t xml:space="preserve"> contigs dropped to 100. A second round of Purge Dups substantially reduced the </w:t>
      </w:r>
      <w:r w:rsidR="00CC5260">
        <w:t>assembly size</w:t>
      </w:r>
      <w:r>
        <w:t xml:space="preserve"> to 1.64 Gb and the number of contigs to 42, while increasing the N50 to 69.6 </w:t>
      </w:r>
      <w:r w:rsidR="00825A39">
        <w:t>Mb, suggesting</w:t>
      </w:r>
      <w:r>
        <w:t xml:space="preserve"> effective removal of redundant haplotypic sequences. Across all stages, </w:t>
      </w:r>
      <w:r w:rsidR="00CC5260">
        <w:t xml:space="preserve">the </w:t>
      </w:r>
      <w:r w:rsidR="00CC5260">
        <w:lastRenderedPageBreak/>
        <w:t>maximum</w:t>
      </w:r>
      <w:r>
        <w:t xml:space="preserve"> contig length remained constant (~88.7 Mb), and no ambiguous bases (Ns) </w:t>
      </w:r>
      <w:r w:rsidR="00825A39">
        <w:t>were introduced</w:t>
      </w:r>
      <w:r>
        <w:t xml:space="preserve">. GC content was consistent at ~34.07–34.09%. </w:t>
      </w:r>
    </w:p>
    <w:p w14:paraId="7029864E" w14:textId="77777777" w:rsidR="009C0177" w:rsidRPr="00856741" w:rsidRDefault="009C0177" w:rsidP="00856741">
      <w:pPr>
        <w:spacing w:after="0"/>
        <w:rPr>
          <w:b/>
          <w:bCs/>
        </w:rPr>
      </w:pPr>
      <w:r w:rsidRPr="00856741">
        <w:rPr>
          <w:b/>
          <w:bCs/>
        </w:rPr>
        <w:t xml:space="preserve">Table 1. Assembly statistics for </w:t>
      </w:r>
      <w:r w:rsidRPr="002053D0">
        <w:rPr>
          <w:b/>
          <w:bCs/>
          <w:i/>
          <w:iCs/>
        </w:rPr>
        <w:t xml:space="preserve">H. </w:t>
      </w:r>
      <w:proofErr w:type="spellStart"/>
      <w:r w:rsidRPr="002053D0">
        <w:rPr>
          <w:b/>
          <w:bCs/>
          <w:i/>
          <w:iCs/>
        </w:rPr>
        <w:t>moseleyanum</w:t>
      </w:r>
      <w:proofErr w:type="spellEnd"/>
      <w:r w:rsidRPr="00856741">
        <w:rPr>
          <w:b/>
          <w:bCs/>
        </w:rPr>
        <w:t xml:space="preserve"> and 2 rounds of purge dups. </w:t>
      </w:r>
    </w:p>
    <w:tbl>
      <w:tblPr>
        <w:tblW w:w="8880" w:type="dxa"/>
        <w:tblLook w:val="04A0" w:firstRow="1" w:lastRow="0" w:firstColumn="1" w:lastColumn="0" w:noHBand="0" w:noVBand="1"/>
      </w:tblPr>
      <w:tblGrid>
        <w:gridCol w:w="2220"/>
        <w:gridCol w:w="2220"/>
        <w:gridCol w:w="2220"/>
        <w:gridCol w:w="2220"/>
      </w:tblGrid>
      <w:tr w:rsidR="002C1EC0" w:rsidRPr="007B6976" w14:paraId="5FEFED39" w14:textId="77777777" w:rsidTr="00700814">
        <w:trPr>
          <w:trHeight w:val="330"/>
        </w:trPr>
        <w:tc>
          <w:tcPr>
            <w:tcW w:w="2220" w:type="dxa"/>
            <w:tcBorders>
              <w:top w:val="single" w:sz="8" w:space="0" w:color="000000"/>
              <w:left w:val="nil"/>
              <w:bottom w:val="single" w:sz="8" w:space="0" w:color="000000"/>
              <w:right w:val="nil"/>
            </w:tcBorders>
            <w:vAlign w:val="center"/>
            <w:hideMark/>
          </w:tcPr>
          <w:p w14:paraId="127C9114" w14:textId="77777777" w:rsidR="002C1EC0" w:rsidRPr="007B6976" w:rsidRDefault="002C1EC0" w:rsidP="00700814">
            <w:pPr>
              <w:spacing w:after="0" w:line="240" w:lineRule="auto"/>
              <w:jc w:val="left"/>
              <w:rPr>
                <w:rFonts w:eastAsia="Times New Roman" w:cs="Times New Roman"/>
                <w:b/>
                <w:bCs/>
                <w:color w:val="000000"/>
                <w:szCs w:val="24"/>
              </w:rPr>
            </w:pPr>
            <w:r w:rsidRPr="007B6976">
              <w:rPr>
                <w:rFonts w:eastAsia="Times New Roman" w:cs="Times New Roman"/>
                <w:b/>
                <w:bCs/>
                <w:color w:val="000000"/>
                <w:szCs w:val="24"/>
              </w:rPr>
              <w:t>Assembly</w:t>
            </w:r>
          </w:p>
        </w:tc>
        <w:tc>
          <w:tcPr>
            <w:tcW w:w="2220" w:type="dxa"/>
            <w:tcBorders>
              <w:top w:val="single" w:sz="8" w:space="0" w:color="000000"/>
              <w:left w:val="nil"/>
              <w:bottom w:val="single" w:sz="8" w:space="0" w:color="000000"/>
              <w:right w:val="nil"/>
            </w:tcBorders>
            <w:vAlign w:val="center"/>
            <w:hideMark/>
          </w:tcPr>
          <w:p w14:paraId="4FD660CA" w14:textId="77777777" w:rsidR="002C1EC0" w:rsidRPr="007B6976" w:rsidRDefault="002C1EC0" w:rsidP="00700814">
            <w:pPr>
              <w:spacing w:after="0" w:line="240" w:lineRule="auto"/>
              <w:jc w:val="right"/>
              <w:rPr>
                <w:rFonts w:eastAsia="Times New Roman" w:cs="Times New Roman"/>
                <w:b/>
                <w:bCs/>
                <w:color w:val="000000"/>
                <w:szCs w:val="24"/>
              </w:rPr>
            </w:pPr>
            <w:proofErr w:type="spellStart"/>
            <w:r w:rsidRPr="007B6976">
              <w:rPr>
                <w:rFonts w:eastAsia="Times New Roman" w:cs="Times New Roman"/>
                <w:b/>
                <w:bCs/>
                <w:color w:val="000000"/>
                <w:szCs w:val="24"/>
              </w:rPr>
              <w:t>Hifiasm</w:t>
            </w:r>
            <w:proofErr w:type="spellEnd"/>
          </w:p>
        </w:tc>
        <w:tc>
          <w:tcPr>
            <w:tcW w:w="2220" w:type="dxa"/>
            <w:tcBorders>
              <w:top w:val="single" w:sz="8" w:space="0" w:color="000000"/>
              <w:left w:val="nil"/>
              <w:bottom w:val="single" w:sz="8" w:space="0" w:color="000000"/>
              <w:right w:val="nil"/>
            </w:tcBorders>
            <w:vAlign w:val="center"/>
            <w:hideMark/>
          </w:tcPr>
          <w:p w14:paraId="6E4C0BE2" w14:textId="77777777" w:rsidR="002C1EC0" w:rsidRPr="007B6976" w:rsidRDefault="002C1EC0" w:rsidP="00700814">
            <w:pPr>
              <w:spacing w:after="0" w:line="240" w:lineRule="auto"/>
              <w:jc w:val="right"/>
              <w:rPr>
                <w:rFonts w:eastAsia="Times New Roman" w:cs="Times New Roman"/>
                <w:b/>
                <w:bCs/>
                <w:color w:val="000000"/>
                <w:szCs w:val="24"/>
              </w:rPr>
            </w:pPr>
            <w:r w:rsidRPr="007B6976">
              <w:rPr>
                <w:rFonts w:eastAsia="Times New Roman" w:cs="Times New Roman"/>
                <w:b/>
                <w:bCs/>
                <w:color w:val="000000"/>
                <w:szCs w:val="24"/>
              </w:rPr>
              <w:t>Purge dups rnd1</w:t>
            </w:r>
          </w:p>
        </w:tc>
        <w:tc>
          <w:tcPr>
            <w:tcW w:w="2220" w:type="dxa"/>
            <w:tcBorders>
              <w:top w:val="single" w:sz="8" w:space="0" w:color="000000"/>
              <w:left w:val="nil"/>
              <w:bottom w:val="single" w:sz="8" w:space="0" w:color="000000"/>
              <w:right w:val="nil"/>
            </w:tcBorders>
            <w:vAlign w:val="center"/>
            <w:hideMark/>
          </w:tcPr>
          <w:p w14:paraId="7670C985" w14:textId="77777777" w:rsidR="002C1EC0" w:rsidRPr="007B6976" w:rsidRDefault="002C1EC0" w:rsidP="00700814">
            <w:pPr>
              <w:spacing w:after="0" w:line="240" w:lineRule="auto"/>
              <w:jc w:val="right"/>
              <w:rPr>
                <w:rFonts w:eastAsia="Times New Roman" w:cs="Times New Roman"/>
                <w:b/>
                <w:bCs/>
                <w:color w:val="000000"/>
                <w:szCs w:val="24"/>
              </w:rPr>
            </w:pPr>
            <w:r w:rsidRPr="007B6976">
              <w:rPr>
                <w:rFonts w:eastAsia="Times New Roman" w:cs="Times New Roman"/>
                <w:b/>
                <w:bCs/>
                <w:color w:val="000000"/>
                <w:szCs w:val="24"/>
              </w:rPr>
              <w:t>Purge dups rnd2</w:t>
            </w:r>
          </w:p>
        </w:tc>
      </w:tr>
      <w:tr w:rsidR="002C1EC0" w:rsidRPr="007B6976" w14:paraId="73CEF65C" w14:textId="77777777" w:rsidTr="00700814">
        <w:trPr>
          <w:trHeight w:val="315"/>
        </w:trPr>
        <w:tc>
          <w:tcPr>
            <w:tcW w:w="2220" w:type="dxa"/>
            <w:tcBorders>
              <w:top w:val="nil"/>
              <w:left w:val="nil"/>
              <w:bottom w:val="nil"/>
              <w:right w:val="nil"/>
            </w:tcBorders>
            <w:shd w:val="clear" w:color="000000" w:fill="D9D9D9"/>
            <w:vAlign w:val="center"/>
            <w:hideMark/>
          </w:tcPr>
          <w:p w14:paraId="126C91EE" w14:textId="77777777" w:rsidR="002C1EC0" w:rsidRPr="007B6976" w:rsidRDefault="002C1EC0" w:rsidP="002C1EC0">
            <w:pPr>
              <w:spacing w:after="0" w:line="240" w:lineRule="auto"/>
              <w:jc w:val="left"/>
              <w:rPr>
                <w:rFonts w:eastAsia="Times New Roman" w:cs="Times New Roman"/>
                <w:color w:val="000000"/>
                <w:szCs w:val="24"/>
              </w:rPr>
            </w:pPr>
            <w:r w:rsidRPr="007B6976">
              <w:rPr>
                <w:rFonts w:eastAsia="Times New Roman" w:cs="Times New Roman"/>
                <w:color w:val="000000"/>
                <w:szCs w:val="24"/>
              </w:rPr>
              <w:t>Genome length (bp)</w:t>
            </w:r>
          </w:p>
        </w:tc>
        <w:tc>
          <w:tcPr>
            <w:tcW w:w="2220" w:type="dxa"/>
            <w:tcBorders>
              <w:top w:val="nil"/>
              <w:left w:val="nil"/>
              <w:bottom w:val="nil"/>
              <w:right w:val="nil"/>
            </w:tcBorders>
            <w:shd w:val="clear" w:color="000000" w:fill="D9D9D9"/>
            <w:vAlign w:val="center"/>
            <w:hideMark/>
          </w:tcPr>
          <w:p w14:paraId="6A27125A" w14:textId="2088FB4E" w:rsidR="002C1EC0" w:rsidRPr="007B6976" w:rsidRDefault="002C1EC0" w:rsidP="002C1EC0">
            <w:pPr>
              <w:spacing w:after="0" w:line="240" w:lineRule="auto"/>
              <w:jc w:val="right"/>
              <w:rPr>
                <w:rFonts w:eastAsia="Times New Roman" w:cs="Times New Roman"/>
                <w:color w:val="000000"/>
                <w:szCs w:val="24"/>
              </w:rPr>
            </w:pPr>
            <w:r w:rsidRPr="00CC68A2">
              <w:rPr>
                <w:rFonts w:eastAsia="Times New Roman" w:cs="Times New Roman"/>
                <w:color w:val="000000"/>
                <w:szCs w:val="24"/>
              </w:rPr>
              <w:t>3118793973</w:t>
            </w:r>
          </w:p>
        </w:tc>
        <w:tc>
          <w:tcPr>
            <w:tcW w:w="2220" w:type="dxa"/>
            <w:tcBorders>
              <w:top w:val="nil"/>
              <w:left w:val="nil"/>
              <w:bottom w:val="nil"/>
              <w:right w:val="nil"/>
            </w:tcBorders>
            <w:shd w:val="clear" w:color="000000" w:fill="D9D9D9"/>
            <w:vAlign w:val="center"/>
            <w:hideMark/>
          </w:tcPr>
          <w:p w14:paraId="77F7FE0E" w14:textId="5253F71C" w:rsidR="002C1EC0" w:rsidRPr="007B6976" w:rsidRDefault="002C1EC0" w:rsidP="002C1EC0">
            <w:pPr>
              <w:spacing w:after="0" w:line="240" w:lineRule="auto"/>
              <w:jc w:val="right"/>
              <w:rPr>
                <w:rFonts w:eastAsia="Times New Roman" w:cs="Times New Roman"/>
                <w:color w:val="000000"/>
                <w:szCs w:val="24"/>
              </w:rPr>
            </w:pPr>
            <w:r w:rsidRPr="00CC68A2">
              <w:rPr>
                <w:rFonts w:eastAsia="Times New Roman" w:cs="Times New Roman"/>
                <w:color w:val="000000"/>
                <w:szCs w:val="24"/>
              </w:rPr>
              <w:t>3048079284</w:t>
            </w:r>
          </w:p>
        </w:tc>
        <w:tc>
          <w:tcPr>
            <w:tcW w:w="2220" w:type="dxa"/>
            <w:tcBorders>
              <w:top w:val="nil"/>
              <w:left w:val="nil"/>
              <w:bottom w:val="nil"/>
              <w:right w:val="nil"/>
            </w:tcBorders>
            <w:shd w:val="clear" w:color="000000" w:fill="D9D9D9"/>
            <w:vAlign w:val="center"/>
            <w:hideMark/>
          </w:tcPr>
          <w:p w14:paraId="7FDA467C" w14:textId="6187940B" w:rsidR="002C1EC0" w:rsidRPr="007B6976" w:rsidRDefault="002C1EC0" w:rsidP="002C1EC0">
            <w:pPr>
              <w:spacing w:after="0" w:line="240" w:lineRule="auto"/>
              <w:jc w:val="right"/>
              <w:rPr>
                <w:rFonts w:eastAsia="Times New Roman" w:cs="Times New Roman"/>
                <w:color w:val="000000"/>
                <w:szCs w:val="24"/>
              </w:rPr>
            </w:pPr>
            <w:r w:rsidRPr="00CC68A2">
              <w:rPr>
                <w:rFonts w:eastAsia="Times New Roman" w:cs="Times New Roman"/>
                <w:color w:val="000000"/>
                <w:szCs w:val="24"/>
              </w:rPr>
              <w:t>1644526057</w:t>
            </w:r>
          </w:p>
        </w:tc>
      </w:tr>
      <w:tr w:rsidR="002C1EC0" w:rsidRPr="007B6976" w14:paraId="751D2AEA" w14:textId="77777777" w:rsidTr="00700814">
        <w:trPr>
          <w:trHeight w:val="315"/>
        </w:trPr>
        <w:tc>
          <w:tcPr>
            <w:tcW w:w="2220" w:type="dxa"/>
            <w:tcBorders>
              <w:top w:val="nil"/>
              <w:left w:val="nil"/>
              <w:bottom w:val="nil"/>
              <w:right w:val="nil"/>
            </w:tcBorders>
            <w:vAlign w:val="center"/>
            <w:hideMark/>
          </w:tcPr>
          <w:p w14:paraId="65CE163D" w14:textId="77777777" w:rsidR="002C1EC0" w:rsidRPr="007B6976" w:rsidRDefault="002C1EC0" w:rsidP="002C1EC0">
            <w:pPr>
              <w:spacing w:after="0" w:line="240" w:lineRule="auto"/>
              <w:jc w:val="left"/>
              <w:rPr>
                <w:rFonts w:eastAsia="Times New Roman" w:cs="Times New Roman"/>
                <w:color w:val="000000"/>
                <w:szCs w:val="24"/>
              </w:rPr>
            </w:pPr>
            <w:r w:rsidRPr="007B6976">
              <w:rPr>
                <w:rFonts w:eastAsia="Times New Roman" w:cs="Times New Roman"/>
                <w:color w:val="000000"/>
                <w:szCs w:val="24"/>
              </w:rPr>
              <w:t>Scaffold Max length</w:t>
            </w:r>
          </w:p>
        </w:tc>
        <w:tc>
          <w:tcPr>
            <w:tcW w:w="2220" w:type="dxa"/>
            <w:tcBorders>
              <w:top w:val="nil"/>
              <w:left w:val="nil"/>
              <w:bottom w:val="nil"/>
              <w:right w:val="nil"/>
            </w:tcBorders>
            <w:vAlign w:val="center"/>
            <w:hideMark/>
          </w:tcPr>
          <w:p w14:paraId="2E3814E0" w14:textId="041D2CA9" w:rsidR="002C1EC0" w:rsidRPr="007B6976" w:rsidRDefault="002C1EC0" w:rsidP="002C1EC0">
            <w:pPr>
              <w:spacing w:after="0" w:line="240" w:lineRule="auto"/>
              <w:jc w:val="right"/>
              <w:rPr>
                <w:rFonts w:eastAsia="Times New Roman" w:cs="Times New Roman"/>
                <w:color w:val="000000"/>
                <w:szCs w:val="24"/>
              </w:rPr>
            </w:pPr>
            <w:r w:rsidRPr="00CC68A2">
              <w:rPr>
                <w:rFonts w:eastAsia="Times New Roman" w:cs="Times New Roman"/>
                <w:color w:val="000000"/>
                <w:szCs w:val="24"/>
              </w:rPr>
              <w:t>88688367</w:t>
            </w:r>
          </w:p>
        </w:tc>
        <w:tc>
          <w:tcPr>
            <w:tcW w:w="2220" w:type="dxa"/>
            <w:tcBorders>
              <w:top w:val="nil"/>
              <w:left w:val="nil"/>
              <w:bottom w:val="nil"/>
              <w:right w:val="nil"/>
            </w:tcBorders>
            <w:vAlign w:val="center"/>
            <w:hideMark/>
          </w:tcPr>
          <w:p w14:paraId="3885B2BD" w14:textId="61AAB722" w:rsidR="002C1EC0" w:rsidRPr="007B6976" w:rsidRDefault="002C1EC0" w:rsidP="002C1EC0">
            <w:pPr>
              <w:spacing w:after="0" w:line="240" w:lineRule="auto"/>
              <w:jc w:val="right"/>
              <w:rPr>
                <w:rFonts w:eastAsia="Times New Roman" w:cs="Times New Roman"/>
                <w:color w:val="000000"/>
                <w:szCs w:val="24"/>
              </w:rPr>
            </w:pPr>
            <w:r w:rsidRPr="00CC68A2">
              <w:rPr>
                <w:rFonts w:eastAsia="Times New Roman" w:cs="Times New Roman"/>
                <w:color w:val="000000"/>
                <w:szCs w:val="24"/>
              </w:rPr>
              <w:t>88688367</w:t>
            </w:r>
          </w:p>
        </w:tc>
        <w:tc>
          <w:tcPr>
            <w:tcW w:w="2220" w:type="dxa"/>
            <w:tcBorders>
              <w:top w:val="nil"/>
              <w:left w:val="nil"/>
              <w:bottom w:val="nil"/>
              <w:right w:val="nil"/>
            </w:tcBorders>
            <w:vAlign w:val="center"/>
            <w:hideMark/>
          </w:tcPr>
          <w:p w14:paraId="7C26BC92" w14:textId="30E2194F" w:rsidR="002C1EC0" w:rsidRPr="007B6976" w:rsidRDefault="002C1EC0" w:rsidP="002C1EC0">
            <w:pPr>
              <w:spacing w:after="0" w:line="240" w:lineRule="auto"/>
              <w:jc w:val="right"/>
              <w:rPr>
                <w:rFonts w:eastAsia="Times New Roman" w:cs="Times New Roman"/>
                <w:color w:val="000000"/>
                <w:szCs w:val="24"/>
              </w:rPr>
            </w:pPr>
            <w:r w:rsidRPr="00CC68A2">
              <w:rPr>
                <w:rFonts w:eastAsia="Times New Roman" w:cs="Times New Roman"/>
                <w:color w:val="000000"/>
                <w:szCs w:val="24"/>
              </w:rPr>
              <w:t>88688367</w:t>
            </w:r>
          </w:p>
        </w:tc>
      </w:tr>
      <w:tr w:rsidR="002C1EC0" w:rsidRPr="007B6976" w14:paraId="61EFDF44" w14:textId="77777777" w:rsidTr="00700814">
        <w:trPr>
          <w:trHeight w:val="315"/>
        </w:trPr>
        <w:tc>
          <w:tcPr>
            <w:tcW w:w="2220" w:type="dxa"/>
            <w:tcBorders>
              <w:top w:val="nil"/>
              <w:left w:val="nil"/>
              <w:bottom w:val="nil"/>
              <w:right w:val="nil"/>
            </w:tcBorders>
            <w:shd w:val="clear" w:color="000000" w:fill="D9D9D9"/>
            <w:vAlign w:val="center"/>
            <w:hideMark/>
          </w:tcPr>
          <w:p w14:paraId="7B045933" w14:textId="77777777" w:rsidR="002C1EC0" w:rsidRPr="007B6976" w:rsidRDefault="002C1EC0" w:rsidP="002C1EC0">
            <w:pPr>
              <w:spacing w:after="0" w:line="240" w:lineRule="auto"/>
              <w:jc w:val="left"/>
              <w:rPr>
                <w:rFonts w:eastAsia="Times New Roman" w:cs="Times New Roman"/>
                <w:color w:val="000000"/>
                <w:szCs w:val="24"/>
              </w:rPr>
            </w:pPr>
            <w:r w:rsidRPr="007B6976">
              <w:rPr>
                <w:rFonts w:eastAsia="Times New Roman" w:cs="Times New Roman"/>
                <w:color w:val="000000"/>
                <w:szCs w:val="24"/>
              </w:rPr>
              <w:t>Scaffold Min length</w:t>
            </w:r>
          </w:p>
        </w:tc>
        <w:tc>
          <w:tcPr>
            <w:tcW w:w="2220" w:type="dxa"/>
            <w:tcBorders>
              <w:top w:val="nil"/>
              <w:left w:val="nil"/>
              <w:bottom w:val="nil"/>
              <w:right w:val="nil"/>
            </w:tcBorders>
            <w:shd w:val="clear" w:color="000000" w:fill="D9D9D9"/>
            <w:vAlign w:val="center"/>
            <w:hideMark/>
          </w:tcPr>
          <w:p w14:paraId="70DF0604" w14:textId="37204158" w:rsidR="002C1EC0" w:rsidRPr="007B6976" w:rsidRDefault="002C1EC0" w:rsidP="002C1EC0">
            <w:pPr>
              <w:spacing w:after="0" w:line="240" w:lineRule="auto"/>
              <w:jc w:val="right"/>
              <w:rPr>
                <w:rFonts w:eastAsia="Times New Roman" w:cs="Times New Roman"/>
                <w:color w:val="000000"/>
                <w:szCs w:val="24"/>
              </w:rPr>
            </w:pPr>
            <w:r w:rsidRPr="00CC68A2">
              <w:rPr>
                <w:rFonts w:eastAsia="Times New Roman" w:cs="Times New Roman"/>
                <w:color w:val="000000"/>
                <w:szCs w:val="24"/>
              </w:rPr>
              <w:t>17327</w:t>
            </w:r>
          </w:p>
        </w:tc>
        <w:tc>
          <w:tcPr>
            <w:tcW w:w="2220" w:type="dxa"/>
            <w:tcBorders>
              <w:top w:val="nil"/>
              <w:left w:val="nil"/>
              <w:bottom w:val="nil"/>
              <w:right w:val="nil"/>
            </w:tcBorders>
            <w:shd w:val="clear" w:color="000000" w:fill="D9D9D9"/>
            <w:vAlign w:val="center"/>
            <w:hideMark/>
          </w:tcPr>
          <w:p w14:paraId="36F6B779" w14:textId="5C507AF8" w:rsidR="002C1EC0" w:rsidRPr="007B6976" w:rsidRDefault="002C1EC0" w:rsidP="002C1EC0">
            <w:pPr>
              <w:spacing w:after="0" w:line="240" w:lineRule="auto"/>
              <w:jc w:val="right"/>
              <w:rPr>
                <w:rFonts w:eastAsia="Times New Roman" w:cs="Times New Roman"/>
                <w:color w:val="000000"/>
                <w:szCs w:val="24"/>
              </w:rPr>
            </w:pPr>
            <w:r w:rsidRPr="00CC68A2">
              <w:rPr>
                <w:rFonts w:eastAsia="Times New Roman" w:cs="Times New Roman"/>
                <w:color w:val="000000"/>
                <w:szCs w:val="24"/>
              </w:rPr>
              <w:t>25254</w:t>
            </w:r>
          </w:p>
        </w:tc>
        <w:tc>
          <w:tcPr>
            <w:tcW w:w="2220" w:type="dxa"/>
            <w:tcBorders>
              <w:top w:val="nil"/>
              <w:left w:val="nil"/>
              <w:bottom w:val="nil"/>
              <w:right w:val="nil"/>
            </w:tcBorders>
            <w:shd w:val="clear" w:color="000000" w:fill="D9D9D9"/>
            <w:vAlign w:val="center"/>
            <w:hideMark/>
          </w:tcPr>
          <w:p w14:paraId="31E965B7" w14:textId="0F42F2B1" w:rsidR="002C1EC0" w:rsidRPr="007B6976" w:rsidRDefault="002C1EC0" w:rsidP="002C1EC0">
            <w:pPr>
              <w:spacing w:after="0" w:line="240" w:lineRule="auto"/>
              <w:jc w:val="right"/>
              <w:rPr>
                <w:rFonts w:eastAsia="Times New Roman" w:cs="Times New Roman"/>
                <w:color w:val="000000"/>
                <w:szCs w:val="24"/>
              </w:rPr>
            </w:pPr>
            <w:r w:rsidRPr="00CC68A2">
              <w:rPr>
                <w:rFonts w:eastAsia="Times New Roman" w:cs="Times New Roman"/>
                <w:color w:val="000000"/>
                <w:szCs w:val="24"/>
              </w:rPr>
              <w:t>25254</w:t>
            </w:r>
          </w:p>
        </w:tc>
      </w:tr>
      <w:tr w:rsidR="002C1EC0" w:rsidRPr="007B6976" w14:paraId="65A63EF3" w14:textId="77777777" w:rsidTr="00700814">
        <w:trPr>
          <w:trHeight w:val="315"/>
        </w:trPr>
        <w:tc>
          <w:tcPr>
            <w:tcW w:w="2220" w:type="dxa"/>
            <w:tcBorders>
              <w:top w:val="nil"/>
              <w:left w:val="nil"/>
              <w:bottom w:val="nil"/>
              <w:right w:val="nil"/>
            </w:tcBorders>
            <w:vAlign w:val="center"/>
            <w:hideMark/>
          </w:tcPr>
          <w:p w14:paraId="4A551FF9" w14:textId="77777777" w:rsidR="002C1EC0" w:rsidRPr="007B6976" w:rsidRDefault="002C1EC0" w:rsidP="002C1EC0">
            <w:pPr>
              <w:spacing w:after="0" w:line="240" w:lineRule="auto"/>
              <w:jc w:val="left"/>
              <w:rPr>
                <w:rFonts w:eastAsia="Times New Roman" w:cs="Times New Roman"/>
                <w:color w:val="000000"/>
                <w:szCs w:val="24"/>
              </w:rPr>
            </w:pPr>
            <w:r w:rsidRPr="007B6976">
              <w:rPr>
                <w:rFonts w:eastAsia="Times New Roman" w:cs="Times New Roman"/>
                <w:color w:val="000000"/>
                <w:szCs w:val="24"/>
              </w:rPr>
              <w:t>Num contigs</w:t>
            </w:r>
          </w:p>
        </w:tc>
        <w:tc>
          <w:tcPr>
            <w:tcW w:w="2220" w:type="dxa"/>
            <w:tcBorders>
              <w:top w:val="nil"/>
              <w:left w:val="nil"/>
              <w:bottom w:val="nil"/>
              <w:right w:val="nil"/>
            </w:tcBorders>
            <w:vAlign w:val="center"/>
            <w:hideMark/>
          </w:tcPr>
          <w:p w14:paraId="3EB87F5B" w14:textId="69CE1348" w:rsidR="002C1EC0" w:rsidRPr="007B6976" w:rsidRDefault="002C1EC0" w:rsidP="002C1EC0">
            <w:pPr>
              <w:spacing w:after="0" w:line="240" w:lineRule="auto"/>
              <w:jc w:val="right"/>
              <w:rPr>
                <w:rFonts w:eastAsia="Times New Roman" w:cs="Times New Roman"/>
                <w:color w:val="000000"/>
                <w:szCs w:val="24"/>
              </w:rPr>
            </w:pPr>
            <w:r w:rsidRPr="00CC68A2">
              <w:rPr>
                <w:rFonts w:eastAsia="Times New Roman" w:cs="Times New Roman"/>
                <w:color w:val="000000"/>
                <w:szCs w:val="24"/>
              </w:rPr>
              <w:t>166</w:t>
            </w:r>
          </w:p>
        </w:tc>
        <w:tc>
          <w:tcPr>
            <w:tcW w:w="2220" w:type="dxa"/>
            <w:tcBorders>
              <w:top w:val="nil"/>
              <w:left w:val="nil"/>
              <w:bottom w:val="nil"/>
              <w:right w:val="nil"/>
            </w:tcBorders>
            <w:vAlign w:val="center"/>
            <w:hideMark/>
          </w:tcPr>
          <w:p w14:paraId="46FA8F1D" w14:textId="586AD151" w:rsidR="002C1EC0" w:rsidRPr="007B6976" w:rsidRDefault="002C1EC0" w:rsidP="002C1EC0">
            <w:pPr>
              <w:spacing w:after="0" w:line="240" w:lineRule="auto"/>
              <w:jc w:val="right"/>
              <w:rPr>
                <w:rFonts w:eastAsia="Times New Roman" w:cs="Times New Roman"/>
                <w:color w:val="000000"/>
                <w:szCs w:val="24"/>
              </w:rPr>
            </w:pPr>
            <w:r w:rsidRPr="00CC68A2">
              <w:rPr>
                <w:rFonts w:eastAsia="Times New Roman" w:cs="Times New Roman"/>
                <w:color w:val="000000"/>
                <w:szCs w:val="24"/>
              </w:rPr>
              <w:t>100</w:t>
            </w:r>
          </w:p>
        </w:tc>
        <w:tc>
          <w:tcPr>
            <w:tcW w:w="2220" w:type="dxa"/>
            <w:tcBorders>
              <w:top w:val="nil"/>
              <w:left w:val="nil"/>
              <w:bottom w:val="nil"/>
              <w:right w:val="nil"/>
            </w:tcBorders>
            <w:vAlign w:val="center"/>
            <w:hideMark/>
          </w:tcPr>
          <w:p w14:paraId="15512933" w14:textId="41DDD22C" w:rsidR="002C1EC0" w:rsidRPr="007B6976" w:rsidRDefault="002C1EC0" w:rsidP="002C1EC0">
            <w:pPr>
              <w:spacing w:after="0" w:line="240" w:lineRule="auto"/>
              <w:jc w:val="right"/>
              <w:rPr>
                <w:rFonts w:eastAsia="Times New Roman" w:cs="Times New Roman"/>
                <w:color w:val="000000"/>
                <w:szCs w:val="24"/>
              </w:rPr>
            </w:pPr>
            <w:r w:rsidRPr="00CC68A2">
              <w:rPr>
                <w:rFonts w:eastAsia="Times New Roman" w:cs="Times New Roman"/>
                <w:color w:val="000000"/>
                <w:szCs w:val="24"/>
              </w:rPr>
              <w:t>42</w:t>
            </w:r>
          </w:p>
        </w:tc>
      </w:tr>
      <w:tr w:rsidR="002C1EC0" w:rsidRPr="007B6976" w14:paraId="1F1FF680" w14:textId="77777777" w:rsidTr="00700814">
        <w:trPr>
          <w:trHeight w:val="330"/>
        </w:trPr>
        <w:tc>
          <w:tcPr>
            <w:tcW w:w="2220" w:type="dxa"/>
            <w:tcBorders>
              <w:top w:val="nil"/>
              <w:left w:val="nil"/>
              <w:bottom w:val="single" w:sz="8" w:space="0" w:color="000000"/>
              <w:right w:val="nil"/>
            </w:tcBorders>
            <w:shd w:val="clear" w:color="000000" w:fill="D9D9D9"/>
            <w:vAlign w:val="center"/>
            <w:hideMark/>
          </w:tcPr>
          <w:p w14:paraId="35C9DDAC" w14:textId="77777777" w:rsidR="002C1EC0" w:rsidRPr="007B6976" w:rsidRDefault="002C1EC0" w:rsidP="002C1EC0">
            <w:pPr>
              <w:spacing w:after="0" w:line="240" w:lineRule="auto"/>
              <w:jc w:val="left"/>
              <w:rPr>
                <w:rFonts w:eastAsia="Times New Roman" w:cs="Times New Roman"/>
                <w:color w:val="000000"/>
                <w:szCs w:val="24"/>
              </w:rPr>
            </w:pPr>
            <w:r w:rsidRPr="007B6976">
              <w:rPr>
                <w:rFonts w:eastAsia="Times New Roman" w:cs="Times New Roman"/>
                <w:color w:val="000000"/>
                <w:szCs w:val="24"/>
              </w:rPr>
              <w:t>n50</w:t>
            </w:r>
          </w:p>
        </w:tc>
        <w:tc>
          <w:tcPr>
            <w:tcW w:w="2220" w:type="dxa"/>
            <w:tcBorders>
              <w:top w:val="nil"/>
              <w:left w:val="nil"/>
              <w:bottom w:val="single" w:sz="8" w:space="0" w:color="000000"/>
              <w:right w:val="nil"/>
            </w:tcBorders>
            <w:shd w:val="clear" w:color="000000" w:fill="D9D9D9"/>
            <w:vAlign w:val="center"/>
            <w:hideMark/>
          </w:tcPr>
          <w:p w14:paraId="1C49F0D2" w14:textId="5B0290F6" w:rsidR="002C1EC0" w:rsidRPr="007B6976" w:rsidRDefault="002C1EC0" w:rsidP="002C1EC0">
            <w:pPr>
              <w:spacing w:after="0" w:line="240" w:lineRule="auto"/>
              <w:jc w:val="right"/>
              <w:rPr>
                <w:rFonts w:eastAsia="Times New Roman" w:cs="Times New Roman"/>
                <w:color w:val="000000"/>
                <w:szCs w:val="24"/>
              </w:rPr>
            </w:pPr>
            <w:r w:rsidRPr="00CC68A2">
              <w:rPr>
                <w:rFonts w:eastAsia="Times New Roman" w:cs="Times New Roman"/>
                <w:color w:val="000000"/>
                <w:szCs w:val="24"/>
              </w:rPr>
              <w:t>55397957</w:t>
            </w:r>
          </w:p>
        </w:tc>
        <w:tc>
          <w:tcPr>
            <w:tcW w:w="2220" w:type="dxa"/>
            <w:tcBorders>
              <w:top w:val="nil"/>
              <w:left w:val="nil"/>
              <w:bottom w:val="single" w:sz="8" w:space="0" w:color="000000"/>
              <w:right w:val="nil"/>
            </w:tcBorders>
            <w:shd w:val="clear" w:color="000000" w:fill="D9D9D9"/>
            <w:vAlign w:val="center"/>
            <w:hideMark/>
          </w:tcPr>
          <w:p w14:paraId="5BA859E4" w14:textId="61AA2FF1" w:rsidR="002C1EC0" w:rsidRPr="007B6976" w:rsidRDefault="002C1EC0" w:rsidP="002C1EC0">
            <w:pPr>
              <w:spacing w:after="0" w:line="240" w:lineRule="auto"/>
              <w:jc w:val="right"/>
              <w:rPr>
                <w:rFonts w:eastAsia="Times New Roman" w:cs="Times New Roman"/>
                <w:color w:val="000000"/>
                <w:szCs w:val="24"/>
              </w:rPr>
            </w:pPr>
            <w:r w:rsidRPr="00CC68A2">
              <w:rPr>
                <w:rFonts w:eastAsia="Times New Roman" w:cs="Times New Roman"/>
                <w:color w:val="000000"/>
                <w:szCs w:val="24"/>
              </w:rPr>
              <w:t>55563477</w:t>
            </w:r>
          </w:p>
        </w:tc>
        <w:tc>
          <w:tcPr>
            <w:tcW w:w="2220" w:type="dxa"/>
            <w:tcBorders>
              <w:top w:val="nil"/>
              <w:left w:val="nil"/>
              <w:bottom w:val="single" w:sz="8" w:space="0" w:color="000000"/>
              <w:right w:val="nil"/>
            </w:tcBorders>
            <w:shd w:val="clear" w:color="000000" w:fill="D9D9D9"/>
            <w:vAlign w:val="center"/>
            <w:hideMark/>
          </w:tcPr>
          <w:p w14:paraId="648D631B" w14:textId="7B64B446" w:rsidR="002C1EC0" w:rsidRPr="007B6976" w:rsidRDefault="002C1EC0" w:rsidP="002C1EC0">
            <w:pPr>
              <w:spacing w:after="0" w:line="240" w:lineRule="auto"/>
              <w:jc w:val="right"/>
              <w:rPr>
                <w:rFonts w:eastAsia="Times New Roman" w:cs="Times New Roman"/>
                <w:color w:val="000000"/>
                <w:szCs w:val="24"/>
              </w:rPr>
            </w:pPr>
            <w:r w:rsidRPr="00CC68A2">
              <w:rPr>
                <w:rFonts w:eastAsia="Times New Roman" w:cs="Times New Roman"/>
                <w:color w:val="000000"/>
                <w:szCs w:val="24"/>
              </w:rPr>
              <w:t>69625299</w:t>
            </w:r>
          </w:p>
        </w:tc>
      </w:tr>
      <w:tr w:rsidR="002C1EC0" w:rsidRPr="007B6976" w14:paraId="44894D68" w14:textId="77777777" w:rsidTr="00700814">
        <w:trPr>
          <w:trHeight w:val="315"/>
        </w:trPr>
        <w:tc>
          <w:tcPr>
            <w:tcW w:w="2220" w:type="dxa"/>
            <w:tcBorders>
              <w:top w:val="nil"/>
              <w:left w:val="nil"/>
              <w:bottom w:val="nil"/>
              <w:right w:val="nil"/>
            </w:tcBorders>
            <w:vAlign w:val="center"/>
            <w:hideMark/>
          </w:tcPr>
          <w:p w14:paraId="2840515C" w14:textId="77777777" w:rsidR="002C1EC0" w:rsidRPr="007B6976" w:rsidRDefault="002C1EC0" w:rsidP="00700814">
            <w:pPr>
              <w:spacing w:after="0" w:line="240" w:lineRule="auto"/>
              <w:jc w:val="left"/>
              <w:rPr>
                <w:rFonts w:eastAsia="Times New Roman" w:cs="Times New Roman"/>
                <w:color w:val="000000"/>
                <w:szCs w:val="24"/>
              </w:rPr>
            </w:pPr>
            <w:r w:rsidRPr="007B6976">
              <w:rPr>
                <w:rFonts w:eastAsia="Times New Roman" w:cs="Times New Roman"/>
                <w:color w:val="000000"/>
                <w:szCs w:val="24"/>
              </w:rPr>
              <w:t>GC percentage</w:t>
            </w:r>
          </w:p>
        </w:tc>
        <w:tc>
          <w:tcPr>
            <w:tcW w:w="2220" w:type="dxa"/>
            <w:tcBorders>
              <w:top w:val="nil"/>
              <w:left w:val="nil"/>
              <w:bottom w:val="nil"/>
              <w:right w:val="nil"/>
            </w:tcBorders>
            <w:vAlign w:val="center"/>
            <w:hideMark/>
          </w:tcPr>
          <w:p w14:paraId="467E0D7D" w14:textId="5387664F" w:rsidR="002C1EC0" w:rsidRPr="007B6976" w:rsidRDefault="002C1EC0" w:rsidP="00700814">
            <w:pPr>
              <w:spacing w:after="0" w:line="240" w:lineRule="auto"/>
              <w:jc w:val="right"/>
              <w:rPr>
                <w:rFonts w:eastAsia="Times New Roman" w:cs="Times New Roman"/>
                <w:color w:val="000000"/>
                <w:szCs w:val="24"/>
              </w:rPr>
            </w:pPr>
            <w:r w:rsidRPr="007B6976">
              <w:rPr>
                <w:rFonts w:eastAsia="Times New Roman" w:cs="Times New Roman"/>
                <w:color w:val="000000"/>
                <w:szCs w:val="24"/>
              </w:rPr>
              <w:t>34.0</w:t>
            </w:r>
            <w:r>
              <w:rPr>
                <w:rFonts w:eastAsia="Times New Roman" w:cs="Times New Roman"/>
                <w:color w:val="000000"/>
                <w:szCs w:val="24"/>
              </w:rPr>
              <w:t>7</w:t>
            </w:r>
            <w:r w:rsidRPr="007B6976">
              <w:rPr>
                <w:rFonts w:eastAsia="Times New Roman" w:cs="Times New Roman"/>
                <w:color w:val="000000"/>
                <w:szCs w:val="24"/>
              </w:rPr>
              <w:t>%</w:t>
            </w:r>
          </w:p>
        </w:tc>
        <w:tc>
          <w:tcPr>
            <w:tcW w:w="2220" w:type="dxa"/>
            <w:tcBorders>
              <w:top w:val="nil"/>
              <w:left w:val="nil"/>
              <w:bottom w:val="nil"/>
              <w:right w:val="nil"/>
            </w:tcBorders>
            <w:vAlign w:val="center"/>
            <w:hideMark/>
          </w:tcPr>
          <w:p w14:paraId="6CD850CB" w14:textId="15E7D1C1" w:rsidR="002C1EC0" w:rsidRPr="007B6976" w:rsidRDefault="002C1EC0" w:rsidP="00700814">
            <w:pPr>
              <w:spacing w:after="0" w:line="240" w:lineRule="auto"/>
              <w:jc w:val="right"/>
              <w:rPr>
                <w:rFonts w:eastAsia="Times New Roman" w:cs="Times New Roman"/>
                <w:color w:val="000000"/>
                <w:szCs w:val="24"/>
              </w:rPr>
            </w:pPr>
            <w:r w:rsidRPr="007B6976">
              <w:rPr>
                <w:rFonts w:eastAsia="Times New Roman" w:cs="Times New Roman"/>
                <w:color w:val="000000"/>
                <w:szCs w:val="24"/>
              </w:rPr>
              <w:t>34.0</w:t>
            </w:r>
            <w:r>
              <w:rPr>
                <w:rFonts w:eastAsia="Times New Roman" w:cs="Times New Roman"/>
                <w:color w:val="000000"/>
                <w:szCs w:val="24"/>
              </w:rPr>
              <w:t>8</w:t>
            </w:r>
            <w:r w:rsidRPr="007B6976">
              <w:rPr>
                <w:rFonts w:eastAsia="Times New Roman" w:cs="Times New Roman"/>
                <w:color w:val="000000"/>
                <w:szCs w:val="24"/>
              </w:rPr>
              <w:t>%</w:t>
            </w:r>
          </w:p>
        </w:tc>
        <w:tc>
          <w:tcPr>
            <w:tcW w:w="2220" w:type="dxa"/>
            <w:tcBorders>
              <w:top w:val="nil"/>
              <w:left w:val="nil"/>
              <w:bottom w:val="nil"/>
              <w:right w:val="nil"/>
            </w:tcBorders>
            <w:vAlign w:val="center"/>
            <w:hideMark/>
          </w:tcPr>
          <w:p w14:paraId="41A07A86" w14:textId="7129B8F7" w:rsidR="002C1EC0" w:rsidRPr="007B6976" w:rsidRDefault="002C1EC0" w:rsidP="00700814">
            <w:pPr>
              <w:spacing w:after="0" w:line="240" w:lineRule="auto"/>
              <w:jc w:val="right"/>
              <w:rPr>
                <w:rFonts w:eastAsia="Times New Roman" w:cs="Times New Roman"/>
                <w:color w:val="000000"/>
                <w:szCs w:val="24"/>
              </w:rPr>
            </w:pPr>
            <w:r w:rsidRPr="007B6976">
              <w:rPr>
                <w:rFonts w:eastAsia="Times New Roman" w:cs="Times New Roman"/>
                <w:color w:val="000000"/>
                <w:szCs w:val="24"/>
              </w:rPr>
              <w:t>34.0</w:t>
            </w:r>
            <w:r>
              <w:rPr>
                <w:rFonts w:eastAsia="Times New Roman" w:cs="Times New Roman"/>
                <w:color w:val="000000"/>
                <w:szCs w:val="24"/>
              </w:rPr>
              <w:t>9</w:t>
            </w:r>
            <w:r w:rsidRPr="007B6976">
              <w:rPr>
                <w:rFonts w:eastAsia="Times New Roman" w:cs="Times New Roman"/>
                <w:color w:val="000000"/>
                <w:szCs w:val="24"/>
              </w:rPr>
              <w:t>%</w:t>
            </w:r>
          </w:p>
        </w:tc>
      </w:tr>
    </w:tbl>
    <w:p w14:paraId="23FBEB3F" w14:textId="77777777" w:rsidR="002C1EC0" w:rsidRDefault="002C1EC0" w:rsidP="00324308"/>
    <w:p w14:paraId="000000E8" w14:textId="667EDCFD" w:rsidR="00E420E3" w:rsidRDefault="008E5528" w:rsidP="00592786">
      <w:r>
        <w:t xml:space="preserve">The genome assembly of </w:t>
      </w:r>
      <w:r>
        <w:rPr>
          <w:i/>
          <w:iCs/>
        </w:rPr>
        <w:t xml:space="preserve">M. </w:t>
      </w:r>
      <w:proofErr w:type="spellStart"/>
      <w:r>
        <w:rPr>
          <w:i/>
          <w:iCs/>
        </w:rPr>
        <w:t>beccarii</w:t>
      </w:r>
      <w:proofErr w:type="spellEnd"/>
      <w:r>
        <w:rPr>
          <w:i/>
          <w:iCs/>
        </w:rPr>
        <w:t xml:space="preserve"> </w:t>
      </w:r>
      <w:r>
        <w:t xml:space="preserve">using </w:t>
      </w:r>
      <w:proofErr w:type="spellStart"/>
      <w:r>
        <w:t>Hifiasm</w:t>
      </w:r>
      <w:proofErr w:type="spellEnd"/>
      <w:r>
        <w:t xml:space="preserve"> produced an initial assembly size </w:t>
      </w:r>
      <w:r w:rsidR="00CC5260">
        <w:t>of approximately</w:t>
      </w:r>
      <w:r>
        <w:t xml:space="preserve"> 1.36 Gb distributed across 161 contigs, with a contig N50 of 57.3 Mb (Table 2).  Application of Purge Dups in two successive rounds resulted in minimal changes to the </w:t>
      </w:r>
      <w:r w:rsidR="00CC5260">
        <w:t>total genome</w:t>
      </w:r>
      <w:r>
        <w:t xml:space="preserve"> size and N50, suggesting that the assembly was already relatively non-redundant. </w:t>
      </w:r>
      <w:r w:rsidR="00CC5260">
        <w:t>After the</w:t>
      </w:r>
      <w:r>
        <w:t xml:space="preserve"> first round of purging, the number of contigs dropped to 51, and further reduced to 47 </w:t>
      </w:r>
      <w:r w:rsidR="00825A39">
        <w:t>in the</w:t>
      </w:r>
      <w:r>
        <w:t xml:space="preserve"> second round, indicating some removal of duplicated or low-quality contigs. The </w:t>
      </w:r>
      <w:r w:rsidR="00CC5260">
        <w:t>maximum contig</w:t>
      </w:r>
      <w:r>
        <w:t xml:space="preserve"> length remained constant at ~76.7 Mb throughout, while the minimum contig </w:t>
      </w:r>
      <w:r w:rsidR="00825A39">
        <w:t>length increased</w:t>
      </w:r>
      <w:r>
        <w:t xml:space="preserve"> after the first purge. No ambiguous bases (Ns) were present in any assembly </w:t>
      </w:r>
      <w:r w:rsidR="00CC5260">
        <w:t>stage, and</w:t>
      </w:r>
      <w:r>
        <w:t xml:space="preserve"> GC content remained stable at ~34.06–34.09%.</w:t>
      </w:r>
    </w:p>
    <w:p w14:paraId="371FE252" w14:textId="77777777" w:rsidR="00F90A02" w:rsidRPr="00856741" w:rsidRDefault="00F90A02" w:rsidP="00856741">
      <w:pPr>
        <w:spacing w:after="0"/>
        <w:rPr>
          <w:b/>
          <w:bCs/>
        </w:rPr>
      </w:pPr>
      <w:r w:rsidRPr="00856741">
        <w:rPr>
          <w:b/>
          <w:bCs/>
        </w:rPr>
        <w:t xml:space="preserve">Table 2. Assembly statistics for </w:t>
      </w:r>
      <w:r w:rsidRPr="00856741">
        <w:rPr>
          <w:b/>
          <w:bCs/>
          <w:i/>
          <w:iCs/>
        </w:rPr>
        <w:t xml:space="preserve">M. </w:t>
      </w:r>
      <w:proofErr w:type="spellStart"/>
      <w:r w:rsidRPr="00856741">
        <w:rPr>
          <w:b/>
          <w:bCs/>
          <w:i/>
          <w:iCs/>
        </w:rPr>
        <w:t>beccarii</w:t>
      </w:r>
      <w:proofErr w:type="spellEnd"/>
      <w:r w:rsidRPr="00856741">
        <w:rPr>
          <w:b/>
          <w:bCs/>
          <w:i/>
          <w:iCs/>
        </w:rPr>
        <w:t xml:space="preserve"> </w:t>
      </w:r>
      <w:r w:rsidRPr="00856741">
        <w:rPr>
          <w:b/>
          <w:bCs/>
        </w:rPr>
        <w:t xml:space="preserve">and 2 rounds of purge dups. </w:t>
      </w:r>
    </w:p>
    <w:tbl>
      <w:tblPr>
        <w:tblW w:w="8880" w:type="dxa"/>
        <w:tblLook w:val="04A0" w:firstRow="1" w:lastRow="0" w:firstColumn="1" w:lastColumn="0" w:noHBand="0" w:noVBand="1"/>
      </w:tblPr>
      <w:tblGrid>
        <w:gridCol w:w="2220"/>
        <w:gridCol w:w="2220"/>
        <w:gridCol w:w="2220"/>
        <w:gridCol w:w="2220"/>
      </w:tblGrid>
      <w:tr w:rsidR="007B6976" w:rsidRPr="007B6976" w14:paraId="1C600159" w14:textId="77777777" w:rsidTr="007B6976">
        <w:trPr>
          <w:trHeight w:val="330"/>
        </w:trPr>
        <w:tc>
          <w:tcPr>
            <w:tcW w:w="2220" w:type="dxa"/>
            <w:tcBorders>
              <w:top w:val="single" w:sz="8" w:space="0" w:color="000000"/>
              <w:left w:val="nil"/>
              <w:bottom w:val="single" w:sz="8" w:space="0" w:color="000000"/>
              <w:right w:val="nil"/>
            </w:tcBorders>
            <w:vAlign w:val="center"/>
            <w:hideMark/>
          </w:tcPr>
          <w:p w14:paraId="7086B32E" w14:textId="77777777" w:rsidR="007B6976" w:rsidRPr="007B6976" w:rsidRDefault="007B6976" w:rsidP="007B6976">
            <w:pPr>
              <w:spacing w:after="0" w:line="240" w:lineRule="auto"/>
              <w:jc w:val="left"/>
              <w:rPr>
                <w:rFonts w:eastAsia="Times New Roman" w:cs="Times New Roman"/>
                <w:b/>
                <w:bCs/>
                <w:color w:val="000000"/>
                <w:szCs w:val="24"/>
              </w:rPr>
            </w:pPr>
            <w:r w:rsidRPr="007B6976">
              <w:rPr>
                <w:rFonts w:eastAsia="Times New Roman" w:cs="Times New Roman"/>
                <w:b/>
                <w:bCs/>
                <w:color w:val="000000"/>
                <w:szCs w:val="24"/>
              </w:rPr>
              <w:t>Assembly</w:t>
            </w:r>
          </w:p>
        </w:tc>
        <w:tc>
          <w:tcPr>
            <w:tcW w:w="2220" w:type="dxa"/>
            <w:tcBorders>
              <w:top w:val="single" w:sz="8" w:space="0" w:color="000000"/>
              <w:left w:val="nil"/>
              <w:bottom w:val="single" w:sz="8" w:space="0" w:color="000000"/>
              <w:right w:val="nil"/>
            </w:tcBorders>
            <w:vAlign w:val="center"/>
            <w:hideMark/>
          </w:tcPr>
          <w:p w14:paraId="7A94E3E5" w14:textId="77777777" w:rsidR="007B6976" w:rsidRPr="007B6976" w:rsidRDefault="007B6976" w:rsidP="007B6976">
            <w:pPr>
              <w:spacing w:after="0" w:line="240" w:lineRule="auto"/>
              <w:jc w:val="right"/>
              <w:rPr>
                <w:rFonts w:eastAsia="Times New Roman" w:cs="Times New Roman"/>
                <w:b/>
                <w:bCs/>
                <w:color w:val="000000"/>
                <w:szCs w:val="24"/>
              </w:rPr>
            </w:pPr>
            <w:proofErr w:type="spellStart"/>
            <w:r w:rsidRPr="007B6976">
              <w:rPr>
                <w:rFonts w:eastAsia="Times New Roman" w:cs="Times New Roman"/>
                <w:b/>
                <w:bCs/>
                <w:color w:val="000000"/>
                <w:szCs w:val="24"/>
              </w:rPr>
              <w:t>Hifiasm</w:t>
            </w:r>
            <w:proofErr w:type="spellEnd"/>
          </w:p>
        </w:tc>
        <w:tc>
          <w:tcPr>
            <w:tcW w:w="2220" w:type="dxa"/>
            <w:tcBorders>
              <w:top w:val="single" w:sz="8" w:space="0" w:color="000000"/>
              <w:left w:val="nil"/>
              <w:bottom w:val="single" w:sz="8" w:space="0" w:color="000000"/>
              <w:right w:val="nil"/>
            </w:tcBorders>
            <w:vAlign w:val="center"/>
            <w:hideMark/>
          </w:tcPr>
          <w:p w14:paraId="3CF7AF85" w14:textId="77777777" w:rsidR="007B6976" w:rsidRPr="007B6976" w:rsidRDefault="007B6976" w:rsidP="007B6976">
            <w:pPr>
              <w:spacing w:after="0" w:line="240" w:lineRule="auto"/>
              <w:jc w:val="right"/>
              <w:rPr>
                <w:rFonts w:eastAsia="Times New Roman" w:cs="Times New Roman"/>
                <w:b/>
                <w:bCs/>
                <w:color w:val="000000"/>
                <w:szCs w:val="24"/>
              </w:rPr>
            </w:pPr>
            <w:r w:rsidRPr="007B6976">
              <w:rPr>
                <w:rFonts w:eastAsia="Times New Roman" w:cs="Times New Roman"/>
                <w:b/>
                <w:bCs/>
                <w:color w:val="000000"/>
                <w:szCs w:val="24"/>
              </w:rPr>
              <w:t>Purge dups rnd1</w:t>
            </w:r>
          </w:p>
        </w:tc>
        <w:tc>
          <w:tcPr>
            <w:tcW w:w="2220" w:type="dxa"/>
            <w:tcBorders>
              <w:top w:val="single" w:sz="8" w:space="0" w:color="000000"/>
              <w:left w:val="nil"/>
              <w:bottom w:val="single" w:sz="8" w:space="0" w:color="000000"/>
              <w:right w:val="nil"/>
            </w:tcBorders>
            <w:vAlign w:val="center"/>
            <w:hideMark/>
          </w:tcPr>
          <w:p w14:paraId="05154761" w14:textId="77777777" w:rsidR="007B6976" w:rsidRPr="007B6976" w:rsidRDefault="007B6976" w:rsidP="007B6976">
            <w:pPr>
              <w:spacing w:after="0" w:line="240" w:lineRule="auto"/>
              <w:jc w:val="right"/>
              <w:rPr>
                <w:rFonts w:eastAsia="Times New Roman" w:cs="Times New Roman"/>
                <w:b/>
                <w:bCs/>
                <w:color w:val="000000"/>
                <w:szCs w:val="24"/>
              </w:rPr>
            </w:pPr>
            <w:r w:rsidRPr="007B6976">
              <w:rPr>
                <w:rFonts w:eastAsia="Times New Roman" w:cs="Times New Roman"/>
                <w:b/>
                <w:bCs/>
                <w:color w:val="000000"/>
                <w:szCs w:val="24"/>
              </w:rPr>
              <w:t>Purge dups rnd2</w:t>
            </w:r>
          </w:p>
        </w:tc>
      </w:tr>
      <w:tr w:rsidR="007B6976" w:rsidRPr="007B6976" w14:paraId="535B4660" w14:textId="77777777" w:rsidTr="007B6976">
        <w:trPr>
          <w:trHeight w:val="315"/>
        </w:trPr>
        <w:tc>
          <w:tcPr>
            <w:tcW w:w="2220" w:type="dxa"/>
            <w:tcBorders>
              <w:top w:val="nil"/>
              <w:left w:val="nil"/>
              <w:bottom w:val="nil"/>
              <w:right w:val="nil"/>
            </w:tcBorders>
            <w:shd w:val="clear" w:color="000000" w:fill="D9D9D9"/>
            <w:vAlign w:val="center"/>
            <w:hideMark/>
          </w:tcPr>
          <w:p w14:paraId="2A207426" w14:textId="77777777" w:rsidR="007B6976" w:rsidRPr="007B6976" w:rsidRDefault="007B6976" w:rsidP="007B6976">
            <w:pPr>
              <w:spacing w:after="0" w:line="240" w:lineRule="auto"/>
              <w:jc w:val="left"/>
              <w:rPr>
                <w:rFonts w:eastAsia="Times New Roman" w:cs="Times New Roman"/>
                <w:color w:val="000000"/>
                <w:szCs w:val="24"/>
              </w:rPr>
            </w:pPr>
            <w:r w:rsidRPr="007B6976">
              <w:rPr>
                <w:rFonts w:eastAsia="Times New Roman" w:cs="Times New Roman"/>
                <w:color w:val="000000"/>
                <w:szCs w:val="24"/>
              </w:rPr>
              <w:t>Genome length (bp)</w:t>
            </w:r>
          </w:p>
        </w:tc>
        <w:tc>
          <w:tcPr>
            <w:tcW w:w="2220" w:type="dxa"/>
            <w:tcBorders>
              <w:top w:val="nil"/>
              <w:left w:val="nil"/>
              <w:bottom w:val="nil"/>
              <w:right w:val="nil"/>
            </w:tcBorders>
            <w:shd w:val="clear" w:color="000000" w:fill="D9D9D9"/>
            <w:vAlign w:val="center"/>
            <w:hideMark/>
          </w:tcPr>
          <w:p w14:paraId="3A148DDA"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1359451153</w:t>
            </w:r>
          </w:p>
        </w:tc>
        <w:tc>
          <w:tcPr>
            <w:tcW w:w="2220" w:type="dxa"/>
            <w:tcBorders>
              <w:top w:val="nil"/>
              <w:left w:val="nil"/>
              <w:bottom w:val="nil"/>
              <w:right w:val="nil"/>
            </w:tcBorders>
            <w:shd w:val="clear" w:color="000000" w:fill="D9D9D9"/>
            <w:vAlign w:val="center"/>
            <w:hideMark/>
          </w:tcPr>
          <w:p w14:paraId="4192B8F0"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1354062121</w:t>
            </w:r>
          </w:p>
        </w:tc>
        <w:tc>
          <w:tcPr>
            <w:tcW w:w="2220" w:type="dxa"/>
            <w:tcBorders>
              <w:top w:val="nil"/>
              <w:left w:val="nil"/>
              <w:bottom w:val="nil"/>
              <w:right w:val="nil"/>
            </w:tcBorders>
            <w:shd w:val="clear" w:color="000000" w:fill="D9D9D9"/>
            <w:vAlign w:val="center"/>
            <w:hideMark/>
          </w:tcPr>
          <w:p w14:paraId="34CDB9BD"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1353916013</w:t>
            </w:r>
          </w:p>
        </w:tc>
      </w:tr>
      <w:tr w:rsidR="007B6976" w:rsidRPr="007B6976" w14:paraId="773B0643" w14:textId="77777777" w:rsidTr="007B6976">
        <w:trPr>
          <w:trHeight w:val="315"/>
        </w:trPr>
        <w:tc>
          <w:tcPr>
            <w:tcW w:w="2220" w:type="dxa"/>
            <w:tcBorders>
              <w:top w:val="nil"/>
              <w:left w:val="nil"/>
              <w:bottom w:val="nil"/>
              <w:right w:val="nil"/>
            </w:tcBorders>
            <w:vAlign w:val="center"/>
            <w:hideMark/>
          </w:tcPr>
          <w:p w14:paraId="6FA7ABFC" w14:textId="77777777" w:rsidR="007B6976" w:rsidRPr="007B6976" w:rsidRDefault="007B6976" w:rsidP="007B6976">
            <w:pPr>
              <w:spacing w:after="0" w:line="240" w:lineRule="auto"/>
              <w:jc w:val="left"/>
              <w:rPr>
                <w:rFonts w:eastAsia="Times New Roman" w:cs="Times New Roman"/>
                <w:color w:val="000000"/>
                <w:szCs w:val="24"/>
              </w:rPr>
            </w:pPr>
            <w:r w:rsidRPr="007B6976">
              <w:rPr>
                <w:rFonts w:eastAsia="Times New Roman" w:cs="Times New Roman"/>
                <w:color w:val="000000"/>
                <w:szCs w:val="24"/>
              </w:rPr>
              <w:t>Scaffold Max length</w:t>
            </w:r>
          </w:p>
        </w:tc>
        <w:tc>
          <w:tcPr>
            <w:tcW w:w="2220" w:type="dxa"/>
            <w:tcBorders>
              <w:top w:val="nil"/>
              <w:left w:val="nil"/>
              <w:bottom w:val="nil"/>
              <w:right w:val="nil"/>
            </w:tcBorders>
            <w:vAlign w:val="center"/>
            <w:hideMark/>
          </w:tcPr>
          <w:p w14:paraId="0E7DDDF5"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76687565</w:t>
            </w:r>
          </w:p>
        </w:tc>
        <w:tc>
          <w:tcPr>
            <w:tcW w:w="2220" w:type="dxa"/>
            <w:tcBorders>
              <w:top w:val="nil"/>
              <w:left w:val="nil"/>
              <w:bottom w:val="nil"/>
              <w:right w:val="nil"/>
            </w:tcBorders>
            <w:vAlign w:val="center"/>
            <w:hideMark/>
          </w:tcPr>
          <w:p w14:paraId="0DB8B9C7"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76687565</w:t>
            </w:r>
          </w:p>
        </w:tc>
        <w:tc>
          <w:tcPr>
            <w:tcW w:w="2220" w:type="dxa"/>
            <w:tcBorders>
              <w:top w:val="nil"/>
              <w:left w:val="nil"/>
              <w:bottom w:val="nil"/>
              <w:right w:val="nil"/>
            </w:tcBorders>
            <w:vAlign w:val="center"/>
            <w:hideMark/>
          </w:tcPr>
          <w:p w14:paraId="02BBBC7F"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76687565</w:t>
            </w:r>
          </w:p>
        </w:tc>
      </w:tr>
      <w:tr w:rsidR="007B6976" w:rsidRPr="007B6976" w14:paraId="02EF177E" w14:textId="77777777" w:rsidTr="007B6976">
        <w:trPr>
          <w:trHeight w:val="315"/>
        </w:trPr>
        <w:tc>
          <w:tcPr>
            <w:tcW w:w="2220" w:type="dxa"/>
            <w:tcBorders>
              <w:top w:val="nil"/>
              <w:left w:val="nil"/>
              <w:bottom w:val="nil"/>
              <w:right w:val="nil"/>
            </w:tcBorders>
            <w:shd w:val="clear" w:color="000000" w:fill="D9D9D9"/>
            <w:vAlign w:val="center"/>
            <w:hideMark/>
          </w:tcPr>
          <w:p w14:paraId="2E6C260A" w14:textId="77777777" w:rsidR="007B6976" w:rsidRPr="007B6976" w:rsidRDefault="007B6976" w:rsidP="007B6976">
            <w:pPr>
              <w:spacing w:after="0" w:line="240" w:lineRule="auto"/>
              <w:jc w:val="left"/>
              <w:rPr>
                <w:rFonts w:eastAsia="Times New Roman" w:cs="Times New Roman"/>
                <w:color w:val="000000"/>
                <w:szCs w:val="24"/>
              </w:rPr>
            </w:pPr>
            <w:r w:rsidRPr="007B6976">
              <w:rPr>
                <w:rFonts w:eastAsia="Times New Roman" w:cs="Times New Roman"/>
                <w:color w:val="000000"/>
                <w:szCs w:val="24"/>
              </w:rPr>
              <w:t>Scaffold Min length</w:t>
            </w:r>
          </w:p>
        </w:tc>
        <w:tc>
          <w:tcPr>
            <w:tcW w:w="2220" w:type="dxa"/>
            <w:tcBorders>
              <w:top w:val="nil"/>
              <w:left w:val="nil"/>
              <w:bottom w:val="nil"/>
              <w:right w:val="nil"/>
            </w:tcBorders>
            <w:shd w:val="clear" w:color="000000" w:fill="D9D9D9"/>
            <w:vAlign w:val="center"/>
            <w:hideMark/>
          </w:tcPr>
          <w:p w14:paraId="05FC1531"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7735</w:t>
            </w:r>
          </w:p>
        </w:tc>
        <w:tc>
          <w:tcPr>
            <w:tcW w:w="2220" w:type="dxa"/>
            <w:tcBorders>
              <w:top w:val="nil"/>
              <w:left w:val="nil"/>
              <w:bottom w:val="nil"/>
              <w:right w:val="nil"/>
            </w:tcBorders>
            <w:shd w:val="clear" w:color="000000" w:fill="D9D9D9"/>
            <w:vAlign w:val="center"/>
            <w:hideMark/>
          </w:tcPr>
          <w:p w14:paraId="32C5BE2F"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20817</w:t>
            </w:r>
          </w:p>
        </w:tc>
        <w:tc>
          <w:tcPr>
            <w:tcW w:w="2220" w:type="dxa"/>
            <w:tcBorders>
              <w:top w:val="nil"/>
              <w:left w:val="nil"/>
              <w:bottom w:val="nil"/>
              <w:right w:val="nil"/>
            </w:tcBorders>
            <w:shd w:val="clear" w:color="000000" w:fill="D9D9D9"/>
            <w:vAlign w:val="center"/>
            <w:hideMark/>
          </w:tcPr>
          <w:p w14:paraId="671DF28E"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20817</w:t>
            </w:r>
          </w:p>
        </w:tc>
      </w:tr>
      <w:tr w:rsidR="007B6976" w:rsidRPr="007B6976" w14:paraId="58E4A549" w14:textId="77777777" w:rsidTr="007B6976">
        <w:trPr>
          <w:trHeight w:val="315"/>
        </w:trPr>
        <w:tc>
          <w:tcPr>
            <w:tcW w:w="2220" w:type="dxa"/>
            <w:tcBorders>
              <w:top w:val="nil"/>
              <w:left w:val="nil"/>
              <w:bottom w:val="nil"/>
              <w:right w:val="nil"/>
            </w:tcBorders>
            <w:vAlign w:val="center"/>
            <w:hideMark/>
          </w:tcPr>
          <w:p w14:paraId="2964F173" w14:textId="77777777" w:rsidR="007B6976" w:rsidRPr="007B6976" w:rsidRDefault="007B6976" w:rsidP="007B6976">
            <w:pPr>
              <w:spacing w:after="0" w:line="240" w:lineRule="auto"/>
              <w:jc w:val="left"/>
              <w:rPr>
                <w:rFonts w:eastAsia="Times New Roman" w:cs="Times New Roman"/>
                <w:color w:val="000000"/>
                <w:szCs w:val="24"/>
              </w:rPr>
            </w:pPr>
            <w:r w:rsidRPr="007B6976">
              <w:rPr>
                <w:rFonts w:eastAsia="Times New Roman" w:cs="Times New Roman"/>
                <w:color w:val="000000"/>
                <w:szCs w:val="24"/>
              </w:rPr>
              <w:t>Num contigs</w:t>
            </w:r>
          </w:p>
        </w:tc>
        <w:tc>
          <w:tcPr>
            <w:tcW w:w="2220" w:type="dxa"/>
            <w:tcBorders>
              <w:top w:val="nil"/>
              <w:left w:val="nil"/>
              <w:bottom w:val="nil"/>
              <w:right w:val="nil"/>
            </w:tcBorders>
            <w:vAlign w:val="center"/>
            <w:hideMark/>
          </w:tcPr>
          <w:p w14:paraId="208F96DB"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161</w:t>
            </w:r>
          </w:p>
        </w:tc>
        <w:tc>
          <w:tcPr>
            <w:tcW w:w="2220" w:type="dxa"/>
            <w:tcBorders>
              <w:top w:val="nil"/>
              <w:left w:val="nil"/>
              <w:bottom w:val="nil"/>
              <w:right w:val="nil"/>
            </w:tcBorders>
            <w:vAlign w:val="center"/>
            <w:hideMark/>
          </w:tcPr>
          <w:p w14:paraId="3F9B2461"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51</w:t>
            </w:r>
          </w:p>
        </w:tc>
        <w:tc>
          <w:tcPr>
            <w:tcW w:w="2220" w:type="dxa"/>
            <w:tcBorders>
              <w:top w:val="nil"/>
              <w:left w:val="nil"/>
              <w:bottom w:val="nil"/>
              <w:right w:val="nil"/>
            </w:tcBorders>
            <w:vAlign w:val="center"/>
            <w:hideMark/>
          </w:tcPr>
          <w:p w14:paraId="3DCF6864"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47</w:t>
            </w:r>
          </w:p>
        </w:tc>
      </w:tr>
      <w:tr w:rsidR="007B6976" w:rsidRPr="007B6976" w14:paraId="5756CAED" w14:textId="77777777" w:rsidTr="007B6976">
        <w:trPr>
          <w:trHeight w:val="330"/>
        </w:trPr>
        <w:tc>
          <w:tcPr>
            <w:tcW w:w="2220" w:type="dxa"/>
            <w:tcBorders>
              <w:top w:val="nil"/>
              <w:left w:val="nil"/>
              <w:bottom w:val="single" w:sz="8" w:space="0" w:color="000000"/>
              <w:right w:val="nil"/>
            </w:tcBorders>
            <w:shd w:val="clear" w:color="000000" w:fill="D9D9D9"/>
            <w:vAlign w:val="center"/>
            <w:hideMark/>
          </w:tcPr>
          <w:p w14:paraId="56A5BD02" w14:textId="77777777" w:rsidR="007B6976" w:rsidRPr="007B6976" w:rsidRDefault="007B6976" w:rsidP="007B6976">
            <w:pPr>
              <w:spacing w:after="0" w:line="240" w:lineRule="auto"/>
              <w:jc w:val="left"/>
              <w:rPr>
                <w:rFonts w:eastAsia="Times New Roman" w:cs="Times New Roman"/>
                <w:color w:val="000000"/>
                <w:szCs w:val="24"/>
              </w:rPr>
            </w:pPr>
            <w:r w:rsidRPr="007B6976">
              <w:rPr>
                <w:rFonts w:eastAsia="Times New Roman" w:cs="Times New Roman"/>
                <w:color w:val="000000"/>
                <w:szCs w:val="24"/>
              </w:rPr>
              <w:t>n50</w:t>
            </w:r>
          </w:p>
        </w:tc>
        <w:tc>
          <w:tcPr>
            <w:tcW w:w="2220" w:type="dxa"/>
            <w:tcBorders>
              <w:top w:val="nil"/>
              <w:left w:val="nil"/>
              <w:bottom w:val="single" w:sz="8" w:space="0" w:color="000000"/>
              <w:right w:val="nil"/>
            </w:tcBorders>
            <w:shd w:val="clear" w:color="000000" w:fill="D9D9D9"/>
            <w:vAlign w:val="center"/>
            <w:hideMark/>
          </w:tcPr>
          <w:p w14:paraId="2F50C740"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57284104</w:t>
            </w:r>
          </w:p>
        </w:tc>
        <w:tc>
          <w:tcPr>
            <w:tcW w:w="2220" w:type="dxa"/>
            <w:tcBorders>
              <w:top w:val="nil"/>
              <w:left w:val="nil"/>
              <w:bottom w:val="single" w:sz="8" w:space="0" w:color="000000"/>
              <w:right w:val="nil"/>
            </w:tcBorders>
            <w:shd w:val="clear" w:color="000000" w:fill="D9D9D9"/>
            <w:vAlign w:val="center"/>
            <w:hideMark/>
          </w:tcPr>
          <w:p w14:paraId="48F8ADB4"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57284104</w:t>
            </w:r>
          </w:p>
        </w:tc>
        <w:tc>
          <w:tcPr>
            <w:tcW w:w="2220" w:type="dxa"/>
            <w:tcBorders>
              <w:top w:val="nil"/>
              <w:left w:val="nil"/>
              <w:bottom w:val="single" w:sz="8" w:space="0" w:color="000000"/>
              <w:right w:val="nil"/>
            </w:tcBorders>
            <w:shd w:val="clear" w:color="000000" w:fill="D9D9D9"/>
            <w:vAlign w:val="center"/>
            <w:hideMark/>
          </w:tcPr>
          <w:p w14:paraId="072CA8DD"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57284104</w:t>
            </w:r>
          </w:p>
        </w:tc>
      </w:tr>
      <w:tr w:rsidR="007B6976" w:rsidRPr="007B6976" w14:paraId="07210323" w14:textId="77777777" w:rsidTr="007B6976">
        <w:trPr>
          <w:trHeight w:val="315"/>
        </w:trPr>
        <w:tc>
          <w:tcPr>
            <w:tcW w:w="2220" w:type="dxa"/>
            <w:tcBorders>
              <w:top w:val="nil"/>
              <w:left w:val="nil"/>
              <w:bottom w:val="nil"/>
              <w:right w:val="nil"/>
            </w:tcBorders>
            <w:vAlign w:val="center"/>
            <w:hideMark/>
          </w:tcPr>
          <w:p w14:paraId="37B3B91E" w14:textId="77777777" w:rsidR="007B6976" w:rsidRPr="007B6976" w:rsidRDefault="007B6976" w:rsidP="007B6976">
            <w:pPr>
              <w:spacing w:after="0" w:line="240" w:lineRule="auto"/>
              <w:jc w:val="left"/>
              <w:rPr>
                <w:rFonts w:eastAsia="Times New Roman" w:cs="Times New Roman"/>
                <w:color w:val="000000"/>
                <w:szCs w:val="24"/>
              </w:rPr>
            </w:pPr>
            <w:r w:rsidRPr="007B6976">
              <w:rPr>
                <w:rFonts w:eastAsia="Times New Roman" w:cs="Times New Roman"/>
                <w:color w:val="000000"/>
                <w:szCs w:val="24"/>
              </w:rPr>
              <w:t>GC percentage</w:t>
            </w:r>
          </w:p>
        </w:tc>
        <w:tc>
          <w:tcPr>
            <w:tcW w:w="2220" w:type="dxa"/>
            <w:tcBorders>
              <w:top w:val="nil"/>
              <w:left w:val="nil"/>
              <w:bottom w:val="nil"/>
              <w:right w:val="nil"/>
            </w:tcBorders>
            <w:vAlign w:val="center"/>
            <w:hideMark/>
          </w:tcPr>
          <w:p w14:paraId="04D197A2"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34.09%</w:t>
            </w:r>
          </w:p>
        </w:tc>
        <w:tc>
          <w:tcPr>
            <w:tcW w:w="2220" w:type="dxa"/>
            <w:tcBorders>
              <w:top w:val="nil"/>
              <w:left w:val="nil"/>
              <w:bottom w:val="nil"/>
              <w:right w:val="nil"/>
            </w:tcBorders>
            <w:vAlign w:val="center"/>
            <w:hideMark/>
          </w:tcPr>
          <w:p w14:paraId="77B2CC42"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34.06%</w:t>
            </w:r>
          </w:p>
        </w:tc>
        <w:tc>
          <w:tcPr>
            <w:tcW w:w="2220" w:type="dxa"/>
            <w:tcBorders>
              <w:top w:val="nil"/>
              <w:left w:val="nil"/>
              <w:bottom w:val="nil"/>
              <w:right w:val="nil"/>
            </w:tcBorders>
            <w:vAlign w:val="center"/>
            <w:hideMark/>
          </w:tcPr>
          <w:p w14:paraId="2152F8D7" w14:textId="77777777" w:rsidR="007B6976" w:rsidRPr="007B6976" w:rsidRDefault="007B6976" w:rsidP="007B6976">
            <w:pPr>
              <w:spacing w:after="0" w:line="240" w:lineRule="auto"/>
              <w:jc w:val="right"/>
              <w:rPr>
                <w:rFonts w:eastAsia="Times New Roman" w:cs="Times New Roman"/>
                <w:color w:val="000000"/>
                <w:szCs w:val="24"/>
              </w:rPr>
            </w:pPr>
            <w:r w:rsidRPr="007B6976">
              <w:rPr>
                <w:rFonts w:eastAsia="Times New Roman" w:cs="Times New Roman"/>
                <w:color w:val="000000"/>
                <w:szCs w:val="24"/>
              </w:rPr>
              <w:t>34.06%</w:t>
            </w:r>
          </w:p>
        </w:tc>
      </w:tr>
    </w:tbl>
    <w:p w14:paraId="1DF8B81F" w14:textId="77777777" w:rsidR="000C423F" w:rsidRPr="000C423F" w:rsidRDefault="000C423F" w:rsidP="000C423F">
      <w:pPr>
        <w:pStyle w:val="Heading4"/>
        <w:rPr>
          <w:i w:val="0"/>
          <w:iCs/>
        </w:rPr>
      </w:pPr>
    </w:p>
    <w:p w14:paraId="000000EB" w14:textId="2E02014D" w:rsidR="00E420E3" w:rsidRPr="003D2FD2" w:rsidRDefault="008E5528" w:rsidP="003D2FD2">
      <w:pPr>
        <w:pStyle w:val="Heading4"/>
      </w:pPr>
      <w:bookmarkStart w:id="31" w:name="_Toc235392977"/>
      <w:r w:rsidRPr="003D2FD2">
        <w:t xml:space="preserve">2.4.3 </w:t>
      </w:r>
      <w:proofErr w:type="spellStart"/>
      <w:r w:rsidRPr="003D2FD2">
        <w:t>Hydnophytum</w:t>
      </w:r>
      <w:proofErr w:type="spellEnd"/>
      <w:r w:rsidRPr="003D2FD2">
        <w:t xml:space="preserve"> </w:t>
      </w:r>
      <w:proofErr w:type="spellStart"/>
      <w:r w:rsidRPr="003D2FD2">
        <w:t>moseleyanum</w:t>
      </w:r>
      <w:proofErr w:type="spellEnd"/>
      <w:r w:rsidRPr="003D2FD2">
        <w:t xml:space="preserve"> and </w:t>
      </w:r>
      <w:proofErr w:type="spellStart"/>
      <w:r w:rsidRPr="003D2FD2">
        <w:t>Myrmecodia</w:t>
      </w:r>
      <w:proofErr w:type="spellEnd"/>
      <w:r w:rsidRPr="003D2FD2">
        <w:t xml:space="preserve"> </w:t>
      </w:r>
      <w:proofErr w:type="spellStart"/>
      <w:r w:rsidRPr="003D2FD2">
        <w:t>beccarii</w:t>
      </w:r>
      <w:proofErr w:type="spellEnd"/>
      <w:r w:rsidRPr="003D2FD2">
        <w:t xml:space="preserve"> genome completeness</w:t>
      </w:r>
      <w:bookmarkEnd w:id="31"/>
      <w:r w:rsidRPr="003D2FD2">
        <w:t xml:space="preserve"> </w:t>
      </w:r>
    </w:p>
    <w:p w14:paraId="000000EC" w14:textId="5ED25625" w:rsidR="00E420E3" w:rsidRDefault="008E5528" w:rsidP="000C423F">
      <w:r>
        <w:t xml:space="preserve">BUSCO assessment was performed to evaluate genome completeness for </w:t>
      </w:r>
      <w:r>
        <w:rPr>
          <w:i/>
          <w:iCs/>
        </w:rPr>
        <w:t xml:space="preserve">H. </w:t>
      </w:r>
      <w:proofErr w:type="spellStart"/>
      <w:r>
        <w:rPr>
          <w:i/>
          <w:iCs/>
        </w:rPr>
        <w:t>moseleyanum</w:t>
      </w:r>
      <w:proofErr w:type="spellEnd"/>
      <w:r>
        <w:rPr>
          <w:i/>
          <w:iCs/>
        </w:rPr>
        <w:t xml:space="preserve"> </w:t>
      </w:r>
      <w:r>
        <w:t xml:space="preserve">(Table 3) and </w:t>
      </w:r>
      <w:r>
        <w:rPr>
          <w:i/>
          <w:iCs/>
        </w:rPr>
        <w:t xml:space="preserve">M. </w:t>
      </w:r>
      <w:proofErr w:type="spellStart"/>
      <w:r>
        <w:rPr>
          <w:i/>
          <w:iCs/>
        </w:rPr>
        <w:t>beccarii</w:t>
      </w:r>
      <w:proofErr w:type="spellEnd"/>
      <w:r>
        <w:rPr>
          <w:i/>
          <w:iCs/>
        </w:rPr>
        <w:t xml:space="preserve"> </w:t>
      </w:r>
      <w:r>
        <w:t xml:space="preserve">(Table 4). The genome of </w:t>
      </w:r>
      <w:r>
        <w:rPr>
          <w:i/>
          <w:iCs/>
        </w:rPr>
        <w:t xml:space="preserve">H. </w:t>
      </w:r>
      <w:proofErr w:type="spellStart"/>
      <w:r>
        <w:rPr>
          <w:i/>
          <w:iCs/>
        </w:rPr>
        <w:t>moseleyanum</w:t>
      </w:r>
      <w:proofErr w:type="spellEnd"/>
      <w:r>
        <w:rPr>
          <w:i/>
          <w:iCs/>
        </w:rPr>
        <w:t xml:space="preserve"> </w:t>
      </w:r>
      <w:r>
        <w:t xml:space="preserve">exhibited a high level </w:t>
      </w:r>
      <w:r w:rsidR="00CC5260">
        <w:t>of completeness</w:t>
      </w:r>
      <w:r>
        <w:t xml:space="preserve">, with 98.9% of BUSCOs identified as complete, of which 94.4% were </w:t>
      </w:r>
      <w:r w:rsidR="00825A39">
        <w:t>duplicated and</w:t>
      </w:r>
      <w:r>
        <w:t xml:space="preserve"> only 4.5% were </w:t>
      </w:r>
      <w:proofErr w:type="gramStart"/>
      <w:r>
        <w:t>single-copy</w:t>
      </w:r>
      <w:proofErr w:type="gramEnd"/>
      <w:r>
        <w:t xml:space="preserve">. Fragmented and missing BUSCOs represented just 0.5% </w:t>
      </w:r>
      <w:r w:rsidR="00CC5260">
        <w:t xml:space="preserve">and </w:t>
      </w:r>
      <w:r w:rsidR="00CC5260">
        <w:lastRenderedPageBreak/>
        <w:t>0.6</w:t>
      </w:r>
      <w:r>
        <w:t xml:space="preserve">%, respectively, out of a total of 1,614 BUSCO groups searched. Similarly, the </w:t>
      </w:r>
      <w:r>
        <w:rPr>
          <w:i/>
          <w:iCs/>
        </w:rPr>
        <w:t xml:space="preserve">M. </w:t>
      </w:r>
      <w:proofErr w:type="spellStart"/>
      <w:r>
        <w:rPr>
          <w:i/>
          <w:iCs/>
        </w:rPr>
        <w:t>beccarii</w:t>
      </w:r>
      <w:proofErr w:type="spellEnd"/>
      <w:r>
        <w:rPr>
          <w:i/>
          <w:iCs/>
        </w:rPr>
        <w:t xml:space="preserve"> </w:t>
      </w:r>
      <w:r>
        <w:t xml:space="preserve">genome showed strong completeness with 98.2% complete BUSCOs, though in contrast to </w:t>
      </w:r>
      <w:r>
        <w:rPr>
          <w:i/>
          <w:iCs/>
        </w:rPr>
        <w:t xml:space="preserve">H.  </w:t>
      </w:r>
      <w:proofErr w:type="spellStart"/>
      <w:r>
        <w:rPr>
          <w:i/>
          <w:iCs/>
        </w:rPr>
        <w:t>moseleyanum</w:t>
      </w:r>
      <w:proofErr w:type="spellEnd"/>
      <w:r>
        <w:t xml:space="preserve">, a majority (82.2%) were single-copy and only 16.0% were duplicated.  Fragmented and missing BUSCOs accounted for 0.9% each. These results indicate </w:t>
      </w:r>
      <w:r w:rsidR="00CC5260">
        <w:t>both genomes</w:t>
      </w:r>
      <w:r>
        <w:t xml:space="preserve"> are of high quality and completeness with </w:t>
      </w:r>
      <w:r>
        <w:rPr>
          <w:i/>
          <w:iCs/>
        </w:rPr>
        <w:t xml:space="preserve">H. </w:t>
      </w:r>
      <w:proofErr w:type="spellStart"/>
      <w:r>
        <w:rPr>
          <w:i/>
          <w:iCs/>
        </w:rPr>
        <w:t>moseleyanum</w:t>
      </w:r>
      <w:proofErr w:type="spellEnd"/>
      <w:r>
        <w:rPr>
          <w:i/>
          <w:iCs/>
        </w:rPr>
        <w:t xml:space="preserve"> </w:t>
      </w:r>
      <w:r>
        <w:t xml:space="preserve">showing more </w:t>
      </w:r>
      <w:r w:rsidR="00825A39">
        <w:t>duplicated orthologs</w:t>
      </w:r>
      <w:r>
        <w:t xml:space="preserve">, potentially reflecting recent gene duplications or assembly artifacts. </w:t>
      </w:r>
    </w:p>
    <w:p w14:paraId="000000ED" w14:textId="77777777" w:rsidR="00E420E3" w:rsidRPr="00856741" w:rsidRDefault="008E5528" w:rsidP="00856741">
      <w:pPr>
        <w:spacing w:after="0"/>
        <w:rPr>
          <w:b/>
          <w:bCs/>
        </w:rPr>
      </w:pPr>
      <w:r w:rsidRPr="00856741">
        <w:rPr>
          <w:b/>
          <w:bCs/>
        </w:rPr>
        <w:t xml:space="preserve">Table 3. BUSCO assessment summary of genome completeness in </w:t>
      </w:r>
      <w:r w:rsidRPr="002053D0">
        <w:rPr>
          <w:b/>
          <w:bCs/>
          <w:i/>
          <w:iCs/>
        </w:rPr>
        <w:t xml:space="preserve">H. </w:t>
      </w:r>
      <w:proofErr w:type="spellStart"/>
      <w:r w:rsidRPr="002053D0">
        <w:rPr>
          <w:b/>
          <w:bCs/>
          <w:i/>
          <w:iCs/>
        </w:rPr>
        <w:t>moseleyanum</w:t>
      </w:r>
      <w:proofErr w:type="spellEnd"/>
      <w:r w:rsidRPr="00856741">
        <w:rPr>
          <w:b/>
          <w:bCs/>
        </w:rPr>
        <w:t xml:space="preserve">. </w:t>
      </w:r>
    </w:p>
    <w:tbl>
      <w:tblPr>
        <w:tblW w:w="8900" w:type="dxa"/>
        <w:tblLook w:val="04A0" w:firstRow="1" w:lastRow="0" w:firstColumn="1" w:lastColumn="0" w:noHBand="0" w:noVBand="1"/>
      </w:tblPr>
      <w:tblGrid>
        <w:gridCol w:w="3180"/>
        <w:gridCol w:w="2380"/>
        <w:gridCol w:w="3340"/>
      </w:tblGrid>
      <w:tr w:rsidR="00381C16" w:rsidRPr="00381C16" w14:paraId="5CE0A2DC" w14:textId="77777777" w:rsidTr="003D2FD2">
        <w:trPr>
          <w:trHeight w:val="570"/>
        </w:trPr>
        <w:tc>
          <w:tcPr>
            <w:tcW w:w="3180" w:type="dxa"/>
            <w:tcBorders>
              <w:top w:val="single" w:sz="8" w:space="0" w:color="666666"/>
              <w:left w:val="nil"/>
              <w:bottom w:val="single" w:sz="8" w:space="0" w:color="666666"/>
              <w:right w:val="nil"/>
            </w:tcBorders>
            <w:vAlign w:val="center"/>
            <w:hideMark/>
          </w:tcPr>
          <w:p w14:paraId="32F581F6" w14:textId="77777777" w:rsidR="00381C16" w:rsidRPr="00381C16" w:rsidRDefault="00381C16" w:rsidP="00381C16">
            <w:pPr>
              <w:spacing w:after="0" w:line="240" w:lineRule="auto"/>
              <w:jc w:val="center"/>
              <w:rPr>
                <w:rFonts w:eastAsia="Times New Roman" w:cs="Times New Roman"/>
                <w:b/>
                <w:bCs/>
                <w:color w:val="000000"/>
                <w:szCs w:val="24"/>
              </w:rPr>
            </w:pPr>
            <w:r w:rsidRPr="00381C16">
              <w:rPr>
                <w:rFonts w:eastAsia="Times New Roman" w:cs="Times New Roman"/>
                <w:b/>
                <w:bCs/>
                <w:color w:val="000000"/>
                <w:szCs w:val="24"/>
              </w:rPr>
              <w:t>Compact summary</w:t>
            </w:r>
          </w:p>
        </w:tc>
        <w:tc>
          <w:tcPr>
            <w:tcW w:w="5720" w:type="dxa"/>
            <w:gridSpan w:val="2"/>
            <w:tcBorders>
              <w:top w:val="single" w:sz="8" w:space="0" w:color="666666"/>
              <w:left w:val="nil"/>
              <w:bottom w:val="single" w:sz="8" w:space="0" w:color="666666"/>
              <w:right w:val="nil"/>
            </w:tcBorders>
            <w:vAlign w:val="center"/>
            <w:hideMark/>
          </w:tcPr>
          <w:p w14:paraId="0F878406" w14:textId="77777777" w:rsidR="00381C16" w:rsidRPr="00381C16" w:rsidRDefault="00381C16" w:rsidP="00381C16">
            <w:pPr>
              <w:spacing w:after="0" w:line="240" w:lineRule="auto"/>
              <w:jc w:val="center"/>
              <w:rPr>
                <w:rFonts w:eastAsia="Times New Roman" w:cs="Times New Roman"/>
                <w:b/>
                <w:bCs/>
                <w:color w:val="000000"/>
                <w:szCs w:val="24"/>
              </w:rPr>
            </w:pPr>
            <w:r w:rsidRPr="00381C16">
              <w:rPr>
                <w:rFonts w:eastAsia="Times New Roman" w:cs="Times New Roman"/>
                <w:b/>
                <w:bCs/>
                <w:color w:val="000000"/>
                <w:szCs w:val="24"/>
              </w:rPr>
              <w:t>C:98.9%[S:4.5</w:t>
            </w:r>
            <w:proofErr w:type="gramStart"/>
            <w:r w:rsidRPr="00381C16">
              <w:rPr>
                <w:rFonts w:eastAsia="Times New Roman" w:cs="Times New Roman"/>
                <w:b/>
                <w:bCs/>
                <w:color w:val="000000"/>
                <w:szCs w:val="24"/>
              </w:rPr>
              <w:t>%,D</w:t>
            </w:r>
            <w:proofErr w:type="gramEnd"/>
            <w:r w:rsidRPr="00381C16">
              <w:rPr>
                <w:rFonts w:eastAsia="Times New Roman" w:cs="Times New Roman"/>
                <w:b/>
                <w:bCs/>
                <w:color w:val="000000"/>
                <w:szCs w:val="24"/>
              </w:rPr>
              <w:t>:94.4%</w:t>
            </w:r>
            <w:proofErr w:type="gramStart"/>
            <w:r w:rsidRPr="00381C16">
              <w:rPr>
                <w:rFonts w:eastAsia="Times New Roman" w:cs="Times New Roman"/>
                <w:b/>
                <w:bCs/>
                <w:color w:val="000000"/>
                <w:szCs w:val="24"/>
              </w:rPr>
              <w:t>],F</w:t>
            </w:r>
            <w:proofErr w:type="gramEnd"/>
            <w:r w:rsidRPr="00381C16">
              <w:rPr>
                <w:rFonts w:eastAsia="Times New Roman" w:cs="Times New Roman"/>
                <w:b/>
                <w:bCs/>
                <w:color w:val="000000"/>
                <w:szCs w:val="24"/>
              </w:rPr>
              <w:t>:0.5</w:t>
            </w:r>
            <w:proofErr w:type="gramStart"/>
            <w:r w:rsidRPr="00381C16">
              <w:rPr>
                <w:rFonts w:eastAsia="Times New Roman" w:cs="Times New Roman"/>
                <w:b/>
                <w:bCs/>
                <w:color w:val="000000"/>
                <w:szCs w:val="24"/>
              </w:rPr>
              <w:t>%,M</w:t>
            </w:r>
            <w:proofErr w:type="gramEnd"/>
            <w:r w:rsidRPr="00381C16">
              <w:rPr>
                <w:rFonts w:eastAsia="Times New Roman" w:cs="Times New Roman"/>
                <w:b/>
                <w:bCs/>
                <w:color w:val="000000"/>
                <w:szCs w:val="24"/>
              </w:rPr>
              <w:t>:0.6</w:t>
            </w:r>
            <w:proofErr w:type="gramStart"/>
            <w:r w:rsidRPr="00381C16">
              <w:rPr>
                <w:rFonts w:eastAsia="Times New Roman" w:cs="Times New Roman"/>
                <w:b/>
                <w:bCs/>
                <w:color w:val="000000"/>
                <w:szCs w:val="24"/>
              </w:rPr>
              <w:t>%,n</w:t>
            </w:r>
            <w:proofErr w:type="gramEnd"/>
            <w:r w:rsidRPr="00381C16">
              <w:rPr>
                <w:rFonts w:eastAsia="Times New Roman" w:cs="Times New Roman"/>
                <w:b/>
                <w:bCs/>
                <w:color w:val="000000"/>
                <w:szCs w:val="24"/>
              </w:rPr>
              <w:t>:1614</w:t>
            </w:r>
          </w:p>
        </w:tc>
      </w:tr>
      <w:tr w:rsidR="00381C16" w:rsidRPr="00381C16" w14:paraId="6974A25A" w14:textId="77777777" w:rsidTr="00381C16">
        <w:trPr>
          <w:trHeight w:val="330"/>
        </w:trPr>
        <w:tc>
          <w:tcPr>
            <w:tcW w:w="3180" w:type="dxa"/>
            <w:tcBorders>
              <w:top w:val="nil"/>
              <w:left w:val="nil"/>
              <w:bottom w:val="single" w:sz="8" w:space="0" w:color="666666"/>
              <w:right w:val="nil"/>
            </w:tcBorders>
            <w:vAlign w:val="center"/>
            <w:hideMark/>
          </w:tcPr>
          <w:p w14:paraId="30D4B31B" w14:textId="77777777" w:rsidR="00381C16" w:rsidRPr="00381C16" w:rsidRDefault="00381C16" w:rsidP="00381C16">
            <w:pPr>
              <w:spacing w:after="0" w:line="240" w:lineRule="auto"/>
              <w:jc w:val="left"/>
              <w:rPr>
                <w:rFonts w:eastAsia="Times New Roman" w:cs="Times New Roman"/>
                <w:b/>
                <w:bCs/>
                <w:color w:val="000000"/>
                <w:szCs w:val="24"/>
              </w:rPr>
            </w:pPr>
            <w:r w:rsidRPr="00381C16">
              <w:rPr>
                <w:rFonts w:eastAsia="Times New Roman" w:cs="Times New Roman"/>
                <w:b/>
                <w:bCs/>
                <w:color w:val="000000"/>
                <w:szCs w:val="24"/>
              </w:rPr>
              <w:t>Metric</w:t>
            </w:r>
          </w:p>
        </w:tc>
        <w:tc>
          <w:tcPr>
            <w:tcW w:w="2380" w:type="dxa"/>
            <w:tcBorders>
              <w:top w:val="nil"/>
              <w:left w:val="nil"/>
              <w:bottom w:val="single" w:sz="8" w:space="0" w:color="666666"/>
              <w:right w:val="nil"/>
            </w:tcBorders>
            <w:vAlign w:val="center"/>
            <w:hideMark/>
          </w:tcPr>
          <w:p w14:paraId="6AE7DCD6" w14:textId="77777777" w:rsidR="00381C16" w:rsidRPr="00381C16" w:rsidRDefault="00381C16" w:rsidP="00381C16">
            <w:pPr>
              <w:spacing w:after="0" w:line="240" w:lineRule="auto"/>
              <w:jc w:val="right"/>
              <w:rPr>
                <w:rFonts w:eastAsia="Times New Roman" w:cs="Times New Roman"/>
                <w:b/>
                <w:bCs/>
                <w:color w:val="000000"/>
                <w:szCs w:val="24"/>
              </w:rPr>
            </w:pPr>
            <w:r w:rsidRPr="00381C16">
              <w:rPr>
                <w:rFonts w:eastAsia="Times New Roman" w:cs="Times New Roman"/>
                <w:b/>
                <w:bCs/>
                <w:color w:val="000000"/>
                <w:szCs w:val="24"/>
              </w:rPr>
              <w:t>Count</w:t>
            </w:r>
          </w:p>
        </w:tc>
        <w:tc>
          <w:tcPr>
            <w:tcW w:w="3340" w:type="dxa"/>
            <w:tcBorders>
              <w:top w:val="nil"/>
              <w:left w:val="nil"/>
              <w:bottom w:val="single" w:sz="8" w:space="0" w:color="666666"/>
              <w:right w:val="nil"/>
            </w:tcBorders>
            <w:vAlign w:val="center"/>
            <w:hideMark/>
          </w:tcPr>
          <w:p w14:paraId="5C0FE943" w14:textId="77777777" w:rsidR="00381C16" w:rsidRPr="00381C16" w:rsidRDefault="00381C16" w:rsidP="00381C16">
            <w:pPr>
              <w:spacing w:after="0" w:line="240" w:lineRule="auto"/>
              <w:jc w:val="right"/>
              <w:rPr>
                <w:rFonts w:eastAsia="Times New Roman" w:cs="Times New Roman"/>
                <w:b/>
                <w:bCs/>
                <w:color w:val="000000"/>
                <w:szCs w:val="24"/>
              </w:rPr>
            </w:pPr>
            <w:r w:rsidRPr="00381C16">
              <w:rPr>
                <w:rFonts w:eastAsia="Times New Roman" w:cs="Times New Roman"/>
                <w:b/>
                <w:bCs/>
                <w:color w:val="000000"/>
                <w:szCs w:val="24"/>
              </w:rPr>
              <w:t>Percentage</w:t>
            </w:r>
          </w:p>
        </w:tc>
      </w:tr>
      <w:tr w:rsidR="00381C16" w:rsidRPr="00381C16" w14:paraId="5B847B3C" w14:textId="77777777" w:rsidTr="00381C16">
        <w:trPr>
          <w:trHeight w:val="330"/>
        </w:trPr>
        <w:tc>
          <w:tcPr>
            <w:tcW w:w="3180" w:type="dxa"/>
            <w:tcBorders>
              <w:top w:val="nil"/>
              <w:left w:val="nil"/>
              <w:bottom w:val="single" w:sz="8" w:space="0" w:color="666666"/>
              <w:right w:val="nil"/>
            </w:tcBorders>
            <w:shd w:val="clear" w:color="000000" w:fill="D9D9D9"/>
            <w:vAlign w:val="center"/>
            <w:hideMark/>
          </w:tcPr>
          <w:p w14:paraId="3A854FEE" w14:textId="77777777" w:rsidR="00381C16" w:rsidRPr="00381C16" w:rsidRDefault="00381C16" w:rsidP="00381C16">
            <w:pPr>
              <w:spacing w:after="0" w:line="240" w:lineRule="auto"/>
              <w:jc w:val="left"/>
              <w:rPr>
                <w:rFonts w:eastAsia="Times New Roman" w:cs="Times New Roman"/>
                <w:color w:val="000000"/>
                <w:szCs w:val="24"/>
              </w:rPr>
            </w:pPr>
            <w:r w:rsidRPr="00381C16">
              <w:rPr>
                <w:rFonts w:eastAsia="Times New Roman" w:cs="Times New Roman"/>
                <w:color w:val="000000"/>
                <w:szCs w:val="24"/>
              </w:rPr>
              <w:t>Complete BUSCOs (C)</w:t>
            </w:r>
          </w:p>
        </w:tc>
        <w:tc>
          <w:tcPr>
            <w:tcW w:w="2380" w:type="dxa"/>
            <w:tcBorders>
              <w:top w:val="nil"/>
              <w:left w:val="nil"/>
              <w:bottom w:val="single" w:sz="8" w:space="0" w:color="666666"/>
              <w:right w:val="nil"/>
            </w:tcBorders>
            <w:shd w:val="clear" w:color="000000" w:fill="D9D9D9"/>
            <w:vAlign w:val="center"/>
            <w:hideMark/>
          </w:tcPr>
          <w:p w14:paraId="27583341"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1597</w:t>
            </w:r>
          </w:p>
        </w:tc>
        <w:tc>
          <w:tcPr>
            <w:tcW w:w="3340" w:type="dxa"/>
            <w:tcBorders>
              <w:top w:val="nil"/>
              <w:left w:val="nil"/>
              <w:bottom w:val="single" w:sz="8" w:space="0" w:color="666666"/>
              <w:right w:val="nil"/>
            </w:tcBorders>
            <w:shd w:val="clear" w:color="000000" w:fill="D9D9D9"/>
            <w:vAlign w:val="center"/>
            <w:hideMark/>
          </w:tcPr>
          <w:p w14:paraId="7DB31DA0"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98.90%</w:t>
            </w:r>
          </w:p>
        </w:tc>
      </w:tr>
      <w:tr w:rsidR="00381C16" w:rsidRPr="00381C16" w14:paraId="544BC6A0" w14:textId="77777777" w:rsidTr="00381C16">
        <w:trPr>
          <w:trHeight w:val="360"/>
        </w:trPr>
        <w:tc>
          <w:tcPr>
            <w:tcW w:w="3180" w:type="dxa"/>
            <w:tcBorders>
              <w:top w:val="nil"/>
              <w:left w:val="nil"/>
              <w:bottom w:val="single" w:sz="8" w:space="0" w:color="666666"/>
              <w:right w:val="nil"/>
            </w:tcBorders>
            <w:vAlign w:val="center"/>
            <w:hideMark/>
          </w:tcPr>
          <w:p w14:paraId="04788D3C" w14:textId="77777777" w:rsidR="00381C16" w:rsidRPr="00381C16" w:rsidRDefault="00381C16" w:rsidP="00381C16">
            <w:pPr>
              <w:spacing w:after="0" w:line="240" w:lineRule="auto"/>
              <w:jc w:val="left"/>
              <w:rPr>
                <w:rFonts w:eastAsia="Times New Roman" w:cs="Times New Roman"/>
                <w:color w:val="000000"/>
                <w:szCs w:val="24"/>
              </w:rPr>
            </w:pPr>
            <w:r w:rsidRPr="00381C16">
              <w:rPr>
                <w:rFonts w:eastAsia="Times New Roman" w:cs="Times New Roman"/>
                <w:color w:val="000000"/>
                <w:szCs w:val="24"/>
              </w:rPr>
              <w:t xml:space="preserve">Complete and </w:t>
            </w:r>
            <w:proofErr w:type="gramStart"/>
            <w:r w:rsidRPr="00381C16">
              <w:rPr>
                <w:rFonts w:eastAsia="Times New Roman" w:cs="Times New Roman"/>
                <w:color w:val="000000"/>
                <w:szCs w:val="24"/>
              </w:rPr>
              <w:t>single-copy (S)</w:t>
            </w:r>
            <w:proofErr w:type="gramEnd"/>
          </w:p>
        </w:tc>
        <w:tc>
          <w:tcPr>
            <w:tcW w:w="2380" w:type="dxa"/>
            <w:tcBorders>
              <w:top w:val="nil"/>
              <w:left w:val="nil"/>
              <w:bottom w:val="single" w:sz="8" w:space="0" w:color="666666"/>
              <w:right w:val="nil"/>
            </w:tcBorders>
            <w:vAlign w:val="center"/>
            <w:hideMark/>
          </w:tcPr>
          <w:p w14:paraId="1FCEE182"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73</w:t>
            </w:r>
          </w:p>
        </w:tc>
        <w:tc>
          <w:tcPr>
            <w:tcW w:w="3340" w:type="dxa"/>
            <w:tcBorders>
              <w:top w:val="nil"/>
              <w:left w:val="nil"/>
              <w:bottom w:val="single" w:sz="8" w:space="0" w:color="666666"/>
              <w:right w:val="nil"/>
            </w:tcBorders>
            <w:vAlign w:val="center"/>
            <w:hideMark/>
          </w:tcPr>
          <w:p w14:paraId="5EAE003B"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4.50%</w:t>
            </w:r>
          </w:p>
        </w:tc>
      </w:tr>
      <w:tr w:rsidR="00381C16" w:rsidRPr="00381C16" w14:paraId="2348B6C1" w14:textId="77777777" w:rsidTr="00381C16">
        <w:trPr>
          <w:trHeight w:val="330"/>
        </w:trPr>
        <w:tc>
          <w:tcPr>
            <w:tcW w:w="3180" w:type="dxa"/>
            <w:tcBorders>
              <w:top w:val="nil"/>
              <w:left w:val="nil"/>
              <w:bottom w:val="single" w:sz="8" w:space="0" w:color="666666"/>
              <w:right w:val="nil"/>
            </w:tcBorders>
            <w:shd w:val="clear" w:color="000000" w:fill="D9D9D9"/>
            <w:vAlign w:val="center"/>
            <w:hideMark/>
          </w:tcPr>
          <w:p w14:paraId="7A0FD73E" w14:textId="77777777" w:rsidR="00381C16" w:rsidRPr="00381C16" w:rsidRDefault="00381C16" w:rsidP="00381C16">
            <w:pPr>
              <w:spacing w:after="0" w:line="240" w:lineRule="auto"/>
              <w:jc w:val="left"/>
              <w:rPr>
                <w:rFonts w:eastAsia="Times New Roman" w:cs="Times New Roman"/>
                <w:color w:val="000000"/>
                <w:szCs w:val="24"/>
              </w:rPr>
            </w:pPr>
            <w:r w:rsidRPr="00381C16">
              <w:rPr>
                <w:rFonts w:eastAsia="Times New Roman" w:cs="Times New Roman"/>
                <w:color w:val="000000"/>
                <w:szCs w:val="24"/>
              </w:rPr>
              <w:t>Complete and duplicated (D)</w:t>
            </w:r>
          </w:p>
        </w:tc>
        <w:tc>
          <w:tcPr>
            <w:tcW w:w="2380" w:type="dxa"/>
            <w:tcBorders>
              <w:top w:val="nil"/>
              <w:left w:val="nil"/>
              <w:bottom w:val="single" w:sz="8" w:space="0" w:color="666666"/>
              <w:right w:val="nil"/>
            </w:tcBorders>
            <w:shd w:val="clear" w:color="000000" w:fill="D9D9D9"/>
            <w:vAlign w:val="center"/>
            <w:hideMark/>
          </w:tcPr>
          <w:p w14:paraId="4CC14DAC"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1524</w:t>
            </w:r>
          </w:p>
        </w:tc>
        <w:tc>
          <w:tcPr>
            <w:tcW w:w="3340" w:type="dxa"/>
            <w:tcBorders>
              <w:top w:val="nil"/>
              <w:left w:val="nil"/>
              <w:bottom w:val="single" w:sz="8" w:space="0" w:color="666666"/>
              <w:right w:val="nil"/>
            </w:tcBorders>
            <w:shd w:val="clear" w:color="000000" w:fill="D9D9D9"/>
            <w:vAlign w:val="center"/>
            <w:hideMark/>
          </w:tcPr>
          <w:p w14:paraId="2ECDABE8"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94.40%</w:t>
            </w:r>
          </w:p>
        </w:tc>
      </w:tr>
      <w:tr w:rsidR="00381C16" w:rsidRPr="00381C16" w14:paraId="1AC6ABA5" w14:textId="77777777" w:rsidTr="00381C16">
        <w:trPr>
          <w:trHeight w:val="330"/>
        </w:trPr>
        <w:tc>
          <w:tcPr>
            <w:tcW w:w="3180" w:type="dxa"/>
            <w:tcBorders>
              <w:top w:val="nil"/>
              <w:left w:val="nil"/>
              <w:bottom w:val="single" w:sz="8" w:space="0" w:color="666666"/>
              <w:right w:val="nil"/>
            </w:tcBorders>
            <w:vAlign w:val="center"/>
            <w:hideMark/>
          </w:tcPr>
          <w:p w14:paraId="3797CAED" w14:textId="77777777" w:rsidR="00381C16" w:rsidRPr="00381C16" w:rsidRDefault="00381C16" w:rsidP="00381C16">
            <w:pPr>
              <w:spacing w:after="0" w:line="240" w:lineRule="auto"/>
              <w:jc w:val="left"/>
              <w:rPr>
                <w:rFonts w:eastAsia="Times New Roman" w:cs="Times New Roman"/>
                <w:color w:val="000000"/>
                <w:szCs w:val="24"/>
              </w:rPr>
            </w:pPr>
            <w:r w:rsidRPr="00381C16">
              <w:rPr>
                <w:rFonts w:eastAsia="Times New Roman" w:cs="Times New Roman"/>
                <w:color w:val="000000"/>
                <w:szCs w:val="24"/>
              </w:rPr>
              <w:t>Fragmented BUSCOs (F)</w:t>
            </w:r>
          </w:p>
        </w:tc>
        <w:tc>
          <w:tcPr>
            <w:tcW w:w="2380" w:type="dxa"/>
            <w:tcBorders>
              <w:top w:val="nil"/>
              <w:left w:val="nil"/>
              <w:bottom w:val="single" w:sz="8" w:space="0" w:color="666666"/>
              <w:right w:val="nil"/>
            </w:tcBorders>
            <w:vAlign w:val="center"/>
            <w:hideMark/>
          </w:tcPr>
          <w:p w14:paraId="5550C482"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8</w:t>
            </w:r>
          </w:p>
        </w:tc>
        <w:tc>
          <w:tcPr>
            <w:tcW w:w="3340" w:type="dxa"/>
            <w:tcBorders>
              <w:top w:val="nil"/>
              <w:left w:val="nil"/>
              <w:bottom w:val="single" w:sz="8" w:space="0" w:color="666666"/>
              <w:right w:val="nil"/>
            </w:tcBorders>
            <w:vAlign w:val="center"/>
            <w:hideMark/>
          </w:tcPr>
          <w:p w14:paraId="168F83F9"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0.50%</w:t>
            </w:r>
          </w:p>
        </w:tc>
      </w:tr>
      <w:tr w:rsidR="00381C16" w:rsidRPr="00381C16" w14:paraId="684A901A" w14:textId="77777777" w:rsidTr="00381C16">
        <w:trPr>
          <w:trHeight w:val="330"/>
        </w:trPr>
        <w:tc>
          <w:tcPr>
            <w:tcW w:w="3180" w:type="dxa"/>
            <w:tcBorders>
              <w:top w:val="nil"/>
              <w:left w:val="nil"/>
              <w:bottom w:val="single" w:sz="8" w:space="0" w:color="666666"/>
              <w:right w:val="nil"/>
            </w:tcBorders>
            <w:shd w:val="clear" w:color="000000" w:fill="D9D9D9"/>
            <w:vAlign w:val="center"/>
            <w:hideMark/>
          </w:tcPr>
          <w:p w14:paraId="52B397A8" w14:textId="77777777" w:rsidR="00381C16" w:rsidRPr="00381C16" w:rsidRDefault="00381C16" w:rsidP="00381C16">
            <w:pPr>
              <w:spacing w:after="0" w:line="240" w:lineRule="auto"/>
              <w:jc w:val="left"/>
              <w:rPr>
                <w:rFonts w:eastAsia="Times New Roman" w:cs="Times New Roman"/>
                <w:color w:val="000000"/>
                <w:szCs w:val="24"/>
              </w:rPr>
            </w:pPr>
            <w:r w:rsidRPr="00381C16">
              <w:rPr>
                <w:rFonts w:eastAsia="Times New Roman" w:cs="Times New Roman"/>
                <w:color w:val="000000"/>
                <w:szCs w:val="24"/>
              </w:rPr>
              <w:t>Missing BUSCOs (M)</w:t>
            </w:r>
          </w:p>
        </w:tc>
        <w:tc>
          <w:tcPr>
            <w:tcW w:w="2380" w:type="dxa"/>
            <w:tcBorders>
              <w:top w:val="nil"/>
              <w:left w:val="nil"/>
              <w:bottom w:val="single" w:sz="8" w:space="0" w:color="666666"/>
              <w:right w:val="nil"/>
            </w:tcBorders>
            <w:shd w:val="clear" w:color="000000" w:fill="D9D9D9"/>
            <w:vAlign w:val="center"/>
            <w:hideMark/>
          </w:tcPr>
          <w:p w14:paraId="4ECDE325"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9</w:t>
            </w:r>
          </w:p>
        </w:tc>
        <w:tc>
          <w:tcPr>
            <w:tcW w:w="3340" w:type="dxa"/>
            <w:tcBorders>
              <w:top w:val="nil"/>
              <w:left w:val="nil"/>
              <w:bottom w:val="single" w:sz="8" w:space="0" w:color="666666"/>
              <w:right w:val="nil"/>
            </w:tcBorders>
            <w:shd w:val="clear" w:color="000000" w:fill="D9D9D9"/>
            <w:vAlign w:val="center"/>
            <w:hideMark/>
          </w:tcPr>
          <w:p w14:paraId="4B8FD77C"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0.60%</w:t>
            </w:r>
          </w:p>
        </w:tc>
      </w:tr>
      <w:tr w:rsidR="00381C16" w:rsidRPr="00381C16" w14:paraId="5EAF09A6" w14:textId="77777777" w:rsidTr="00381C16">
        <w:trPr>
          <w:trHeight w:val="330"/>
        </w:trPr>
        <w:tc>
          <w:tcPr>
            <w:tcW w:w="3180" w:type="dxa"/>
            <w:tcBorders>
              <w:top w:val="nil"/>
              <w:left w:val="nil"/>
              <w:bottom w:val="single" w:sz="8" w:space="0" w:color="666666"/>
              <w:right w:val="nil"/>
            </w:tcBorders>
            <w:vAlign w:val="center"/>
            <w:hideMark/>
          </w:tcPr>
          <w:p w14:paraId="0F873068" w14:textId="77777777" w:rsidR="00381C16" w:rsidRPr="00381C16" w:rsidRDefault="00381C16" w:rsidP="00381C16">
            <w:pPr>
              <w:spacing w:after="0" w:line="240" w:lineRule="auto"/>
              <w:jc w:val="left"/>
              <w:rPr>
                <w:rFonts w:eastAsia="Times New Roman" w:cs="Times New Roman"/>
                <w:color w:val="000000"/>
                <w:szCs w:val="24"/>
              </w:rPr>
            </w:pPr>
            <w:r w:rsidRPr="00381C16">
              <w:rPr>
                <w:rFonts w:eastAsia="Times New Roman" w:cs="Times New Roman"/>
                <w:color w:val="000000"/>
                <w:szCs w:val="24"/>
              </w:rPr>
              <w:t>Total BUSCO groups searched</w:t>
            </w:r>
          </w:p>
        </w:tc>
        <w:tc>
          <w:tcPr>
            <w:tcW w:w="2380" w:type="dxa"/>
            <w:tcBorders>
              <w:top w:val="nil"/>
              <w:left w:val="nil"/>
              <w:bottom w:val="single" w:sz="8" w:space="0" w:color="666666"/>
              <w:right w:val="nil"/>
            </w:tcBorders>
            <w:vAlign w:val="center"/>
            <w:hideMark/>
          </w:tcPr>
          <w:p w14:paraId="5058BC07"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1614</w:t>
            </w:r>
          </w:p>
        </w:tc>
        <w:tc>
          <w:tcPr>
            <w:tcW w:w="3340" w:type="dxa"/>
            <w:tcBorders>
              <w:top w:val="nil"/>
              <w:left w:val="nil"/>
              <w:bottom w:val="single" w:sz="8" w:space="0" w:color="666666"/>
              <w:right w:val="nil"/>
            </w:tcBorders>
            <w:vAlign w:val="center"/>
            <w:hideMark/>
          </w:tcPr>
          <w:p w14:paraId="773245DC"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w:t>
            </w:r>
          </w:p>
        </w:tc>
      </w:tr>
    </w:tbl>
    <w:p w14:paraId="12EF931C" w14:textId="77777777" w:rsidR="003539A0" w:rsidRPr="003539A0" w:rsidRDefault="003539A0" w:rsidP="003539A0"/>
    <w:p w14:paraId="4EA2C758" w14:textId="77777777" w:rsidR="00452625" w:rsidRPr="00856741" w:rsidRDefault="00452625" w:rsidP="00856741">
      <w:pPr>
        <w:spacing w:after="0"/>
        <w:rPr>
          <w:b/>
          <w:bCs/>
        </w:rPr>
      </w:pPr>
      <w:r w:rsidRPr="00856741">
        <w:rPr>
          <w:b/>
          <w:bCs/>
        </w:rPr>
        <w:t xml:space="preserve">Table 4. BUSCO assessment summary of genome completeness in </w:t>
      </w:r>
      <w:r w:rsidRPr="002053D0">
        <w:rPr>
          <w:b/>
          <w:bCs/>
          <w:i/>
          <w:iCs/>
        </w:rPr>
        <w:t xml:space="preserve">M. </w:t>
      </w:r>
      <w:proofErr w:type="spellStart"/>
      <w:r w:rsidRPr="002053D0">
        <w:rPr>
          <w:b/>
          <w:bCs/>
          <w:i/>
          <w:iCs/>
        </w:rPr>
        <w:t>beccarii</w:t>
      </w:r>
      <w:proofErr w:type="spellEnd"/>
      <w:r w:rsidRPr="00856741">
        <w:rPr>
          <w:b/>
          <w:bCs/>
        </w:rPr>
        <w:t>.</w:t>
      </w:r>
    </w:p>
    <w:tbl>
      <w:tblPr>
        <w:tblW w:w="8900" w:type="dxa"/>
        <w:tblLook w:val="04A0" w:firstRow="1" w:lastRow="0" w:firstColumn="1" w:lastColumn="0" w:noHBand="0" w:noVBand="1"/>
      </w:tblPr>
      <w:tblGrid>
        <w:gridCol w:w="3180"/>
        <w:gridCol w:w="2380"/>
        <w:gridCol w:w="3340"/>
      </w:tblGrid>
      <w:tr w:rsidR="00381C16" w:rsidRPr="00381C16" w14:paraId="29A54B80" w14:textId="77777777" w:rsidTr="00381C16">
        <w:trPr>
          <w:trHeight w:val="330"/>
        </w:trPr>
        <w:tc>
          <w:tcPr>
            <w:tcW w:w="3180" w:type="dxa"/>
            <w:tcBorders>
              <w:top w:val="single" w:sz="8" w:space="0" w:color="666666"/>
              <w:left w:val="nil"/>
              <w:bottom w:val="single" w:sz="8" w:space="0" w:color="666666"/>
              <w:right w:val="nil"/>
            </w:tcBorders>
            <w:vAlign w:val="center"/>
            <w:hideMark/>
          </w:tcPr>
          <w:p w14:paraId="2A342F47" w14:textId="77777777" w:rsidR="00381C16" w:rsidRPr="00381C16" w:rsidRDefault="00381C16" w:rsidP="00381C16">
            <w:pPr>
              <w:spacing w:after="0" w:line="240" w:lineRule="auto"/>
              <w:jc w:val="center"/>
              <w:rPr>
                <w:rFonts w:eastAsia="Times New Roman" w:cs="Times New Roman"/>
                <w:b/>
                <w:bCs/>
                <w:color w:val="000000"/>
                <w:szCs w:val="24"/>
              </w:rPr>
            </w:pPr>
            <w:r w:rsidRPr="00381C16">
              <w:rPr>
                <w:rFonts w:eastAsia="Times New Roman" w:cs="Times New Roman"/>
                <w:b/>
                <w:bCs/>
                <w:color w:val="000000"/>
                <w:szCs w:val="24"/>
              </w:rPr>
              <w:t>Compact summary</w:t>
            </w:r>
          </w:p>
        </w:tc>
        <w:tc>
          <w:tcPr>
            <w:tcW w:w="5720" w:type="dxa"/>
            <w:gridSpan w:val="2"/>
            <w:tcBorders>
              <w:top w:val="single" w:sz="8" w:space="0" w:color="666666"/>
              <w:left w:val="nil"/>
              <w:bottom w:val="single" w:sz="8" w:space="0" w:color="666666"/>
              <w:right w:val="nil"/>
            </w:tcBorders>
            <w:vAlign w:val="center"/>
            <w:hideMark/>
          </w:tcPr>
          <w:p w14:paraId="2F068EE9" w14:textId="77777777" w:rsidR="00381C16" w:rsidRPr="00381C16" w:rsidRDefault="00381C16" w:rsidP="00381C16">
            <w:pPr>
              <w:spacing w:after="0" w:line="240" w:lineRule="auto"/>
              <w:jc w:val="center"/>
              <w:rPr>
                <w:rFonts w:eastAsia="Times New Roman" w:cs="Times New Roman"/>
                <w:b/>
                <w:bCs/>
                <w:color w:val="000000"/>
                <w:szCs w:val="24"/>
              </w:rPr>
            </w:pPr>
            <w:r w:rsidRPr="00381C16">
              <w:rPr>
                <w:rFonts w:eastAsia="Times New Roman" w:cs="Times New Roman"/>
                <w:b/>
                <w:bCs/>
                <w:color w:val="000000"/>
                <w:szCs w:val="24"/>
              </w:rPr>
              <w:t>C:98.2%[S:82.2</w:t>
            </w:r>
            <w:proofErr w:type="gramStart"/>
            <w:r w:rsidRPr="00381C16">
              <w:rPr>
                <w:rFonts w:eastAsia="Times New Roman" w:cs="Times New Roman"/>
                <w:b/>
                <w:bCs/>
                <w:color w:val="000000"/>
                <w:szCs w:val="24"/>
              </w:rPr>
              <w:t>%,D</w:t>
            </w:r>
            <w:proofErr w:type="gramEnd"/>
            <w:r w:rsidRPr="00381C16">
              <w:rPr>
                <w:rFonts w:eastAsia="Times New Roman" w:cs="Times New Roman"/>
                <w:b/>
                <w:bCs/>
                <w:color w:val="000000"/>
                <w:szCs w:val="24"/>
              </w:rPr>
              <w:t>:16.0%</w:t>
            </w:r>
            <w:proofErr w:type="gramStart"/>
            <w:r w:rsidRPr="00381C16">
              <w:rPr>
                <w:rFonts w:eastAsia="Times New Roman" w:cs="Times New Roman"/>
                <w:b/>
                <w:bCs/>
                <w:color w:val="000000"/>
                <w:szCs w:val="24"/>
              </w:rPr>
              <w:t>],F</w:t>
            </w:r>
            <w:proofErr w:type="gramEnd"/>
            <w:r w:rsidRPr="00381C16">
              <w:rPr>
                <w:rFonts w:eastAsia="Times New Roman" w:cs="Times New Roman"/>
                <w:b/>
                <w:bCs/>
                <w:color w:val="000000"/>
                <w:szCs w:val="24"/>
              </w:rPr>
              <w:t>:0.9</w:t>
            </w:r>
            <w:proofErr w:type="gramStart"/>
            <w:r w:rsidRPr="00381C16">
              <w:rPr>
                <w:rFonts w:eastAsia="Times New Roman" w:cs="Times New Roman"/>
                <w:b/>
                <w:bCs/>
                <w:color w:val="000000"/>
                <w:szCs w:val="24"/>
              </w:rPr>
              <w:t>%,M</w:t>
            </w:r>
            <w:proofErr w:type="gramEnd"/>
            <w:r w:rsidRPr="00381C16">
              <w:rPr>
                <w:rFonts w:eastAsia="Times New Roman" w:cs="Times New Roman"/>
                <w:b/>
                <w:bCs/>
                <w:color w:val="000000"/>
                <w:szCs w:val="24"/>
              </w:rPr>
              <w:t>:0.9</w:t>
            </w:r>
            <w:proofErr w:type="gramStart"/>
            <w:r w:rsidRPr="00381C16">
              <w:rPr>
                <w:rFonts w:eastAsia="Times New Roman" w:cs="Times New Roman"/>
                <w:b/>
                <w:bCs/>
                <w:color w:val="000000"/>
                <w:szCs w:val="24"/>
              </w:rPr>
              <w:t>%,n</w:t>
            </w:r>
            <w:proofErr w:type="gramEnd"/>
            <w:r w:rsidRPr="00381C16">
              <w:rPr>
                <w:rFonts w:eastAsia="Times New Roman" w:cs="Times New Roman"/>
                <w:b/>
                <w:bCs/>
                <w:color w:val="000000"/>
                <w:szCs w:val="24"/>
              </w:rPr>
              <w:t>:1614</w:t>
            </w:r>
          </w:p>
        </w:tc>
      </w:tr>
      <w:tr w:rsidR="00381C16" w:rsidRPr="00381C16" w14:paraId="2792D023" w14:textId="77777777" w:rsidTr="00381C16">
        <w:trPr>
          <w:trHeight w:val="330"/>
        </w:trPr>
        <w:tc>
          <w:tcPr>
            <w:tcW w:w="3180" w:type="dxa"/>
            <w:tcBorders>
              <w:top w:val="nil"/>
              <w:left w:val="nil"/>
              <w:bottom w:val="single" w:sz="8" w:space="0" w:color="666666"/>
              <w:right w:val="nil"/>
            </w:tcBorders>
            <w:vAlign w:val="center"/>
            <w:hideMark/>
          </w:tcPr>
          <w:p w14:paraId="454E3295" w14:textId="77777777" w:rsidR="00381C16" w:rsidRPr="00381C16" w:rsidRDefault="00381C16" w:rsidP="00381C16">
            <w:pPr>
              <w:spacing w:after="0" w:line="240" w:lineRule="auto"/>
              <w:jc w:val="left"/>
              <w:rPr>
                <w:rFonts w:eastAsia="Times New Roman" w:cs="Times New Roman"/>
                <w:b/>
                <w:bCs/>
                <w:color w:val="000000"/>
                <w:szCs w:val="24"/>
              </w:rPr>
            </w:pPr>
            <w:r w:rsidRPr="00381C16">
              <w:rPr>
                <w:rFonts w:eastAsia="Times New Roman" w:cs="Times New Roman"/>
                <w:b/>
                <w:bCs/>
                <w:color w:val="000000"/>
                <w:szCs w:val="24"/>
              </w:rPr>
              <w:t>Metric</w:t>
            </w:r>
          </w:p>
        </w:tc>
        <w:tc>
          <w:tcPr>
            <w:tcW w:w="2380" w:type="dxa"/>
            <w:tcBorders>
              <w:top w:val="nil"/>
              <w:left w:val="nil"/>
              <w:bottom w:val="single" w:sz="8" w:space="0" w:color="666666"/>
              <w:right w:val="nil"/>
            </w:tcBorders>
            <w:vAlign w:val="center"/>
            <w:hideMark/>
          </w:tcPr>
          <w:p w14:paraId="63F76A19" w14:textId="77777777" w:rsidR="00381C16" w:rsidRPr="00381C16" w:rsidRDefault="00381C16" w:rsidP="00395122">
            <w:pPr>
              <w:spacing w:after="0" w:line="240" w:lineRule="auto"/>
              <w:jc w:val="right"/>
              <w:rPr>
                <w:rFonts w:eastAsia="Times New Roman" w:cs="Times New Roman"/>
                <w:b/>
                <w:bCs/>
                <w:color w:val="000000"/>
                <w:szCs w:val="24"/>
              </w:rPr>
            </w:pPr>
            <w:r w:rsidRPr="00381C16">
              <w:rPr>
                <w:rFonts w:eastAsia="Times New Roman" w:cs="Times New Roman"/>
                <w:b/>
                <w:bCs/>
                <w:color w:val="000000"/>
                <w:szCs w:val="24"/>
              </w:rPr>
              <w:t>Count</w:t>
            </w:r>
          </w:p>
        </w:tc>
        <w:tc>
          <w:tcPr>
            <w:tcW w:w="3340" w:type="dxa"/>
            <w:tcBorders>
              <w:top w:val="nil"/>
              <w:left w:val="nil"/>
              <w:bottom w:val="single" w:sz="8" w:space="0" w:color="666666"/>
              <w:right w:val="nil"/>
            </w:tcBorders>
            <w:vAlign w:val="center"/>
            <w:hideMark/>
          </w:tcPr>
          <w:p w14:paraId="25AE3778" w14:textId="77777777" w:rsidR="00381C16" w:rsidRPr="00381C16" w:rsidRDefault="00381C16" w:rsidP="00395122">
            <w:pPr>
              <w:spacing w:after="0" w:line="240" w:lineRule="auto"/>
              <w:jc w:val="right"/>
              <w:rPr>
                <w:rFonts w:eastAsia="Times New Roman" w:cs="Times New Roman"/>
                <w:b/>
                <w:bCs/>
                <w:color w:val="000000"/>
                <w:szCs w:val="24"/>
              </w:rPr>
            </w:pPr>
            <w:r w:rsidRPr="00381C16">
              <w:rPr>
                <w:rFonts w:eastAsia="Times New Roman" w:cs="Times New Roman"/>
                <w:b/>
                <w:bCs/>
                <w:color w:val="000000"/>
                <w:szCs w:val="24"/>
              </w:rPr>
              <w:t>Percentage</w:t>
            </w:r>
          </w:p>
        </w:tc>
      </w:tr>
      <w:tr w:rsidR="00381C16" w:rsidRPr="00381C16" w14:paraId="13E9C4D9" w14:textId="77777777" w:rsidTr="00381C16">
        <w:trPr>
          <w:trHeight w:val="330"/>
        </w:trPr>
        <w:tc>
          <w:tcPr>
            <w:tcW w:w="3180" w:type="dxa"/>
            <w:tcBorders>
              <w:top w:val="nil"/>
              <w:left w:val="nil"/>
              <w:bottom w:val="single" w:sz="8" w:space="0" w:color="666666"/>
              <w:right w:val="nil"/>
            </w:tcBorders>
            <w:shd w:val="clear" w:color="000000" w:fill="D9D9D9"/>
            <w:vAlign w:val="center"/>
            <w:hideMark/>
          </w:tcPr>
          <w:p w14:paraId="46478483" w14:textId="77777777" w:rsidR="00381C16" w:rsidRPr="00381C16" w:rsidRDefault="00381C16" w:rsidP="00381C16">
            <w:pPr>
              <w:spacing w:after="0" w:line="240" w:lineRule="auto"/>
              <w:jc w:val="left"/>
              <w:rPr>
                <w:rFonts w:eastAsia="Times New Roman" w:cs="Times New Roman"/>
                <w:color w:val="000000"/>
                <w:szCs w:val="24"/>
              </w:rPr>
            </w:pPr>
            <w:r w:rsidRPr="00381C16">
              <w:rPr>
                <w:rFonts w:eastAsia="Times New Roman" w:cs="Times New Roman"/>
                <w:color w:val="000000"/>
                <w:szCs w:val="24"/>
              </w:rPr>
              <w:t>Complete BUSCOs (C)</w:t>
            </w:r>
          </w:p>
        </w:tc>
        <w:tc>
          <w:tcPr>
            <w:tcW w:w="2380" w:type="dxa"/>
            <w:tcBorders>
              <w:top w:val="nil"/>
              <w:left w:val="nil"/>
              <w:bottom w:val="single" w:sz="8" w:space="0" w:color="666666"/>
              <w:right w:val="nil"/>
            </w:tcBorders>
            <w:shd w:val="clear" w:color="000000" w:fill="D9D9D9"/>
            <w:vAlign w:val="center"/>
            <w:hideMark/>
          </w:tcPr>
          <w:p w14:paraId="40B37F77"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1585</w:t>
            </w:r>
          </w:p>
        </w:tc>
        <w:tc>
          <w:tcPr>
            <w:tcW w:w="3340" w:type="dxa"/>
            <w:tcBorders>
              <w:top w:val="nil"/>
              <w:left w:val="nil"/>
              <w:bottom w:val="single" w:sz="8" w:space="0" w:color="666666"/>
              <w:right w:val="nil"/>
            </w:tcBorders>
            <w:shd w:val="clear" w:color="000000" w:fill="D9D9D9"/>
            <w:vAlign w:val="center"/>
            <w:hideMark/>
          </w:tcPr>
          <w:p w14:paraId="412DC4F5"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98.20%</w:t>
            </w:r>
          </w:p>
        </w:tc>
      </w:tr>
      <w:tr w:rsidR="00381C16" w:rsidRPr="00381C16" w14:paraId="3760EB0B" w14:textId="77777777" w:rsidTr="00381C16">
        <w:trPr>
          <w:trHeight w:val="330"/>
        </w:trPr>
        <w:tc>
          <w:tcPr>
            <w:tcW w:w="3180" w:type="dxa"/>
            <w:tcBorders>
              <w:top w:val="nil"/>
              <w:left w:val="nil"/>
              <w:bottom w:val="single" w:sz="8" w:space="0" w:color="666666"/>
              <w:right w:val="nil"/>
            </w:tcBorders>
            <w:vAlign w:val="center"/>
            <w:hideMark/>
          </w:tcPr>
          <w:p w14:paraId="0A316425" w14:textId="77777777" w:rsidR="00381C16" w:rsidRPr="00381C16" w:rsidRDefault="00381C16" w:rsidP="00381C16">
            <w:pPr>
              <w:spacing w:after="0" w:line="240" w:lineRule="auto"/>
              <w:jc w:val="left"/>
              <w:rPr>
                <w:rFonts w:eastAsia="Times New Roman" w:cs="Times New Roman"/>
                <w:color w:val="000000"/>
                <w:szCs w:val="24"/>
              </w:rPr>
            </w:pPr>
            <w:r w:rsidRPr="00381C16">
              <w:rPr>
                <w:rFonts w:eastAsia="Times New Roman" w:cs="Times New Roman"/>
                <w:color w:val="000000"/>
                <w:szCs w:val="24"/>
              </w:rPr>
              <w:t xml:space="preserve">Complete and </w:t>
            </w:r>
            <w:proofErr w:type="gramStart"/>
            <w:r w:rsidRPr="00381C16">
              <w:rPr>
                <w:rFonts w:eastAsia="Times New Roman" w:cs="Times New Roman"/>
                <w:color w:val="000000"/>
                <w:szCs w:val="24"/>
              </w:rPr>
              <w:t>single-copy (S)</w:t>
            </w:r>
            <w:proofErr w:type="gramEnd"/>
          </w:p>
        </w:tc>
        <w:tc>
          <w:tcPr>
            <w:tcW w:w="2380" w:type="dxa"/>
            <w:tcBorders>
              <w:top w:val="nil"/>
              <w:left w:val="nil"/>
              <w:bottom w:val="single" w:sz="8" w:space="0" w:color="666666"/>
              <w:right w:val="nil"/>
            </w:tcBorders>
            <w:vAlign w:val="center"/>
            <w:hideMark/>
          </w:tcPr>
          <w:p w14:paraId="23DB9278"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1327</w:t>
            </w:r>
          </w:p>
        </w:tc>
        <w:tc>
          <w:tcPr>
            <w:tcW w:w="3340" w:type="dxa"/>
            <w:tcBorders>
              <w:top w:val="nil"/>
              <w:left w:val="nil"/>
              <w:bottom w:val="single" w:sz="8" w:space="0" w:color="666666"/>
              <w:right w:val="nil"/>
            </w:tcBorders>
            <w:vAlign w:val="center"/>
            <w:hideMark/>
          </w:tcPr>
          <w:p w14:paraId="398ED3D2"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82.20%</w:t>
            </w:r>
          </w:p>
        </w:tc>
      </w:tr>
      <w:tr w:rsidR="00381C16" w:rsidRPr="00381C16" w14:paraId="493DD045" w14:textId="77777777" w:rsidTr="00381C16">
        <w:trPr>
          <w:trHeight w:val="330"/>
        </w:trPr>
        <w:tc>
          <w:tcPr>
            <w:tcW w:w="3180" w:type="dxa"/>
            <w:tcBorders>
              <w:top w:val="nil"/>
              <w:left w:val="nil"/>
              <w:bottom w:val="single" w:sz="8" w:space="0" w:color="666666"/>
              <w:right w:val="nil"/>
            </w:tcBorders>
            <w:shd w:val="clear" w:color="000000" w:fill="D9D9D9"/>
            <w:vAlign w:val="center"/>
            <w:hideMark/>
          </w:tcPr>
          <w:p w14:paraId="1C25D0FA" w14:textId="77777777" w:rsidR="00381C16" w:rsidRPr="00381C16" w:rsidRDefault="00381C16" w:rsidP="00381C16">
            <w:pPr>
              <w:spacing w:after="0" w:line="240" w:lineRule="auto"/>
              <w:jc w:val="left"/>
              <w:rPr>
                <w:rFonts w:eastAsia="Times New Roman" w:cs="Times New Roman"/>
                <w:color w:val="000000"/>
                <w:szCs w:val="24"/>
              </w:rPr>
            </w:pPr>
            <w:r w:rsidRPr="00381C16">
              <w:rPr>
                <w:rFonts w:eastAsia="Times New Roman" w:cs="Times New Roman"/>
                <w:color w:val="000000"/>
                <w:szCs w:val="24"/>
              </w:rPr>
              <w:t>Complete and duplicated (D)</w:t>
            </w:r>
          </w:p>
        </w:tc>
        <w:tc>
          <w:tcPr>
            <w:tcW w:w="2380" w:type="dxa"/>
            <w:tcBorders>
              <w:top w:val="nil"/>
              <w:left w:val="nil"/>
              <w:bottom w:val="single" w:sz="8" w:space="0" w:color="666666"/>
              <w:right w:val="nil"/>
            </w:tcBorders>
            <w:shd w:val="clear" w:color="000000" w:fill="D9D9D9"/>
            <w:vAlign w:val="center"/>
            <w:hideMark/>
          </w:tcPr>
          <w:p w14:paraId="71CEC156"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258</w:t>
            </w:r>
          </w:p>
        </w:tc>
        <w:tc>
          <w:tcPr>
            <w:tcW w:w="3340" w:type="dxa"/>
            <w:tcBorders>
              <w:top w:val="nil"/>
              <w:left w:val="nil"/>
              <w:bottom w:val="single" w:sz="8" w:space="0" w:color="666666"/>
              <w:right w:val="nil"/>
            </w:tcBorders>
            <w:shd w:val="clear" w:color="000000" w:fill="D9D9D9"/>
            <w:vAlign w:val="center"/>
            <w:hideMark/>
          </w:tcPr>
          <w:p w14:paraId="23DBFB20"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16.00%</w:t>
            </w:r>
          </w:p>
        </w:tc>
      </w:tr>
      <w:tr w:rsidR="00381C16" w:rsidRPr="00381C16" w14:paraId="4B7B8830" w14:textId="77777777" w:rsidTr="00381C16">
        <w:trPr>
          <w:trHeight w:val="330"/>
        </w:trPr>
        <w:tc>
          <w:tcPr>
            <w:tcW w:w="3180" w:type="dxa"/>
            <w:tcBorders>
              <w:top w:val="nil"/>
              <w:left w:val="nil"/>
              <w:bottom w:val="single" w:sz="8" w:space="0" w:color="666666"/>
              <w:right w:val="nil"/>
            </w:tcBorders>
            <w:vAlign w:val="center"/>
            <w:hideMark/>
          </w:tcPr>
          <w:p w14:paraId="636BB225" w14:textId="77777777" w:rsidR="00381C16" w:rsidRPr="00381C16" w:rsidRDefault="00381C16" w:rsidP="00381C16">
            <w:pPr>
              <w:spacing w:after="0" w:line="240" w:lineRule="auto"/>
              <w:jc w:val="left"/>
              <w:rPr>
                <w:rFonts w:eastAsia="Times New Roman" w:cs="Times New Roman"/>
                <w:color w:val="000000"/>
                <w:szCs w:val="24"/>
              </w:rPr>
            </w:pPr>
            <w:r w:rsidRPr="00381C16">
              <w:rPr>
                <w:rFonts w:eastAsia="Times New Roman" w:cs="Times New Roman"/>
                <w:color w:val="000000"/>
                <w:szCs w:val="24"/>
              </w:rPr>
              <w:t>Fragmented BUSCOs (F)</w:t>
            </w:r>
          </w:p>
        </w:tc>
        <w:tc>
          <w:tcPr>
            <w:tcW w:w="2380" w:type="dxa"/>
            <w:tcBorders>
              <w:top w:val="nil"/>
              <w:left w:val="nil"/>
              <w:bottom w:val="single" w:sz="8" w:space="0" w:color="666666"/>
              <w:right w:val="nil"/>
            </w:tcBorders>
            <w:vAlign w:val="center"/>
            <w:hideMark/>
          </w:tcPr>
          <w:p w14:paraId="359E0F6E"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14</w:t>
            </w:r>
          </w:p>
        </w:tc>
        <w:tc>
          <w:tcPr>
            <w:tcW w:w="3340" w:type="dxa"/>
            <w:tcBorders>
              <w:top w:val="nil"/>
              <w:left w:val="nil"/>
              <w:bottom w:val="single" w:sz="8" w:space="0" w:color="666666"/>
              <w:right w:val="nil"/>
            </w:tcBorders>
            <w:vAlign w:val="center"/>
            <w:hideMark/>
          </w:tcPr>
          <w:p w14:paraId="0BC2CE93"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0.90%</w:t>
            </w:r>
          </w:p>
        </w:tc>
      </w:tr>
      <w:tr w:rsidR="00381C16" w:rsidRPr="00381C16" w14:paraId="1B3E8697" w14:textId="77777777" w:rsidTr="00381C16">
        <w:trPr>
          <w:trHeight w:val="330"/>
        </w:trPr>
        <w:tc>
          <w:tcPr>
            <w:tcW w:w="3180" w:type="dxa"/>
            <w:tcBorders>
              <w:top w:val="nil"/>
              <w:left w:val="nil"/>
              <w:bottom w:val="single" w:sz="8" w:space="0" w:color="666666"/>
              <w:right w:val="nil"/>
            </w:tcBorders>
            <w:shd w:val="clear" w:color="000000" w:fill="D9D9D9"/>
            <w:vAlign w:val="center"/>
            <w:hideMark/>
          </w:tcPr>
          <w:p w14:paraId="5D246869" w14:textId="77777777" w:rsidR="00381C16" w:rsidRPr="00381C16" w:rsidRDefault="00381C16" w:rsidP="00381C16">
            <w:pPr>
              <w:spacing w:after="0" w:line="240" w:lineRule="auto"/>
              <w:jc w:val="left"/>
              <w:rPr>
                <w:rFonts w:eastAsia="Times New Roman" w:cs="Times New Roman"/>
                <w:color w:val="000000"/>
                <w:szCs w:val="24"/>
              </w:rPr>
            </w:pPr>
            <w:r w:rsidRPr="00381C16">
              <w:rPr>
                <w:rFonts w:eastAsia="Times New Roman" w:cs="Times New Roman"/>
                <w:color w:val="000000"/>
                <w:szCs w:val="24"/>
              </w:rPr>
              <w:t>Missing BUSCOs (M)</w:t>
            </w:r>
          </w:p>
        </w:tc>
        <w:tc>
          <w:tcPr>
            <w:tcW w:w="2380" w:type="dxa"/>
            <w:tcBorders>
              <w:top w:val="nil"/>
              <w:left w:val="nil"/>
              <w:bottom w:val="single" w:sz="8" w:space="0" w:color="666666"/>
              <w:right w:val="nil"/>
            </w:tcBorders>
            <w:shd w:val="clear" w:color="000000" w:fill="D9D9D9"/>
            <w:vAlign w:val="center"/>
            <w:hideMark/>
          </w:tcPr>
          <w:p w14:paraId="58C66F37"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15</w:t>
            </w:r>
          </w:p>
        </w:tc>
        <w:tc>
          <w:tcPr>
            <w:tcW w:w="3340" w:type="dxa"/>
            <w:tcBorders>
              <w:top w:val="nil"/>
              <w:left w:val="nil"/>
              <w:bottom w:val="single" w:sz="8" w:space="0" w:color="666666"/>
              <w:right w:val="nil"/>
            </w:tcBorders>
            <w:shd w:val="clear" w:color="000000" w:fill="D9D9D9"/>
            <w:vAlign w:val="center"/>
            <w:hideMark/>
          </w:tcPr>
          <w:p w14:paraId="4FA58079"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0.90%</w:t>
            </w:r>
          </w:p>
        </w:tc>
      </w:tr>
      <w:tr w:rsidR="00381C16" w:rsidRPr="00381C16" w14:paraId="3C1F9961" w14:textId="77777777" w:rsidTr="00381C16">
        <w:trPr>
          <w:trHeight w:val="330"/>
        </w:trPr>
        <w:tc>
          <w:tcPr>
            <w:tcW w:w="3180" w:type="dxa"/>
            <w:tcBorders>
              <w:top w:val="nil"/>
              <w:left w:val="nil"/>
              <w:bottom w:val="single" w:sz="8" w:space="0" w:color="666666"/>
              <w:right w:val="nil"/>
            </w:tcBorders>
            <w:vAlign w:val="center"/>
            <w:hideMark/>
          </w:tcPr>
          <w:p w14:paraId="48BE0028" w14:textId="77777777" w:rsidR="00381C16" w:rsidRPr="00381C16" w:rsidRDefault="00381C16" w:rsidP="00381C16">
            <w:pPr>
              <w:spacing w:after="0" w:line="240" w:lineRule="auto"/>
              <w:jc w:val="left"/>
              <w:rPr>
                <w:rFonts w:eastAsia="Times New Roman" w:cs="Times New Roman"/>
                <w:color w:val="000000"/>
                <w:szCs w:val="24"/>
              </w:rPr>
            </w:pPr>
            <w:r w:rsidRPr="00381C16">
              <w:rPr>
                <w:rFonts w:eastAsia="Times New Roman" w:cs="Times New Roman"/>
                <w:color w:val="000000"/>
                <w:szCs w:val="24"/>
              </w:rPr>
              <w:t>Total BUSCO groups searched</w:t>
            </w:r>
          </w:p>
        </w:tc>
        <w:tc>
          <w:tcPr>
            <w:tcW w:w="2380" w:type="dxa"/>
            <w:tcBorders>
              <w:top w:val="nil"/>
              <w:left w:val="nil"/>
              <w:bottom w:val="single" w:sz="8" w:space="0" w:color="666666"/>
              <w:right w:val="nil"/>
            </w:tcBorders>
            <w:vAlign w:val="center"/>
            <w:hideMark/>
          </w:tcPr>
          <w:p w14:paraId="3C18EC4D"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1614</w:t>
            </w:r>
          </w:p>
        </w:tc>
        <w:tc>
          <w:tcPr>
            <w:tcW w:w="3340" w:type="dxa"/>
            <w:tcBorders>
              <w:top w:val="nil"/>
              <w:left w:val="nil"/>
              <w:bottom w:val="single" w:sz="8" w:space="0" w:color="666666"/>
              <w:right w:val="nil"/>
            </w:tcBorders>
            <w:vAlign w:val="center"/>
            <w:hideMark/>
          </w:tcPr>
          <w:p w14:paraId="232E23C9" w14:textId="77777777" w:rsidR="00381C16" w:rsidRPr="00381C16" w:rsidRDefault="00381C16" w:rsidP="00381C16">
            <w:pPr>
              <w:spacing w:after="0" w:line="240" w:lineRule="auto"/>
              <w:jc w:val="right"/>
              <w:rPr>
                <w:rFonts w:eastAsia="Times New Roman" w:cs="Times New Roman"/>
                <w:color w:val="000000"/>
                <w:szCs w:val="24"/>
              </w:rPr>
            </w:pPr>
            <w:r w:rsidRPr="00381C16">
              <w:rPr>
                <w:rFonts w:eastAsia="Times New Roman" w:cs="Times New Roman"/>
                <w:color w:val="000000"/>
                <w:szCs w:val="24"/>
              </w:rPr>
              <w:t>-</w:t>
            </w:r>
          </w:p>
        </w:tc>
      </w:tr>
    </w:tbl>
    <w:p w14:paraId="41DF53BD" w14:textId="77777777" w:rsidR="005C7825" w:rsidRDefault="005C7825" w:rsidP="00CF0519">
      <w:pPr>
        <w:pStyle w:val="Heading4"/>
      </w:pPr>
    </w:p>
    <w:p w14:paraId="3A0B3E8C" w14:textId="62FA92D1" w:rsidR="00CF0519" w:rsidRDefault="00CF0519" w:rsidP="00CF0519">
      <w:pPr>
        <w:pStyle w:val="Heading4"/>
      </w:pPr>
      <w:bookmarkStart w:id="32" w:name="_Toc235392978"/>
      <w:r>
        <w:t>2.4.4. Genome duplication purge</w:t>
      </w:r>
      <w:bookmarkEnd w:id="32"/>
    </w:p>
    <w:p w14:paraId="000000FA" w14:textId="76013F19" w:rsidR="00E420E3" w:rsidRDefault="008E5528" w:rsidP="00492352">
      <w:pPr>
        <w:widowControl w:val="0"/>
        <w:pBdr>
          <w:top w:val="nil"/>
          <w:left w:val="nil"/>
          <w:bottom w:val="nil"/>
          <w:right w:val="nil"/>
          <w:between w:val="nil"/>
        </w:pBdr>
        <w:spacing w:line="344" w:lineRule="auto"/>
        <w:ind w:firstLine="5"/>
        <w:rPr>
          <w:rFonts w:eastAsia="Times New Roman" w:cs="Times New Roman"/>
          <w:szCs w:val="24"/>
        </w:rPr>
      </w:pPr>
      <w:r>
        <w:rPr>
          <w:rFonts w:eastAsia="Times New Roman" w:cs="Times New Roman"/>
          <w:szCs w:val="24"/>
        </w:rPr>
        <w:t xml:space="preserve">To reduce assembly redundancy and quantify the trade-off between removing </w:t>
      </w:r>
      <w:proofErr w:type="spellStart"/>
      <w:r>
        <w:rPr>
          <w:rFonts w:eastAsia="Times New Roman" w:cs="Times New Roman"/>
          <w:szCs w:val="24"/>
        </w:rPr>
        <w:t>haplotigs</w:t>
      </w:r>
      <w:proofErr w:type="spellEnd"/>
      <w:r>
        <w:rPr>
          <w:rFonts w:eastAsia="Times New Roman" w:cs="Times New Roman"/>
          <w:szCs w:val="24"/>
        </w:rPr>
        <w:t xml:space="preserve">/allelic duplicates and retaining genuine gene content, we applied </w:t>
      </w:r>
      <w:proofErr w:type="spellStart"/>
      <w:r>
        <w:rPr>
          <w:rFonts w:eastAsia="Times New Roman" w:cs="Times New Roman"/>
          <w:szCs w:val="24"/>
        </w:rPr>
        <w:t>purge_dups</w:t>
      </w:r>
      <w:proofErr w:type="spellEnd"/>
      <w:r>
        <w:rPr>
          <w:rFonts w:eastAsia="Times New Roman" w:cs="Times New Roman"/>
          <w:szCs w:val="24"/>
        </w:rPr>
        <w:t xml:space="preserve"> across a range of purge levels and assessed each output with BUSCO (Table 5) for </w:t>
      </w:r>
      <w:r>
        <w:rPr>
          <w:rFonts w:eastAsia="Times New Roman" w:cs="Times New Roman"/>
          <w:i/>
          <w:iCs/>
          <w:szCs w:val="24"/>
        </w:rPr>
        <w:t xml:space="preserve">H. </w:t>
      </w:r>
      <w:proofErr w:type="spellStart"/>
      <w:r>
        <w:rPr>
          <w:rFonts w:eastAsia="Times New Roman" w:cs="Times New Roman"/>
          <w:i/>
          <w:iCs/>
          <w:szCs w:val="24"/>
        </w:rPr>
        <w:t>moseleyanum</w:t>
      </w:r>
      <w:proofErr w:type="spellEnd"/>
      <w:r>
        <w:rPr>
          <w:rFonts w:eastAsia="Times New Roman" w:cs="Times New Roman"/>
          <w:szCs w:val="24"/>
        </w:rPr>
        <w:t xml:space="preserve">. As purge level increased, both assembly size and the proportion of duplicated BUSCOs declined, consistent with progressive removal of highly similar sequences. The unpurged assembly was 3.12 Gb </w:t>
      </w:r>
      <w:r>
        <w:rPr>
          <w:rFonts w:eastAsia="Times New Roman" w:cs="Times New Roman"/>
          <w:szCs w:val="24"/>
        </w:rPr>
        <w:lastRenderedPageBreak/>
        <w:t xml:space="preserve">and showed extremely high duplication (94.4% duplicated BUSCOs). With moderate purging, the assembly became substantially more compact while remaining highly complete; for example, at purge level 0.1, duplicated BUSCOs dropped to 18.2% and assembly size to 1.77 Gb, with completeness remaining high (98.1%). In contrast, the most aggressive purging (0.05) further reduced duplicated BUSCOs to 8.4% but also caused a marked loss of completeness (78.2%), indicating removal of authentic gene content alongside redundant sequences. </w:t>
      </w:r>
      <w:r w:rsidRPr="00DD0423">
        <w:rPr>
          <w:rFonts w:eastAsia="Times New Roman" w:cs="Times New Roman"/>
          <w:szCs w:val="24"/>
        </w:rPr>
        <w:t>Based on these results, the unpurged assembly was selected as the final genome for downstream analyses. The unpurged assembly retains the full duplicate complement, which is analytically necessary for duplication-mode classification and comparison of gene family evolution between species. Although this results in a larger assembly with high BUSCO duplication, the high overall completeness (98.9%) confirms that the gene space is comprehensively represented.</w:t>
      </w:r>
      <w:r w:rsidRPr="00DD0423">
        <w:rPr>
          <w:rFonts w:eastAsia="Times New Roman" w:cs="Times New Roman"/>
          <w:b/>
          <w:bCs/>
          <w:color w:val="C00000"/>
          <w:sz w:val="18"/>
          <w:szCs w:val="18"/>
        </w:rPr>
        <w:t xml:space="preserve"> </w:t>
      </w:r>
      <w:r>
        <w:rPr>
          <w:rFonts w:eastAsia="Times New Roman" w:cs="Times New Roman"/>
          <w:szCs w:val="24"/>
        </w:rPr>
        <w:t>Overall, these results highlight a clear redundancy–completeness trade-off, with intermediate purge levels (0.1–0.2) providing the best compromise if a haploid-collapsed assembly were required.</w:t>
      </w:r>
    </w:p>
    <w:p w14:paraId="000000FD" w14:textId="6281AC15" w:rsidR="00E420E3" w:rsidRPr="00596875" w:rsidRDefault="008E5528" w:rsidP="00856741">
      <w:pPr>
        <w:spacing w:after="0"/>
        <w:rPr>
          <w:b/>
          <w:bCs/>
        </w:rPr>
      </w:pPr>
      <w:r w:rsidRPr="00596875">
        <w:rPr>
          <w:b/>
          <w:bCs/>
        </w:rPr>
        <w:t xml:space="preserve">Table 5. Changes in assembly size and duplicated BUSCO proportion across </w:t>
      </w:r>
      <w:r w:rsidR="00892ABF" w:rsidRPr="00596875">
        <w:rPr>
          <w:b/>
          <w:bCs/>
        </w:rPr>
        <w:t>purge levels</w:t>
      </w:r>
      <w:r w:rsidRPr="00596875">
        <w:rPr>
          <w:b/>
          <w:bCs/>
        </w:rPr>
        <w:t xml:space="preserve"> in </w:t>
      </w:r>
      <w:r w:rsidRPr="002053D0">
        <w:rPr>
          <w:b/>
          <w:bCs/>
          <w:i/>
          <w:iCs/>
        </w:rPr>
        <w:t xml:space="preserve">H. </w:t>
      </w:r>
      <w:proofErr w:type="spellStart"/>
      <w:r w:rsidRPr="002053D0">
        <w:rPr>
          <w:b/>
          <w:bCs/>
          <w:i/>
          <w:iCs/>
        </w:rPr>
        <w:t>moseleyanum</w:t>
      </w:r>
      <w:proofErr w:type="spellEnd"/>
      <w:r w:rsidRPr="00596875">
        <w:rPr>
          <w:b/>
          <w:bCs/>
        </w:rPr>
        <w:t xml:space="preserve">.  </w:t>
      </w:r>
    </w:p>
    <w:tbl>
      <w:tblPr>
        <w:tblW w:w="9072" w:type="dxa"/>
        <w:tblLook w:val="04A0" w:firstRow="1" w:lastRow="0" w:firstColumn="1" w:lastColumn="0" w:noHBand="0" w:noVBand="1"/>
      </w:tblPr>
      <w:tblGrid>
        <w:gridCol w:w="1418"/>
        <w:gridCol w:w="2126"/>
        <w:gridCol w:w="5528"/>
      </w:tblGrid>
      <w:tr w:rsidR="00997686" w:rsidRPr="00997686" w14:paraId="33341A38" w14:textId="77777777" w:rsidTr="00997686">
        <w:trPr>
          <w:trHeight w:val="630"/>
        </w:trPr>
        <w:tc>
          <w:tcPr>
            <w:tcW w:w="1418" w:type="dxa"/>
            <w:tcBorders>
              <w:top w:val="single" w:sz="8" w:space="0" w:color="666666"/>
              <w:left w:val="nil"/>
              <w:bottom w:val="single" w:sz="8" w:space="0" w:color="666666"/>
              <w:right w:val="nil"/>
            </w:tcBorders>
            <w:vAlign w:val="center"/>
            <w:hideMark/>
          </w:tcPr>
          <w:p w14:paraId="4279FD3F" w14:textId="77777777" w:rsidR="00997686" w:rsidRPr="00997686" w:rsidRDefault="00997686" w:rsidP="00997686">
            <w:pPr>
              <w:spacing w:after="0" w:line="240" w:lineRule="auto"/>
              <w:jc w:val="left"/>
              <w:rPr>
                <w:rFonts w:eastAsia="Times New Roman" w:cs="Times New Roman"/>
                <w:b/>
                <w:bCs/>
                <w:color w:val="000000"/>
                <w:szCs w:val="24"/>
              </w:rPr>
            </w:pPr>
            <w:r w:rsidRPr="00997686">
              <w:rPr>
                <w:rFonts w:eastAsia="Times New Roman" w:cs="Times New Roman"/>
                <w:b/>
                <w:bCs/>
                <w:color w:val="000000"/>
                <w:szCs w:val="24"/>
              </w:rPr>
              <w:t>Purge level</w:t>
            </w:r>
          </w:p>
        </w:tc>
        <w:tc>
          <w:tcPr>
            <w:tcW w:w="2126" w:type="dxa"/>
            <w:tcBorders>
              <w:top w:val="single" w:sz="8" w:space="0" w:color="666666"/>
              <w:left w:val="nil"/>
              <w:bottom w:val="single" w:sz="8" w:space="0" w:color="666666"/>
              <w:right w:val="nil"/>
            </w:tcBorders>
            <w:vAlign w:val="center"/>
            <w:hideMark/>
          </w:tcPr>
          <w:p w14:paraId="5CF52470" w14:textId="77777777" w:rsidR="00997686" w:rsidRPr="00997686" w:rsidRDefault="00997686" w:rsidP="00997686">
            <w:pPr>
              <w:spacing w:after="0" w:line="240" w:lineRule="auto"/>
              <w:jc w:val="left"/>
              <w:rPr>
                <w:rFonts w:eastAsia="Times New Roman" w:cs="Times New Roman"/>
                <w:b/>
                <w:bCs/>
                <w:color w:val="000000"/>
                <w:szCs w:val="24"/>
              </w:rPr>
            </w:pPr>
            <w:r w:rsidRPr="00997686">
              <w:rPr>
                <w:rFonts w:eastAsia="Times New Roman" w:cs="Times New Roman"/>
                <w:b/>
                <w:bCs/>
                <w:color w:val="000000"/>
                <w:szCs w:val="24"/>
              </w:rPr>
              <w:t>Genome size (bp)</w:t>
            </w:r>
          </w:p>
        </w:tc>
        <w:tc>
          <w:tcPr>
            <w:tcW w:w="5528" w:type="dxa"/>
            <w:tcBorders>
              <w:top w:val="single" w:sz="8" w:space="0" w:color="666666"/>
              <w:left w:val="nil"/>
              <w:bottom w:val="single" w:sz="8" w:space="0" w:color="666666"/>
              <w:right w:val="nil"/>
            </w:tcBorders>
            <w:vAlign w:val="center"/>
            <w:hideMark/>
          </w:tcPr>
          <w:p w14:paraId="4383D2A0" w14:textId="77777777" w:rsidR="00997686" w:rsidRPr="00997686" w:rsidRDefault="00997686" w:rsidP="00997686">
            <w:pPr>
              <w:spacing w:after="0" w:line="240" w:lineRule="auto"/>
              <w:jc w:val="left"/>
              <w:rPr>
                <w:rFonts w:eastAsia="Times New Roman" w:cs="Times New Roman"/>
                <w:b/>
                <w:bCs/>
                <w:color w:val="000000"/>
                <w:szCs w:val="24"/>
              </w:rPr>
            </w:pPr>
            <w:r w:rsidRPr="00997686">
              <w:rPr>
                <w:rFonts w:eastAsia="Times New Roman" w:cs="Times New Roman"/>
                <w:b/>
                <w:bCs/>
                <w:color w:val="000000"/>
                <w:szCs w:val="24"/>
              </w:rPr>
              <w:t>BUSCO summary</w:t>
            </w:r>
          </w:p>
        </w:tc>
      </w:tr>
      <w:tr w:rsidR="00997686" w:rsidRPr="00997686" w14:paraId="7CE7F5C5" w14:textId="77777777" w:rsidTr="00997686">
        <w:trPr>
          <w:trHeight w:val="645"/>
        </w:trPr>
        <w:tc>
          <w:tcPr>
            <w:tcW w:w="1418" w:type="dxa"/>
            <w:tcBorders>
              <w:top w:val="nil"/>
              <w:left w:val="nil"/>
              <w:bottom w:val="single" w:sz="8" w:space="0" w:color="666666"/>
              <w:right w:val="nil"/>
            </w:tcBorders>
            <w:shd w:val="clear" w:color="000000" w:fill="D9D9D9"/>
            <w:vAlign w:val="center"/>
            <w:hideMark/>
          </w:tcPr>
          <w:p w14:paraId="70DEA4DE" w14:textId="77777777" w:rsidR="00997686" w:rsidRPr="00997686" w:rsidRDefault="00997686" w:rsidP="00997686">
            <w:pPr>
              <w:spacing w:after="0" w:line="240" w:lineRule="auto"/>
              <w:jc w:val="left"/>
              <w:rPr>
                <w:rFonts w:eastAsia="Times New Roman" w:cs="Times New Roman"/>
                <w:color w:val="000000"/>
                <w:szCs w:val="24"/>
              </w:rPr>
            </w:pPr>
            <w:r w:rsidRPr="00997686">
              <w:rPr>
                <w:rFonts w:eastAsia="Times New Roman" w:cs="Times New Roman"/>
                <w:color w:val="000000"/>
                <w:szCs w:val="24"/>
              </w:rPr>
              <w:t>Original</w:t>
            </w:r>
          </w:p>
        </w:tc>
        <w:tc>
          <w:tcPr>
            <w:tcW w:w="2126" w:type="dxa"/>
            <w:tcBorders>
              <w:top w:val="nil"/>
              <w:left w:val="nil"/>
              <w:bottom w:val="single" w:sz="8" w:space="0" w:color="666666"/>
              <w:right w:val="nil"/>
            </w:tcBorders>
            <w:shd w:val="clear" w:color="000000" w:fill="D9D9D9"/>
            <w:vAlign w:val="center"/>
            <w:hideMark/>
          </w:tcPr>
          <w:p w14:paraId="2867C047" w14:textId="77777777" w:rsidR="00997686" w:rsidRPr="00997686" w:rsidRDefault="00997686" w:rsidP="00997686">
            <w:pPr>
              <w:spacing w:after="0" w:line="240" w:lineRule="auto"/>
              <w:jc w:val="right"/>
              <w:rPr>
                <w:rFonts w:eastAsia="Times New Roman" w:cs="Times New Roman"/>
                <w:color w:val="000000"/>
                <w:szCs w:val="24"/>
              </w:rPr>
            </w:pPr>
            <w:r w:rsidRPr="00997686">
              <w:rPr>
                <w:rFonts w:eastAsia="Times New Roman" w:cs="Times New Roman"/>
                <w:color w:val="000000"/>
                <w:szCs w:val="24"/>
              </w:rPr>
              <w:t>3,118,793,973</w:t>
            </w:r>
          </w:p>
        </w:tc>
        <w:tc>
          <w:tcPr>
            <w:tcW w:w="5528" w:type="dxa"/>
            <w:tcBorders>
              <w:top w:val="nil"/>
              <w:left w:val="nil"/>
              <w:bottom w:val="single" w:sz="8" w:space="0" w:color="666666"/>
              <w:right w:val="nil"/>
            </w:tcBorders>
            <w:shd w:val="clear" w:color="000000" w:fill="D9D9D9"/>
            <w:vAlign w:val="center"/>
            <w:hideMark/>
          </w:tcPr>
          <w:p w14:paraId="2F481F5D" w14:textId="77777777" w:rsidR="00997686" w:rsidRPr="00997686" w:rsidRDefault="00997686" w:rsidP="00997686">
            <w:pPr>
              <w:spacing w:after="0" w:line="240" w:lineRule="auto"/>
              <w:jc w:val="left"/>
              <w:rPr>
                <w:rFonts w:eastAsia="Times New Roman" w:cs="Times New Roman"/>
                <w:color w:val="000000"/>
                <w:szCs w:val="24"/>
              </w:rPr>
            </w:pPr>
            <w:r w:rsidRPr="00997686">
              <w:rPr>
                <w:rFonts w:eastAsia="Times New Roman" w:cs="Times New Roman"/>
                <w:color w:val="000000"/>
                <w:szCs w:val="24"/>
              </w:rPr>
              <w:t>C:98.9%[S:4.5</w:t>
            </w:r>
            <w:proofErr w:type="gramStart"/>
            <w:r w:rsidRPr="00997686">
              <w:rPr>
                <w:rFonts w:eastAsia="Times New Roman" w:cs="Times New Roman"/>
                <w:color w:val="000000"/>
                <w:szCs w:val="24"/>
              </w:rPr>
              <w:t>%,D</w:t>
            </w:r>
            <w:proofErr w:type="gramEnd"/>
            <w:r w:rsidRPr="00997686">
              <w:rPr>
                <w:rFonts w:eastAsia="Times New Roman" w:cs="Times New Roman"/>
                <w:color w:val="000000"/>
                <w:szCs w:val="24"/>
              </w:rPr>
              <w:t>:94.4%</w:t>
            </w:r>
            <w:proofErr w:type="gramStart"/>
            <w:r w:rsidRPr="00997686">
              <w:rPr>
                <w:rFonts w:eastAsia="Times New Roman" w:cs="Times New Roman"/>
                <w:color w:val="000000"/>
                <w:szCs w:val="24"/>
              </w:rPr>
              <w:t>],F</w:t>
            </w:r>
            <w:proofErr w:type="gramEnd"/>
            <w:r w:rsidRPr="00997686">
              <w:rPr>
                <w:rFonts w:eastAsia="Times New Roman" w:cs="Times New Roman"/>
                <w:color w:val="000000"/>
                <w:szCs w:val="24"/>
              </w:rPr>
              <w:t>:0.5</w:t>
            </w:r>
            <w:proofErr w:type="gramStart"/>
            <w:r w:rsidRPr="00997686">
              <w:rPr>
                <w:rFonts w:eastAsia="Times New Roman" w:cs="Times New Roman"/>
                <w:color w:val="000000"/>
                <w:szCs w:val="24"/>
              </w:rPr>
              <w:t>%,M</w:t>
            </w:r>
            <w:proofErr w:type="gramEnd"/>
            <w:r w:rsidRPr="00997686">
              <w:rPr>
                <w:rFonts w:eastAsia="Times New Roman" w:cs="Times New Roman"/>
                <w:color w:val="000000"/>
                <w:szCs w:val="24"/>
              </w:rPr>
              <w:t>:0.6</w:t>
            </w:r>
            <w:proofErr w:type="gramStart"/>
            <w:r w:rsidRPr="00997686">
              <w:rPr>
                <w:rFonts w:eastAsia="Times New Roman" w:cs="Times New Roman"/>
                <w:color w:val="000000"/>
                <w:szCs w:val="24"/>
              </w:rPr>
              <w:t>%,n</w:t>
            </w:r>
            <w:proofErr w:type="gramEnd"/>
            <w:r w:rsidRPr="00997686">
              <w:rPr>
                <w:rFonts w:eastAsia="Times New Roman" w:cs="Times New Roman"/>
                <w:color w:val="000000"/>
                <w:szCs w:val="24"/>
              </w:rPr>
              <w:t>:1614</w:t>
            </w:r>
          </w:p>
        </w:tc>
      </w:tr>
      <w:tr w:rsidR="00997686" w:rsidRPr="00997686" w14:paraId="6380CFAB" w14:textId="77777777" w:rsidTr="00997686">
        <w:trPr>
          <w:trHeight w:val="645"/>
        </w:trPr>
        <w:tc>
          <w:tcPr>
            <w:tcW w:w="1418" w:type="dxa"/>
            <w:tcBorders>
              <w:top w:val="nil"/>
              <w:left w:val="nil"/>
              <w:bottom w:val="single" w:sz="8" w:space="0" w:color="666666"/>
              <w:right w:val="nil"/>
            </w:tcBorders>
            <w:vAlign w:val="center"/>
            <w:hideMark/>
          </w:tcPr>
          <w:p w14:paraId="69CC6F3D" w14:textId="77777777" w:rsidR="00997686" w:rsidRPr="00997686" w:rsidRDefault="00997686" w:rsidP="00997686">
            <w:pPr>
              <w:spacing w:after="0" w:line="240" w:lineRule="auto"/>
              <w:jc w:val="left"/>
              <w:rPr>
                <w:rFonts w:eastAsia="Times New Roman" w:cs="Times New Roman"/>
                <w:color w:val="000000"/>
                <w:szCs w:val="24"/>
              </w:rPr>
            </w:pPr>
            <w:r w:rsidRPr="00997686">
              <w:rPr>
                <w:rFonts w:eastAsia="Times New Roman" w:cs="Times New Roman"/>
                <w:color w:val="000000"/>
                <w:szCs w:val="24"/>
              </w:rPr>
              <w:t>0.3</w:t>
            </w:r>
          </w:p>
        </w:tc>
        <w:tc>
          <w:tcPr>
            <w:tcW w:w="2126" w:type="dxa"/>
            <w:tcBorders>
              <w:top w:val="nil"/>
              <w:left w:val="nil"/>
              <w:bottom w:val="single" w:sz="8" w:space="0" w:color="666666"/>
              <w:right w:val="nil"/>
            </w:tcBorders>
            <w:vAlign w:val="center"/>
            <w:hideMark/>
          </w:tcPr>
          <w:p w14:paraId="62D46DEB" w14:textId="77777777" w:rsidR="00997686" w:rsidRPr="00997686" w:rsidRDefault="00997686" w:rsidP="00997686">
            <w:pPr>
              <w:spacing w:after="0" w:line="240" w:lineRule="auto"/>
              <w:jc w:val="right"/>
              <w:rPr>
                <w:rFonts w:eastAsia="Times New Roman" w:cs="Times New Roman"/>
                <w:color w:val="000000"/>
                <w:szCs w:val="24"/>
              </w:rPr>
            </w:pPr>
            <w:r w:rsidRPr="00997686">
              <w:rPr>
                <w:rFonts w:eastAsia="Times New Roman" w:cs="Times New Roman"/>
                <w:color w:val="000000"/>
                <w:szCs w:val="24"/>
              </w:rPr>
              <w:t>3,046,647,621</w:t>
            </w:r>
          </w:p>
        </w:tc>
        <w:tc>
          <w:tcPr>
            <w:tcW w:w="5528" w:type="dxa"/>
            <w:tcBorders>
              <w:top w:val="nil"/>
              <w:left w:val="nil"/>
              <w:bottom w:val="single" w:sz="8" w:space="0" w:color="666666"/>
              <w:right w:val="nil"/>
            </w:tcBorders>
            <w:vAlign w:val="center"/>
            <w:hideMark/>
          </w:tcPr>
          <w:p w14:paraId="0A89CCC1" w14:textId="77777777" w:rsidR="00997686" w:rsidRPr="00997686" w:rsidRDefault="00997686" w:rsidP="00997686">
            <w:pPr>
              <w:spacing w:after="0" w:line="240" w:lineRule="auto"/>
              <w:jc w:val="left"/>
              <w:rPr>
                <w:rFonts w:eastAsia="Times New Roman" w:cs="Times New Roman"/>
                <w:color w:val="000000"/>
                <w:szCs w:val="24"/>
              </w:rPr>
            </w:pPr>
            <w:r w:rsidRPr="00997686">
              <w:rPr>
                <w:rFonts w:eastAsia="Times New Roman" w:cs="Times New Roman"/>
                <w:color w:val="000000"/>
                <w:szCs w:val="24"/>
              </w:rPr>
              <w:t>C:98.4%[S:23.3</w:t>
            </w:r>
            <w:proofErr w:type="gramStart"/>
            <w:r w:rsidRPr="00997686">
              <w:rPr>
                <w:rFonts w:eastAsia="Times New Roman" w:cs="Times New Roman"/>
                <w:color w:val="000000"/>
                <w:szCs w:val="24"/>
              </w:rPr>
              <w:t>%,D</w:t>
            </w:r>
            <w:proofErr w:type="gramEnd"/>
            <w:r w:rsidRPr="00997686">
              <w:rPr>
                <w:rFonts w:eastAsia="Times New Roman" w:cs="Times New Roman"/>
                <w:color w:val="000000"/>
                <w:szCs w:val="24"/>
              </w:rPr>
              <w:t>:75.1%</w:t>
            </w:r>
            <w:proofErr w:type="gramStart"/>
            <w:r w:rsidRPr="00997686">
              <w:rPr>
                <w:rFonts w:eastAsia="Times New Roman" w:cs="Times New Roman"/>
                <w:color w:val="000000"/>
                <w:szCs w:val="24"/>
              </w:rPr>
              <w:t>],F</w:t>
            </w:r>
            <w:proofErr w:type="gramEnd"/>
            <w:r w:rsidRPr="00997686">
              <w:rPr>
                <w:rFonts w:eastAsia="Times New Roman" w:cs="Times New Roman"/>
                <w:color w:val="000000"/>
                <w:szCs w:val="24"/>
              </w:rPr>
              <w:t>:0.6</w:t>
            </w:r>
            <w:proofErr w:type="gramStart"/>
            <w:r w:rsidRPr="00997686">
              <w:rPr>
                <w:rFonts w:eastAsia="Times New Roman" w:cs="Times New Roman"/>
                <w:color w:val="000000"/>
                <w:szCs w:val="24"/>
              </w:rPr>
              <w:t>%,M</w:t>
            </w:r>
            <w:proofErr w:type="gramEnd"/>
            <w:r w:rsidRPr="00997686">
              <w:rPr>
                <w:rFonts w:eastAsia="Times New Roman" w:cs="Times New Roman"/>
                <w:color w:val="000000"/>
                <w:szCs w:val="24"/>
              </w:rPr>
              <w:t>:1.0</w:t>
            </w:r>
            <w:proofErr w:type="gramStart"/>
            <w:r w:rsidRPr="00997686">
              <w:rPr>
                <w:rFonts w:eastAsia="Times New Roman" w:cs="Times New Roman"/>
                <w:color w:val="000000"/>
                <w:szCs w:val="24"/>
              </w:rPr>
              <w:t>%,n</w:t>
            </w:r>
            <w:proofErr w:type="gramEnd"/>
            <w:r w:rsidRPr="00997686">
              <w:rPr>
                <w:rFonts w:eastAsia="Times New Roman" w:cs="Times New Roman"/>
                <w:color w:val="000000"/>
                <w:szCs w:val="24"/>
              </w:rPr>
              <w:t>:1614</w:t>
            </w:r>
          </w:p>
        </w:tc>
      </w:tr>
      <w:tr w:rsidR="00997686" w:rsidRPr="00997686" w14:paraId="7EA8ACDD" w14:textId="77777777" w:rsidTr="00997686">
        <w:trPr>
          <w:trHeight w:val="690"/>
        </w:trPr>
        <w:tc>
          <w:tcPr>
            <w:tcW w:w="1418" w:type="dxa"/>
            <w:tcBorders>
              <w:top w:val="nil"/>
              <w:left w:val="nil"/>
              <w:bottom w:val="single" w:sz="8" w:space="0" w:color="666666"/>
              <w:right w:val="nil"/>
            </w:tcBorders>
            <w:shd w:val="clear" w:color="000000" w:fill="D9D9D9"/>
            <w:vAlign w:val="center"/>
            <w:hideMark/>
          </w:tcPr>
          <w:p w14:paraId="5FABBEDE" w14:textId="77777777" w:rsidR="00997686" w:rsidRPr="00997686" w:rsidRDefault="00997686" w:rsidP="00997686">
            <w:pPr>
              <w:spacing w:after="0" w:line="240" w:lineRule="auto"/>
              <w:jc w:val="left"/>
              <w:rPr>
                <w:rFonts w:eastAsia="Times New Roman" w:cs="Times New Roman"/>
                <w:color w:val="000000"/>
                <w:szCs w:val="24"/>
              </w:rPr>
            </w:pPr>
            <w:r w:rsidRPr="00997686">
              <w:rPr>
                <w:rFonts w:eastAsia="Times New Roman" w:cs="Times New Roman"/>
                <w:color w:val="000000"/>
                <w:szCs w:val="24"/>
              </w:rPr>
              <w:t>0.2</w:t>
            </w:r>
          </w:p>
        </w:tc>
        <w:tc>
          <w:tcPr>
            <w:tcW w:w="2126" w:type="dxa"/>
            <w:tcBorders>
              <w:top w:val="nil"/>
              <w:left w:val="nil"/>
              <w:bottom w:val="single" w:sz="8" w:space="0" w:color="666666"/>
              <w:right w:val="nil"/>
            </w:tcBorders>
            <w:shd w:val="clear" w:color="000000" w:fill="D9D9D9"/>
            <w:vAlign w:val="center"/>
            <w:hideMark/>
          </w:tcPr>
          <w:p w14:paraId="5AC62C21" w14:textId="77777777" w:rsidR="00997686" w:rsidRPr="00997686" w:rsidRDefault="00997686" w:rsidP="00997686">
            <w:pPr>
              <w:spacing w:after="0" w:line="240" w:lineRule="auto"/>
              <w:jc w:val="right"/>
              <w:rPr>
                <w:rFonts w:eastAsia="Times New Roman" w:cs="Times New Roman"/>
                <w:color w:val="000000"/>
                <w:szCs w:val="24"/>
              </w:rPr>
            </w:pPr>
            <w:r w:rsidRPr="00997686">
              <w:rPr>
                <w:rFonts w:eastAsia="Times New Roman" w:cs="Times New Roman"/>
                <w:color w:val="000000"/>
                <w:szCs w:val="24"/>
              </w:rPr>
              <w:t>2,858,777,548</w:t>
            </w:r>
          </w:p>
        </w:tc>
        <w:tc>
          <w:tcPr>
            <w:tcW w:w="5528" w:type="dxa"/>
            <w:tcBorders>
              <w:top w:val="nil"/>
              <w:left w:val="nil"/>
              <w:bottom w:val="single" w:sz="8" w:space="0" w:color="666666"/>
              <w:right w:val="nil"/>
            </w:tcBorders>
            <w:shd w:val="clear" w:color="000000" w:fill="D9D9D9"/>
            <w:vAlign w:val="center"/>
            <w:hideMark/>
          </w:tcPr>
          <w:p w14:paraId="7F97D3E3" w14:textId="77777777" w:rsidR="00997686" w:rsidRPr="00997686" w:rsidRDefault="00997686" w:rsidP="00997686">
            <w:pPr>
              <w:spacing w:after="0" w:line="240" w:lineRule="auto"/>
              <w:jc w:val="left"/>
              <w:rPr>
                <w:rFonts w:eastAsia="Times New Roman" w:cs="Times New Roman"/>
                <w:color w:val="000000"/>
                <w:szCs w:val="24"/>
              </w:rPr>
            </w:pPr>
            <w:r w:rsidRPr="00997686">
              <w:rPr>
                <w:rFonts w:eastAsia="Times New Roman" w:cs="Times New Roman"/>
                <w:color w:val="000000"/>
                <w:szCs w:val="24"/>
              </w:rPr>
              <w:t>C:98.3%[S:45.0</w:t>
            </w:r>
            <w:proofErr w:type="gramStart"/>
            <w:r w:rsidRPr="00997686">
              <w:rPr>
                <w:rFonts w:eastAsia="Times New Roman" w:cs="Times New Roman"/>
                <w:color w:val="000000"/>
                <w:szCs w:val="24"/>
              </w:rPr>
              <w:t>%,D</w:t>
            </w:r>
            <w:proofErr w:type="gramEnd"/>
            <w:r w:rsidRPr="00997686">
              <w:rPr>
                <w:rFonts w:eastAsia="Times New Roman" w:cs="Times New Roman"/>
                <w:color w:val="000000"/>
                <w:szCs w:val="24"/>
              </w:rPr>
              <w:t>:53.3%</w:t>
            </w:r>
            <w:proofErr w:type="gramStart"/>
            <w:r w:rsidRPr="00997686">
              <w:rPr>
                <w:rFonts w:eastAsia="Times New Roman" w:cs="Times New Roman"/>
                <w:color w:val="000000"/>
                <w:szCs w:val="24"/>
              </w:rPr>
              <w:t>],F</w:t>
            </w:r>
            <w:proofErr w:type="gramEnd"/>
            <w:r w:rsidRPr="00997686">
              <w:rPr>
                <w:rFonts w:eastAsia="Times New Roman" w:cs="Times New Roman"/>
                <w:color w:val="000000"/>
                <w:szCs w:val="24"/>
              </w:rPr>
              <w:t>:0.6</w:t>
            </w:r>
            <w:proofErr w:type="gramStart"/>
            <w:r w:rsidRPr="00997686">
              <w:rPr>
                <w:rFonts w:eastAsia="Times New Roman" w:cs="Times New Roman"/>
                <w:color w:val="000000"/>
                <w:szCs w:val="24"/>
              </w:rPr>
              <w:t>%,M</w:t>
            </w:r>
            <w:proofErr w:type="gramEnd"/>
            <w:r w:rsidRPr="00997686">
              <w:rPr>
                <w:rFonts w:eastAsia="Times New Roman" w:cs="Times New Roman"/>
                <w:color w:val="000000"/>
                <w:szCs w:val="24"/>
              </w:rPr>
              <w:t>:1.1</w:t>
            </w:r>
            <w:proofErr w:type="gramStart"/>
            <w:r w:rsidRPr="00997686">
              <w:rPr>
                <w:rFonts w:eastAsia="Times New Roman" w:cs="Times New Roman"/>
                <w:color w:val="000000"/>
                <w:szCs w:val="24"/>
              </w:rPr>
              <w:t>%,n</w:t>
            </w:r>
            <w:proofErr w:type="gramEnd"/>
            <w:r w:rsidRPr="00997686">
              <w:rPr>
                <w:rFonts w:eastAsia="Times New Roman" w:cs="Times New Roman"/>
                <w:color w:val="000000"/>
                <w:szCs w:val="24"/>
              </w:rPr>
              <w:t>:1614</w:t>
            </w:r>
          </w:p>
        </w:tc>
      </w:tr>
      <w:tr w:rsidR="00997686" w:rsidRPr="00997686" w14:paraId="139A724E" w14:textId="77777777" w:rsidTr="00997686">
        <w:trPr>
          <w:trHeight w:val="645"/>
        </w:trPr>
        <w:tc>
          <w:tcPr>
            <w:tcW w:w="1418" w:type="dxa"/>
            <w:tcBorders>
              <w:top w:val="nil"/>
              <w:left w:val="nil"/>
              <w:bottom w:val="single" w:sz="8" w:space="0" w:color="666666"/>
              <w:right w:val="nil"/>
            </w:tcBorders>
            <w:vAlign w:val="center"/>
            <w:hideMark/>
          </w:tcPr>
          <w:p w14:paraId="27FC8ECD" w14:textId="77777777" w:rsidR="00997686" w:rsidRPr="00997686" w:rsidRDefault="00997686" w:rsidP="00997686">
            <w:pPr>
              <w:spacing w:after="0" w:line="240" w:lineRule="auto"/>
              <w:jc w:val="left"/>
              <w:rPr>
                <w:rFonts w:eastAsia="Times New Roman" w:cs="Times New Roman"/>
                <w:color w:val="000000"/>
                <w:szCs w:val="24"/>
              </w:rPr>
            </w:pPr>
            <w:r w:rsidRPr="00997686">
              <w:rPr>
                <w:rFonts w:eastAsia="Times New Roman" w:cs="Times New Roman"/>
                <w:color w:val="000000"/>
                <w:szCs w:val="24"/>
              </w:rPr>
              <w:t>0.1</w:t>
            </w:r>
          </w:p>
        </w:tc>
        <w:tc>
          <w:tcPr>
            <w:tcW w:w="2126" w:type="dxa"/>
            <w:tcBorders>
              <w:top w:val="nil"/>
              <w:left w:val="nil"/>
              <w:bottom w:val="single" w:sz="8" w:space="0" w:color="666666"/>
              <w:right w:val="nil"/>
            </w:tcBorders>
            <w:vAlign w:val="center"/>
            <w:hideMark/>
          </w:tcPr>
          <w:p w14:paraId="1EFF1356" w14:textId="77777777" w:rsidR="00997686" w:rsidRPr="00997686" w:rsidRDefault="00997686" w:rsidP="00997686">
            <w:pPr>
              <w:spacing w:after="0" w:line="240" w:lineRule="auto"/>
              <w:jc w:val="right"/>
              <w:rPr>
                <w:rFonts w:eastAsia="Times New Roman" w:cs="Times New Roman"/>
                <w:color w:val="000000"/>
                <w:szCs w:val="24"/>
              </w:rPr>
            </w:pPr>
            <w:r w:rsidRPr="00997686">
              <w:rPr>
                <w:rFonts w:eastAsia="Times New Roman" w:cs="Times New Roman"/>
                <w:color w:val="000000"/>
                <w:szCs w:val="24"/>
              </w:rPr>
              <w:t>1,770,470,185</w:t>
            </w:r>
          </w:p>
        </w:tc>
        <w:tc>
          <w:tcPr>
            <w:tcW w:w="5528" w:type="dxa"/>
            <w:tcBorders>
              <w:top w:val="nil"/>
              <w:left w:val="nil"/>
              <w:bottom w:val="single" w:sz="8" w:space="0" w:color="666666"/>
              <w:right w:val="nil"/>
            </w:tcBorders>
            <w:vAlign w:val="center"/>
            <w:hideMark/>
          </w:tcPr>
          <w:p w14:paraId="3A957AF2" w14:textId="77777777" w:rsidR="00997686" w:rsidRPr="00997686" w:rsidRDefault="00997686" w:rsidP="00997686">
            <w:pPr>
              <w:spacing w:after="0" w:line="240" w:lineRule="auto"/>
              <w:jc w:val="left"/>
              <w:rPr>
                <w:rFonts w:eastAsia="Times New Roman" w:cs="Times New Roman"/>
                <w:color w:val="000000"/>
                <w:szCs w:val="24"/>
              </w:rPr>
            </w:pPr>
            <w:r w:rsidRPr="00997686">
              <w:rPr>
                <w:rFonts w:eastAsia="Times New Roman" w:cs="Times New Roman"/>
                <w:color w:val="000000"/>
                <w:szCs w:val="24"/>
              </w:rPr>
              <w:t>C:98.1%[S:79.9</w:t>
            </w:r>
            <w:proofErr w:type="gramStart"/>
            <w:r w:rsidRPr="00997686">
              <w:rPr>
                <w:rFonts w:eastAsia="Times New Roman" w:cs="Times New Roman"/>
                <w:color w:val="000000"/>
                <w:szCs w:val="24"/>
              </w:rPr>
              <w:t>%,D</w:t>
            </w:r>
            <w:proofErr w:type="gramEnd"/>
            <w:r w:rsidRPr="00997686">
              <w:rPr>
                <w:rFonts w:eastAsia="Times New Roman" w:cs="Times New Roman"/>
                <w:color w:val="000000"/>
                <w:szCs w:val="24"/>
              </w:rPr>
              <w:t>:18.2%</w:t>
            </w:r>
            <w:proofErr w:type="gramStart"/>
            <w:r w:rsidRPr="00997686">
              <w:rPr>
                <w:rFonts w:eastAsia="Times New Roman" w:cs="Times New Roman"/>
                <w:color w:val="000000"/>
                <w:szCs w:val="24"/>
              </w:rPr>
              <w:t>],F</w:t>
            </w:r>
            <w:proofErr w:type="gramEnd"/>
            <w:r w:rsidRPr="00997686">
              <w:rPr>
                <w:rFonts w:eastAsia="Times New Roman" w:cs="Times New Roman"/>
                <w:color w:val="000000"/>
                <w:szCs w:val="24"/>
              </w:rPr>
              <w:t>:0.7</w:t>
            </w:r>
            <w:proofErr w:type="gramStart"/>
            <w:r w:rsidRPr="00997686">
              <w:rPr>
                <w:rFonts w:eastAsia="Times New Roman" w:cs="Times New Roman"/>
                <w:color w:val="000000"/>
                <w:szCs w:val="24"/>
              </w:rPr>
              <w:t>%,M</w:t>
            </w:r>
            <w:proofErr w:type="gramEnd"/>
            <w:r w:rsidRPr="00997686">
              <w:rPr>
                <w:rFonts w:eastAsia="Times New Roman" w:cs="Times New Roman"/>
                <w:color w:val="000000"/>
                <w:szCs w:val="24"/>
              </w:rPr>
              <w:t>:1.2</w:t>
            </w:r>
            <w:proofErr w:type="gramStart"/>
            <w:r w:rsidRPr="00997686">
              <w:rPr>
                <w:rFonts w:eastAsia="Times New Roman" w:cs="Times New Roman"/>
                <w:color w:val="000000"/>
                <w:szCs w:val="24"/>
              </w:rPr>
              <w:t>%,n</w:t>
            </w:r>
            <w:proofErr w:type="gramEnd"/>
            <w:r w:rsidRPr="00997686">
              <w:rPr>
                <w:rFonts w:eastAsia="Times New Roman" w:cs="Times New Roman"/>
                <w:color w:val="000000"/>
                <w:szCs w:val="24"/>
              </w:rPr>
              <w:t>:1614</w:t>
            </w:r>
          </w:p>
        </w:tc>
      </w:tr>
      <w:tr w:rsidR="00997686" w:rsidRPr="00997686" w14:paraId="165CCCD0" w14:textId="77777777" w:rsidTr="00997686">
        <w:trPr>
          <w:trHeight w:val="645"/>
        </w:trPr>
        <w:tc>
          <w:tcPr>
            <w:tcW w:w="1418" w:type="dxa"/>
            <w:tcBorders>
              <w:top w:val="nil"/>
              <w:left w:val="nil"/>
              <w:bottom w:val="single" w:sz="8" w:space="0" w:color="666666"/>
              <w:right w:val="nil"/>
            </w:tcBorders>
            <w:shd w:val="clear" w:color="000000" w:fill="D9D9D9"/>
            <w:vAlign w:val="center"/>
            <w:hideMark/>
          </w:tcPr>
          <w:p w14:paraId="271FCC64" w14:textId="77777777" w:rsidR="00997686" w:rsidRPr="00997686" w:rsidRDefault="00997686" w:rsidP="00997686">
            <w:pPr>
              <w:spacing w:after="0" w:line="240" w:lineRule="auto"/>
              <w:jc w:val="left"/>
              <w:rPr>
                <w:rFonts w:eastAsia="Times New Roman" w:cs="Times New Roman"/>
                <w:color w:val="000000"/>
                <w:szCs w:val="24"/>
              </w:rPr>
            </w:pPr>
            <w:r w:rsidRPr="00997686">
              <w:rPr>
                <w:rFonts w:eastAsia="Times New Roman" w:cs="Times New Roman"/>
                <w:color w:val="000000"/>
                <w:szCs w:val="24"/>
              </w:rPr>
              <w:t>0.05</w:t>
            </w:r>
          </w:p>
        </w:tc>
        <w:tc>
          <w:tcPr>
            <w:tcW w:w="2126" w:type="dxa"/>
            <w:tcBorders>
              <w:top w:val="nil"/>
              <w:left w:val="nil"/>
              <w:bottom w:val="single" w:sz="8" w:space="0" w:color="666666"/>
              <w:right w:val="nil"/>
            </w:tcBorders>
            <w:shd w:val="clear" w:color="000000" w:fill="D9D9D9"/>
            <w:vAlign w:val="center"/>
            <w:hideMark/>
          </w:tcPr>
          <w:p w14:paraId="09F0D8B2" w14:textId="77777777" w:rsidR="00997686" w:rsidRPr="00997686" w:rsidRDefault="00997686" w:rsidP="00997686">
            <w:pPr>
              <w:spacing w:after="0" w:line="240" w:lineRule="auto"/>
              <w:jc w:val="right"/>
              <w:rPr>
                <w:rFonts w:eastAsia="Times New Roman" w:cs="Times New Roman"/>
                <w:color w:val="000000"/>
                <w:szCs w:val="24"/>
              </w:rPr>
            </w:pPr>
            <w:r w:rsidRPr="00997686">
              <w:rPr>
                <w:rFonts w:eastAsia="Times New Roman" w:cs="Times New Roman"/>
                <w:color w:val="000000"/>
                <w:szCs w:val="24"/>
              </w:rPr>
              <w:t>1,349,967,591</w:t>
            </w:r>
          </w:p>
        </w:tc>
        <w:tc>
          <w:tcPr>
            <w:tcW w:w="5528" w:type="dxa"/>
            <w:tcBorders>
              <w:top w:val="nil"/>
              <w:left w:val="nil"/>
              <w:bottom w:val="single" w:sz="8" w:space="0" w:color="666666"/>
              <w:right w:val="nil"/>
            </w:tcBorders>
            <w:shd w:val="clear" w:color="000000" w:fill="D9D9D9"/>
            <w:vAlign w:val="center"/>
            <w:hideMark/>
          </w:tcPr>
          <w:p w14:paraId="77B5D943" w14:textId="77777777" w:rsidR="00997686" w:rsidRPr="00997686" w:rsidRDefault="00997686" w:rsidP="00997686">
            <w:pPr>
              <w:spacing w:after="0" w:line="240" w:lineRule="auto"/>
              <w:jc w:val="left"/>
              <w:rPr>
                <w:rFonts w:eastAsia="Times New Roman" w:cs="Times New Roman"/>
                <w:color w:val="000000"/>
                <w:szCs w:val="24"/>
              </w:rPr>
            </w:pPr>
            <w:r w:rsidRPr="00997686">
              <w:rPr>
                <w:rFonts w:eastAsia="Times New Roman" w:cs="Times New Roman"/>
                <w:color w:val="000000"/>
                <w:szCs w:val="24"/>
              </w:rPr>
              <w:t>C:78.2%[S:69.8</w:t>
            </w:r>
            <w:proofErr w:type="gramStart"/>
            <w:r w:rsidRPr="00997686">
              <w:rPr>
                <w:rFonts w:eastAsia="Times New Roman" w:cs="Times New Roman"/>
                <w:color w:val="000000"/>
                <w:szCs w:val="24"/>
              </w:rPr>
              <w:t>%,D</w:t>
            </w:r>
            <w:proofErr w:type="gramEnd"/>
            <w:r w:rsidRPr="00997686">
              <w:rPr>
                <w:rFonts w:eastAsia="Times New Roman" w:cs="Times New Roman"/>
                <w:color w:val="000000"/>
                <w:szCs w:val="24"/>
              </w:rPr>
              <w:t>:8.4%</w:t>
            </w:r>
            <w:proofErr w:type="gramStart"/>
            <w:r w:rsidRPr="00997686">
              <w:rPr>
                <w:rFonts w:eastAsia="Times New Roman" w:cs="Times New Roman"/>
                <w:color w:val="000000"/>
                <w:szCs w:val="24"/>
              </w:rPr>
              <w:t>],F</w:t>
            </w:r>
            <w:proofErr w:type="gramEnd"/>
            <w:r w:rsidRPr="00997686">
              <w:rPr>
                <w:rFonts w:eastAsia="Times New Roman" w:cs="Times New Roman"/>
                <w:color w:val="000000"/>
                <w:szCs w:val="24"/>
              </w:rPr>
              <w:t>:2.9</w:t>
            </w:r>
            <w:proofErr w:type="gramStart"/>
            <w:r w:rsidRPr="00997686">
              <w:rPr>
                <w:rFonts w:eastAsia="Times New Roman" w:cs="Times New Roman"/>
                <w:color w:val="000000"/>
                <w:szCs w:val="24"/>
              </w:rPr>
              <w:t>%,M</w:t>
            </w:r>
            <w:proofErr w:type="gramEnd"/>
            <w:r w:rsidRPr="00997686">
              <w:rPr>
                <w:rFonts w:eastAsia="Times New Roman" w:cs="Times New Roman"/>
                <w:color w:val="000000"/>
                <w:szCs w:val="24"/>
              </w:rPr>
              <w:t>:18.9</w:t>
            </w:r>
            <w:proofErr w:type="gramStart"/>
            <w:r w:rsidRPr="00997686">
              <w:rPr>
                <w:rFonts w:eastAsia="Times New Roman" w:cs="Times New Roman"/>
                <w:color w:val="000000"/>
                <w:szCs w:val="24"/>
              </w:rPr>
              <w:t>%,n</w:t>
            </w:r>
            <w:proofErr w:type="gramEnd"/>
            <w:r w:rsidRPr="00997686">
              <w:rPr>
                <w:rFonts w:eastAsia="Times New Roman" w:cs="Times New Roman"/>
                <w:color w:val="000000"/>
                <w:szCs w:val="24"/>
              </w:rPr>
              <w:t>:1614</w:t>
            </w:r>
          </w:p>
        </w:tc>
      </w:tr>
    </w:tbl>
    <w:p w14:paraId="0DAD8C2D" w14:textId="77777777" w:rsidR="00395122" w:rsidRDefault="00395122" w:rsidP="00596875"/>
    <w:p w14:paraId="00000103" w14:textId="034C0D7A" w:rsidR="00E420E3" w:rsidRDefault="008E5528" w:rsidP="00596875">
      <w:r>
        <w:t xml:space="preserve">Purge level indicates the stringency of </w:t>
      </w:r>
      <w:proofErr w:type="spellStart"/>
      <w:r>
        <w:t>haplotig</w:t>
      </w:r>
      <w:proofErr w:type="spellEnd"/>
      <w:r>
        <w:t xml:space="preserve">/duplicate removal during genome purging, </w:t>
      </w:r>
      <w:r w:rsidR="00892ABF">
        <w:t>with lower</w:t>
      </w:r>
      <w:r>
        <w:t xml:space="preserve"> values representing more aggressive removal of duplicated sequences. </w:t>
      </w:r>
      <w:r w:rsidR="00892ABF">
        <w:t>BUSCO summary</w:t>
      </w:r>
      <w:r>
        <w:t xml:space="preserve">: </w:t>
      </w:r>
      <w:r>
        <w:rPr>
          <w:i/>
          <w:iCs/>
        </w:rPr>
        <w:t xml:space="preserve">C </w:t>
      </w:r>
      <w:r>
        <w:t xml:space="preserve">= complete BUSCOs, </w:t>
      </w:r>
      <w:r>
        <w:rPr>
          <w:i/>
          <w:iCs/>
        </w:rPr>
        <w:t xml:space="preserve">S </w:t>
      </w:r>
      <w:r>
        <w:t xml:space="preserve">= single-copy, </w:t>
      </w:r>
      <w:r>
        <w:rPr>
          <w:i/>
          <w:iCs/>
        </w:rPr>
        <w:t xml:space="preserve">D = </w:t>
      </w:r>
      <w:r>
        <w:t xml:space="preserve">duplicated), </w:t>
      </w:r>
      <w:r>
        <w:rPr>
          <w:i/>
          <w:iCs/>
        </w:rPr>
        <w:t xml:space="preserve">F </w:t>
      </w:r>
      <w:r>
        <w:t xml:space="preserve">= fragmented, </w:t>
      </w:r>
      <w:r>
        <w:rPr>
          <w:i/>
          <w:iCs/>
        </w:rPr>
        <w:t xml:space="preserve">M </w:t>
      </w:r>
      <w:r w:rsidR="00892ABF">
        <w:t>= missing</w:t>
      </w:r>
      <w:r>
        <w:t xml:space="preserve">, and </w:t>
      </w:r>
      <w:r>
        <w:rPr>
          <w:i/>
          <w:iCs/>
        </w:rPr>
        <w:t xml:space="preserve">n </w:t>
      </w:r>
      <w:r>
        <w:t xml:space="preserve">= total BUSCOs assessed. </w:t>
      </w:r>
    </w:p>
    <w:p w14:paraId="00000104" w14:textId="28A75AA8" w:rsidR="00E420E3" w:rsidRDefault="008E5528" w:rsidP="00F77B89">
      <w:pPr>
        <w:pStyle w:val="Heading4"/>
      </w:pPr>
      <w:bookmarkStart w:id="33" w:name="_Toc235392979"/>
      <w:r>
        <w:lastRenderedPageBreak/>
        <w:t>2.4.5 Gene Prediction Results Using Helixer</w:t>
      </w:r>
      <w:bookmarkEnd w:id="33"/>
      <w:r>
        <w:t xml:space="preserve"> </w:t>
      </w:r>
    </w:p>
    <w:p w14:paraId="00000105" w14:textId="71C55578" w:rsidR="00E420E3" w:rsidRDefault="008E5528" w:rsidP="00202CD4">
      <w:r>
        <w:t xml:space="preserve">The Helixer </w:t>
      </w:r>
      <w:r w:rsidRPr="00202CD4">
        <w:t xml:space="preserve">gene prediction </w:t>
      </w:r>
      <w:r>
        <w:t xml:space="preserve">of </w:t>
      </w:r>
      <w:r w:rsidRPr="00202CD4">
        <w:rPr>
          <w:i/>
          <w:iCs/>
        </w:rPr>
        <w:t xml:space="preserve">H. </w:t>
      </w:r>
      <w:proofErr w:type="spellStart"/>
      <w:r w:rsidRPr="00202CD4">
        <w:rPr>
          <w:i/>
          <w:iCs/>
        </w:rPr>
        <w:t>moselyanum</w:t>
      </w:r>
      <w:proofErr w:type="spellEnd"/>
      <w:r>
        <w:t xml:space="preserve"> genome resulted in a comprehensive set of </w:t>
      </w:r>
      <w:r w:rsidR="00892ABF">
        <w:t>gene models</w:t>
      </w:r>
      <w:r>
        <w:t xml:space="preserve"> with a total of 68,996 genes predicted. The average gene length was estimated to </w:t>
      </w:r>
      <w:r w:rsidR="00892ABF">
        <w:t>be 4,021</w:t>
      </w:r>
      <w:r>
        <w:t xml:space="preserve"> base pairs (bp), while the average number of exons per transcript was approximately 6.  </w:t>
      </w:r>
      <w:r w:rsidRPr="00202CD4">
        <w:t>Gene prediction</w:t>
      </w:r>
      <w:r w:rsidRPr="00202CD4">
        <w:rPr>
          <w:b/>
          <w:bCs/>
          <w:sz w:val="18"/>
          <w:szCs w:val="18"/>
        </w:rPr>
        <w:t xml:space="preserve"> </w:t>
      </w:r>
      <w:r>
        <w:t xml:space="preserve">of the </w:t>
      </w:r>
      <w:r w:rsidRPr="00202CD4">
        <w:rPr>
          <w:i/>
          <w:iCs/>
        </w:rPr>
        <w:t xml:space="preserve">M. </w:t>
      </w:r>
      <w:proofErr w:type="spellStart"/>
      <w:r w:rsidRPr="00202CD4">
        <w:rPr>
          <w:i/>
          <w:iCs/>
        </w:rPr>
        <w:t>beccarii</w:t>
      </w:r>
      <w:proofErr w:type="spellEnd"/>
      <w:r>
        <w:t xml:space="preserve"> genome identified a total of 38,722 protein-coding genes. </w:t>
      </w:r>
      <w:r w:rsidR="00892ABF">
        <w:t>The average</w:t>
      </w:r>
      <w:r>
        <w:t xml:space="preserve"> gene length was estimated to be 3,840 bp. Additionally, transcripts had an average o</w:t>
      </w:r>
      <w:r w:rsidR="00892ABF">
        <w:t>of 5.95</w:t>
      </w:r>
      <w:r>
        <w:t xml:space="preserve">exons per transcript, suggesting a moderate level of transcript complexity in this genome. </w:t>
      </w:r>
    </w:p>
    <w:p w14:paraId="00000106" w14:textId="77777777" w:rsidR="00E420E3" w:rsidRDefault="008E5528" w:rsidP="00202CD4">
      <w:pPr>
        <w:pStyle w:val="Heading4"/>
      </w:pPr>
      <w:bookmarkStart w:id="34" w:name="_Toc235392980"/>
      <w:r>
        <w:t xml:space="preserve">2.4.6 Duplication types in </w:t>
      </w:r>
      <w:proofErr w:type="spellStart"/>
      <w:r>
        <w:t>Hydnophytum</w:t>
      </w:r>
      <w:proofErr w:type="spellEnd"/>
      <w:r>
        <w:t xml:space="preserve"> </w:t>
      </w:r>
      <w:proofErr w:type="spellStart"/>
      <w:r>
        <w:t>moseleyanum</w:t>
      </w:r>
      <w:proofErr w:type="spellEnd"/>
      <w:r>
        <w:t xml:space="preserve"> and </w:t>
      </w:r>
      <w:proofErr w:type="spellStart"/>
      <w:r>
        <w:t>Myrmecodia</w:t>
      </w:r>
      <w:proofErr w:type="spellEnd"/>
      <w:r>
        <w:t xml:space="preserve"> </w:t>
      </w:r>
      <w:proofErr w:type="spellStart"/>
      <w:r>
        <w:t>beccarii</w:t>
      </w:r>
      <w:bookmarkEnd w:id="34"/>
      <w:proofErr w:type="spellEnd"/>
      <w:r>
        <w:t xml:space="preserve"> </w:t>
      </w:r>
    </w:p>
    <w:p w14:paraId="60488F20" w14:textId="45EA4305" w:rsidR="00741E74" w:rsidRDefault="008E5528" w:rsidP="00415F0A">
      <w:r>
        <w:t xml:space="preserve">To characterise the evolutionary processes contributing to gene copy-number variation, </w:t>
      </w:r>
      <w:r w:rsidR="00892ABF">
        <w:t>we classified</w:t>
      </w:r>
      <w:r>
        <w:t xml:space="preserve"> duplicated genes by duplication mode using </w:t>
      </w:r>
      <w:proofErr w:type="spellStart"/>
      <w:r>
        <w:t>DupGen_finder</w:t>
      </w:r>
      <w:proofErr w:type="spellEnd"/>
      <w:r>
        <w:t xml:space="preserve">. In </w:t>
      </w:r>
      <w:r w:rsidRPr="00202CD4">
        <w:rPr>
          <w:i/>
          <w:iCs/>
        </w:rPr>
        <w:t xml:space="preserve">H. </w:t>
      </w:r>
      <w:proofErr w:type="spellStart"/>
      <w:r w:rsidR="00892ABF" w:rsidRPr="00202CD4">
        <w:rPr>
          <w:i/>
          <w:iCs/>
        </w:rPr>
        <w:t>moseleyanum</w:t>
      </w:r>
      <w:proofErr w:type="spellEnd"/>
      <w:r w:rsidR="00892ABF">
        <w:t>, (</w:t>
      </w:r>
      <w:r>
        <w:t xml:space="preserve">Table 6) duplicates were dominated by putative whole-genome/segmental </w:t>
      </w:r>
      <w:r w:rsidR="00892ABF">
        <w:t>duplications (</w:t>
      </w:r>
      <w:r>
        <w:t xml:space="preserve">WGD), which comprised 54,086 genes forming 64,657 duplicate pairs, indicating </w:t>
      </w:r>
      <w:r w:rsidR="00892ABF">
        <w:t>extensive retention</w:t>
      </w:r>
      <w:r>
        <w:t xml:space="preserve"> of duplicated content. </w:t>
      </w:r>
    </w:p>
    <w:p w14:paraId="1EE2AD83" w14:textId="0A066BA8" w:rsidR="00741E74" w:rsidRDefault="008E5528" w:rsidP="00415F0A">
      <w:r>
        <w:t xml:space="preserve">Dispersed duplications were also abundant (49,190 genes; 45,882 pairs), consistent with a major contribution of non-local duplications to the genome’s duplicate complement. Transposed duplications involved 5,950 genes (7,379 pairs), </w:t>
      </w:r>
      <w:r w:rsidR="00892ABF">
        <w:t>suggesting ongoing</w:t>
      </w:r>
      <w:r>
        <w:t xml:space="preserve"> duplication associated with gene relocation. In contrast, proximal and </w:t>
      </w:r>
      <w:r w:rsidR="00892ABF">
        <w:t>tandem duplications</w:t>
      </w:r>
      <w:r>
        <w:t xml:space="preserve"> were comparatively rare, comprising 2,223 genes (2,386 pairs) and 1,729 </w:t>
      </w:r>
      <w:r w:rsidR="00892ABF">
        <w:t>genes (</w:t>
      </w:r>
      <w:r>
        <w:t xml:space="preserve">2,161 pairs), respectively. </w:t>
      </w:r>
    </w:p>
    <w:p w14:paraId="00000109" w14:textId="09A15F17" w:rsidR="00E420E3" w:rsidRDefault="008E5528" w:rsidP="00856741">
      <w:pPr>
        <w:spacing w:after="0"/>
      </w:pPr>
      <w:r>
        <w:t xml:space="preserve">Overall, WGD and dispersed duplications represent </w:t>
      </w:r>
      <w:r w:rsidR="00892ABF">
        <w:t>the predominant</w:t>
      </w:r>
      <w:r>
        <w:t xml:space="preserve"> sources of duplicate genes in </w:t>
      </w:r>
      <w:r w:rsidRPr="00626DB7">
        <w:rPr>
          <w:i/>
          <w:iCs/>
        </w:rPr>
        <w:t xml:space="preserve">H. </w:t>
      </w:r>
      <w:proofErr w:type="spellStart"/>
      <w:r w:rsidRPr="00626DB7">
        <w:rPr>
          <w:i/>
          <w:iCs/>
        </w:rPr>
        <w:t>moseleyanum</w:t>
      </w:r>
      <w:proofErr w:type="spellEnd"/>
      <w:r>
        <w:t xml:space="preserve">. </w:t>
      </w:r>
      <w:r w:rsidRPr="00202CD4">
        <w:t>Within a focused set of nitrogen-uptake candidates, duplication-mode classification indicates that the ammonium transporter loci Hm_AMT1 and Hm_AMT2 fall within the WGD/segmental duplicate class. The duplication-mode algorithm grouped these two loci into this class based on their preservation across separate, multi-gene genomic blocks, distinguishing them from single-gene transposition events. Several high-affinity nitrate uptake candidates (Hm_NAR21–Hm_NAR23), annotated as NAR2/NRT3-like partner proteins required for NRT2-mediated transport and were also classified as WGD/segmental duplicates in our duplication-mode analysis.</w:t>
      </w:r>
    </w:p>
    <w:p w14:paraId="3D4994A9" w14:textId="77777777" w:rsidR="00856741" w:rsidRDefault="00856741" w:rsidP="00856741">
      <w:pPr>
        <w:spacing w:after="0"/>
      </w:pPr>
    </w:p>
    <w:p w14:paraId="48E0F329" w14:textId="77777777" w:rsidR="00856741" w:rsidRDefault="00856741" w:rsidP="00856741">
      <w:pPr>
        <w:spacing w:after="0"/>
      </w:pPr>
    </w:p>
    <w:p w14:paraId="7F17909F" w14:textId="77777777" w:rsidR="00856741" w:rsidRDefault="00856741" w:rsidP="00856741">
      <w:pPr>
        <w:spacing w:after="0"/>
        <w:rPr>
          <w:sz w:val="18"/>
          <w:szCs w:val="18"/>
        </w:rPr>
      </w:pPr>
    </w:p>
    <w:p w14:paraId="0000010B" w14:textId="77777777" w:rsidR="00E420E3" w:rsidRPr="00856741" w:rsidRDefault="008E5528" w:rsidP="00856741">
      <w:pPr>
        <w:spacing w:after="0"/>
        <w:rPr>
          <w:b/>
          <w:bCs/>
        </w:rPr>
      </w:pPr>
      <w:r w:rsidRPr="00856741">
        <w:rPr>
          <w:b/>
          <w:bCs/>
        </w:rPr>
        <w:lastRenderedPageBreak/>
        <w:t xml:space="preserve">Table 6. Number of genes and their duplication type in </w:t>
      </w:r>
      <w:r w:rsidRPr="002053D0">
        <w:rPr>
          <w:b/>
          <w:bCs/>
          <w:i/>
          <w:iCs/>
        </w:rPr>
        <w:t xml:space="preserve">H. </w:t>
      </w:r>
      <w:proofErr w:type="spellStart"/>
      <w:r w:rsidRPr="002053D0">
        <w:rPr>
          <w:b/>
          <w:bCs/>
          <w:i/>
          <w:iCs/>
        </w:rPr>
        <w:t>moseleyanum</w:t>
      </w:r>
      <w:proofErr w:type="spellEnd"/>
      <w:r w:rsidRPr="00856741">
        <w:rPr>
          <w:b/>
          <w:bCs/>
        </w:rPr>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661E3D" w:rsidRPr="00661E3D" w14:paraId="32A25DE3" w14:textId="77777777" w:rsidTr="00395122">
        <w:trPr>
          <w:trHeight w:val="431"/>
        </w:trPr>
        <w:tc>
          <w:tcPr>
            <w:tcW w:w="4514" w:type="dxa"/>
          </w:tcPr>
          <w:p w14:paraId="72C5AC84" w14:textId="77777777" w:rsidR="00661E3D" w:rsidRPr="00661E3D" w:rsidRDefault="00661E3D" w:rsidP="00661E3D">
            <w:pPr>
              <w:spacing w:after="0" w:line="240" w:lineRule="auto"/>
              <w:jc w:val="center"/>
              <w:rPr>
                <w:rFonts w:eastAsia="Times New Roman" w:cs="Times New Roman"/>
                <w:b/>
                <w:bCs/>
                <w:szCs w:val="24"/>
              </w:rPr>
            </w:pPr>
            <w:r w:rsidRPr="00661E3D">
              <w:rPr>
                <w:rFonts w:eastAsia="Times New Roman" w:cs="Times New Roman"/>
                <w:b/>
                <w:bCs/>
                <w:szCs w:val="24"/>
              </w:rPr>
              <w:t>Gene Count</w:t>
            </w:r>
          </w:p>
        </w:tc>
        <w:tc>
          <w:tcPr>
            <w:tcW w:w="4515" w:type="dxa"/>
          </w:tcPr>
          <w:p w14:paraId="24783552" w14:textId="77777777" w:rsidR="00661E3D" w:rsidRPr="00661E3D" w:rsidRDefault="00661E3D" w:rsidP="00661E3D">
            <w:pPr>
              <w:spacing w:after="0" w:line="276" w:lineRule="auto"/>
              <w:jc w:val="center"/>
              <w:rPr>
                <w:rFonts w:eastAsia="Times New Roman" w:cs="Times New Roman"/>
                <w:szCs w:val="24"/>
              </w:rPr>
            </w:pPr>
            <w:r w:rsidRPr="00661E3D">
              <w:rPr>
                <w:rFonts w:eastAsia="Times New Roman" w:cs="Times New Roman"/>
                <w:b/>
                <w:bCs/>
                <w:i/>
                <w:iCs/>
                <w:szCs w:val="24"/>
              </w:rPr>
              <w:t xml:space="preserve">H. </w:t>
            </w:r>
            <w:proofErr w:type="spellStart"/>
            <w:r w:rsidRPr="00661E3D">
              <w:rPr>
                <w:rFonts w:eastAsia="Times New Roman" w:cs="Times New Roman"/>
                <w:b/>
                <w:bCs/>
                <w:i/>
                <w:iCs/>
                <w:szCs w:val="24"/>
              </w:rPr>
              <w:t>moseleyanum</w:t>
            </w:r>
            <w:proofErr w:type="spellEnd"/>
            <w:r w:rsidRPr="00661E3D">
              <w:rPr>
                <w:rFonts w:eastAsia="Times New Roman" w:cs="Times New Roman"/>
                <w:b/>
                <w:bCs/>
                <w:i/>
                <w:iCs/>
                <w:szCs w:val="24"/>
              </w:rPr>
              <w:t xml:space="preserve"> </w:t>
            </w:r>
            <w:r w:rsidRPr="00661E3D">
              <w:rPr>
                <w:rFonts w:eastAsia="Times New Roman" w:cs="Times New Roman"/>
                <w:b/>
                <w:bCs/>
                <w:szCs w:val="24"/>
              </w:rPr>
              <w:t>Duplication type</w:t>
            </w:r>
          </w:p>
        </w:tc>
      </w:tr>
      <w:tr w:rsidR="00661E3D" w:rsidRPr="00661E3D" w14:paraId="05D5C880" w14:textId="77777777" w:rsidTr="00395122">
        <w:trPr>
          <w:trHeight w:val="431"/>
        </w:trPr>
        <w:tc>
          <w:tcPr>
            <w:tcW w:w="4514" w:type="dxa"/>
          </w:tcPr>
          <w:p w14:paraId="19F891CD"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49190</w:t>
            </w:r>
          </w:p>
        </w:tc>
        <w:tc>
          <w:tcPr>
            <w:tcW w:w="4515" w:type="dxa"/>
          </w:tcPr>
          <w:p w14:paraId="6FFE321F"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Dispersed genes</w:t>
            </w:r>
          </w:p>
        </w:tc>
      </w:tr>
      <w:tr w:rsidR="00661E3D" w:rsidRPr="00661E3D" w14:paraId="3A57F200" w14:textId="77777777" w:rsidTr="00395122">
        <w:trPr>
          <w:trHeight w:val="431"/>
        </w:trPr>
        <w:tc>
          <w:tcPr>
            <w:tcW w:w="4514" w:type="dxa"/>
          </w:tcPr>
          <w:p w14:paraId="75798614"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2223</w:t>
            </w:r>
          </w:p>
        </w:tc>
        <w:tc>
          <w:tcPr>
            <w:tcW w:w="4515" w:type="dxa"/>
          </w:tcPr>
          <w:p w14:paraId="52199437"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Proximal genes</w:t>
            </w:r>
          </w:p>
        </w:tc>
      </w:tr>
      <w:tr w:rsidR="00661E3D" w:rsidRPr="00661E3D" w14:paraId="73F352B8" w14:textId="77777777" w:rsidTr="00395122">
        <w:trPr>
          <w:trHeight w:val="431"/>
        </w:trPr>
        <w:tc>
          <w:tcPr>
            <w:tcW w:w="4514" w:type="dxa"/>
          </w:tcPr>
          <w:p w14:paraId="5AEBB2AE"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1729</w:t>
            </w:r>
          </w:p>
        </w:tc>
        <w:tc>
          <w:tcPr>
            <w:tcW w:w="4515" w:type="dxa"/>
          </w:tcPr>
          <w:p w14:paraId="1F329E65"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Tandem genes</w:t>
            </w:r>
          </w:p>
        </w:tc>
      </w:tr>
      <w:tr w:rsidR="00661E3D" w:rsidRPr="00661E3D" w14:paraId="1D1D2D59" w14:textId="77777777" w:rsidTr="00395122">
        <w:trPr>
          <w:trHeight w:val="431"/>
        </w:trPr>
        <w:tc>
          <w:tcPr>
            <w:tcW w:w="4514" w:type="dxa"/>
          </w:tcPr>
          <w:p w14:paraId="58B9485D"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5950</w:t>
            </w:r>
          </w:p>
        </w:tc>
        <w:tc>
          <w:tcPr>
            <w:tcW w:w="4515" w:type="dxa"/>
          </w:tcPr>
          <w:p w14:paraId="571A0ACD"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Transposed genes</w:t>
            </w:r>
          </w:p>
        </w:tc>
      </w:tr>
      <w:tr w:rsidR="00661E3D" w:rsidRPr="00661E3D" w14:paraId="63D49E4E" w14:textId="77777777" w:rsidTr="00395122">
        <w:trPr>
          <w:trHeight w:val="431"/>
        </w:trPr>
        <w:tc>
          <w:tcPr>
            <w:tcW w:w="4514" w:type="dxa"/>
          </w:tcPr>
          <w:p w14:paraId="03615EC4"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54086</w:t>
            </w:r>
          </w:p>
        </w:tc>
        <w:tc>
          <w:tcPr>
            <w:tcW w:w="4515" w:type="dxa"/>
          </w:tcPr>
          <w:p w14:paraId="497D37DB" w14:textId="77777777" w:rsidR="00661E3D" w:rsidRPr="00661E3D" w:rsidRDefault="00661E3D" w:rsidP="00661E3D">
            <w:pPr>
              <w:spacing w:after="0" w:line="240" w:lineRule="auto"/>
              <w:jc w:val="left"/>
              <w:rPr>
                <w:rFonts w:eastAsia="Times New Roman" w:cs="Times New Roman"/>
                <w:szCs w:val="24"/>
              </w:rPr>
            </w:pPr>
            <w:proofErr w:type="spellStart"/>
            <w:r w:rsidRPr="00661E3D">
              <w:rPr>
                <w:rFonts w:eastAsia="Times New Roman" w:cs="Times New Roman"/>
                <w:szCs w:val="24"/>
              </w:rPr>
              <w:t>Wgd</w:t>
            </w:r>
            <w:proofErr w:type="spellEnd"/>
            <w:r w:rsidRPr="00661E3D">
              <w:rPr>
                <w:rFonts w:eastAsia="Times New Roman" w:cs="Times New Roman"/>
                <w:szCs w:val="24"/>
              </w:rPr>
              <w:t xml:space="preserve"> genes</w:t>
            </w:r>
          </w:p>
        </w:tc>
      </w:tr>
      <w:tr w:rsidR="00661E3D" w:rsidRPr="00661E3D" w14:paraId="753455C4" w14:textId="77777777" w:rsidTr="00395122">
        <w:trPr>
          <w:trHeight w:val="431"/>
        </w:trPr>
        <w:tc>
          <w:tcPr>
            <w:tcW w:w="4514" w:type="dxa"/>
          </w:tcPr>
          <w:p w14:paraId="6EC9F6B1"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45882</w:t>
            </w:r>
          </w:p>
        </w:tc>
        <w:tc>
          <w:tcPr>
            <w:tcW w:w="4515" w:type="dxa"/>
          </w:tcPr>
          <w:p w14:paraId="5509D4C4"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Dispersed pairs</w:t>
            </w:r>
          </w:p>
        </w:tc>
      </w:tr>
      <w:tr w:rsidR="00661E3D" w:rsidRPr="00661E3D" w14:paraId="045367CF" w14:textId="77777777" w:rsidTr="00395122">
        <w:trPr>
          <w:trHeight w:val="431"/>
        </w:trPr>
        <w:tc>
          <w:tcPr>
            <w:tcW w:w="4514" w:type="dxa"/>
          </w:tcPr>
          <w:p w14:paraId="73CB35FD"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2386</w:t>
            </w:r>
          </w:p>
        </w:tc>
        <w:tc>
          <w:tcPr>
            <w:tcW w:w="4515" w:type="dxa"/>
          </w:tcPr>
          <w:p w14:paraId="55E3196E"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Proximal pairs</w:t>
            </w:r>
          </w:p>
        </w:tc>
      </w:tr>
      <w:tr w:rsidR="00661E3D" w:rsidRPr="00661E3D" w14:paraId="3648F17F" w14:textId="77777777" w:rsidTr="00395122">
        <w:trPr>
          <w:trHeight w:val="431"/>
        </w:trPr>
        <w:tc>
          <w:tcPr>
            <w:tcW w:w="4514" w:type="dxa"/>
          </w:tcPr>
          <w:p w14:paraId="0EC21152"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2161</w:t>
            </w:r>
          </w:p>
        </w:tc>
        <w:tc>
          <w:tcPr>
            <w:tcW w:w="4515" w:type="dxa"/>
          </w:tcPr>
          <w:p w14:paraId="461F3534"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Tandem pairs</w:t>
            </w:r>
          </w:p>
        </w:tc>
      </w:tr>
      <w:tr w:rsidR="00661E3D" w:rsidRPr="00661E3D" w14:paraId="7C020015" w14:textId="77777777" w:rsidTr="00395122">
        <w:trPr>
          <w:trHeight w:val="431"/>
        </w:trPr>
        <w:tc>
          <w:tcPr>
            <w:tcW w:w="4514" w:type="dxa"/>
          </w:tcPr>
          <w:p w14:paraId="2765544E"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7379</w:t>
            </w:r>
          </w:p>
        </w:tc>
        <w:tc>
          <w:tcPr>
            <w:tcW w:w="4515" w:type="dxa"/>
          </w:tcPr>
          <w:p w14:paraId="755FEC87"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Transposed pairs</w:t>
            </w:r>
          </w:p>
        </w:tc>
      </w:tr>
      <w:tr w:rsidR="00661E3D" w:rsidRPr="00661E3D" w14:paraId="7BC38997" w14:textId="77777777" w:rsidTr="00395122">
        <w:trPr>
          <w:trHeight w:val="431"/>
        </w:trPr>
        <w:tc>
          <w:tcPr>
            <w:tcW w:w="4514" w:type="dxa"/>
          </w:tcPr>
          <w:p w14:paraId="73CA2E5F" w14:textId="77777777" w:rsidR="00661E3D" w:rsidRPr="00661E3D" w:rsidRDefault="00661E3D" w:rsidP="00661E3D">
            <w:pPr>
              <w:spacing w:after="0" w:line="240" w:lineRule="auto"/>
              <w:jc w:val="left"/>
              <w:rPr>
                <w:rFonts w:eastAsia="Times New Roman" w:cs="Times New Roman"/>
                <w:szCs w:val="24"/>
              </w:rPr>
            </w:pPr>
            <w:r w:rsidRPr="00661E3D">
              <w:rPr>
                <w:rFonts w:eastAsia="Times New Roman" w:cs="Times New Roman"/>
                <w:szCs w:val="24"/>
              </w:rPr>
              <w:t>64657</w:t>
            </w:r>
          </w:p>
        </w:tc>
        <w:tc>
          <w:tcPr>
            <w:tcW w:w="4515" w:type="dxa"/>
          </w:tcPr>
          <w:p w14:paraId="2E61DF62" w14:textId="77777777" w:rsidR="00661E3D" w:rsidRPr="00661E3D" w:rsidRDefault="00661E3D" w:rsidP="00661E3D">
            <w:pPr>
              <w:spacing w:after="0" w:line="240" w:lineRule="auto"/>
              <w:jc w:val="left"/>
              <w:rPr>
                <w:rFonts w:eastAsia="Times New Roman" w:cs="Times New Roman"/>
                <w:szCs w:val="24"/>
              </w:rPr>
            </w:pPr>
            <w:proofErr w:type="spellStart"/>
            <w:r w:rsidRPr="00661E3D">
              <w:rPr>
                <w:rFonts w:eastAsia="Times New Roman" w:cs="Times New Roman"/>
                <w:szCs w:val="24"/>
              </w:rPr>
              <w:t>Wgd</w:t>
            </w:r>
            <w:proofErr w:type="spellEnd"/>
            <w:r w:rsidRPr="00661E3D">
              <w:rPr>
                <w:rFonts w:eastAsia="Times New Roman" w:cs="Times New Roman"/>
                <w:szCs w:val="24"/>
              </w:rPr>
              <w:t xml:space="preserve"> pairs</w:t>
            </w:r>
          </w:p>
        </w:tc>
      </w:tr>
    </w:tbl>
    <w:p w14:paraId="136A2918" w14:textId="77777777" w:rsidR="00415F0A" w:rsidRDefault="00415F0A" w:rsidP="00204CA7"/>
    <w:p w14:paraId="00000124" w14:textId="172C491A" w:rsidR="00E420E3" w:rsidRDefault="008E5528" w:rsidP="00204CA7">
      <w:r>
        <w:t xml:space="preserve">In </w:t>
      </w:r>
      <w:r>
        <w:rPr>
          <w:i/>
          <w:iCs/>
        </w:rPr>
        <w:t xml:space="preserve">M. </w:t>
      </w:r>
      <w:proofErr w:type="spellStart"/>
      <w:r>
        <w:rPr>
          <w:i/>
          <w:iCs/>
        </w:rPr>
        <w:t>beccarii</w:t>
      </w:r>
      <w:proofErr w:type="spellEnd"/>
      <w:r>
        <w:t xml:space="preserve">, duplicated genes were distributed across multiple duplication classes (Table 7).  Dispersed duplications were the most abundant, comprising 29,829 genes forming </w:t>
      </w:r>
      <w:r w:rsidR="00892ABF">
        <w:t>25,688 duplicate</w:t>
      </w:r>
      <w:r>
        <w:t xml:space="preserve"> pairs. Putative WGD/segmental duplicates were also common (18,810 genes; </w:t>
      </w:r>
      <w:r w:rsidR="00892ABF">
        <w:t>13,599 pairs</w:t>
      </w:r>
      <w:r>
        <w:t xml:space="preserve">), although less prevalent than in </w:t>
      </w:r>
      <w:r>
        <w:rPr>
          <w:i/>
          <w:iCs/>
        </w:rPr>
        <w:t xml:space="preserve">H. </w:t>
      </w:r>
      <w:proofErr w:type="spellStart"/>
      <w:r>
        <w:rPr>
          <w:i/>
          <w:iCs/>
        </w:rPr>
        <w:t>moseleyanum</w:t>
      </w:r>
      <w:proofErr w:type="spellEnd"/>
      <w:r>
        <w:t xml:space="preserve">. Transposed duplications accounted </w:t>
      </w:r>
      <w:r w:rsidR="00892ABF">
        <w:t>for 6,816</w:t>
      </w:r>
      <w:r>
        <w:t xml:space="preserve"> genes (7,358 pairs), consistent with duplication associated with gene relocation. </w:t>
      </w:r>
      <w:r w:rsidR="00892ABF">
        <w:t>Tandem and</w:t>
      </w:r>
      <w:r>
        <w:t xml:space="preserve"> proximal duplicates were comparatively infrequent, involving 2,395 genes (2,018 </w:t>
      </w:r>
      <w:r w:rsidR="00892ABF">
        <w:t>pairs) and</w:t>
      </w:r>
      <w:r>
        <w:t xml:space="preserve"> 2,894 genes (2,302 pairs), respectively. Overall, dispersed and WGD/</w:t>
      </w:r>
      <w:r w:rsidR="00892ABF">
        <w:t>segmental duplication</w:t>
      </w:r>
      <w:r>
        <w:t xml:space="preserve"> represent the principal sources of duplicate genes in </w:t>
      </w:r>
      <w:r>
        <w:rPr>
          <w:i/>
          <w:iCs/>
        </w:rPr>
        <w:t xml:space="preserve">M. </w:t>
      </w:r>
      <w:proofErr w:type="spellStart"/>
      <w:r>
        <w:rPr>
          <w:i/>
          <w:iCs/>
        </w:rPr>
        <w:t>beccarii</w:t>
      </w:r>
      <w:proofErr w:type="spellEnd"/>
      <w:r>
        <w:t xml:space="preserve">, with tandem </w:t>
      </w:r>
      <w:proofErr w:type="gramStart"/>
      <w:r>
        <w:t>and  proximal</w:t>
      </w:r>
      <w:proofErr w:type="gramEnd"/>
      <w:r>
        <w:t xml:space="preserve"> duplication contributing more modestly.</w:t>
      </w:r>
    </w:p>
    <w:p w14:paraId="5251941F" w14:textId="77777777" w:rsidR="00204CA7" w:rsidRDefault="00204CA7" w:rsidP="00204CA7">
      <w:pPr>
        <w:rPr>
          <w:b/>
          <w:bCs/>
          <w:color w:val="000000"/>
        </w:rPr>
      </w:pPr>
    </w:p>
    <w:p w14:paraId="7D3EFF99" w14:textId="77777777" w:rsidR="00415F0A" w:rsidRDefault="00415F0A" w:rsidP="00204CA7">
      <w:pPr>
        <w:rPr>
          <w:b/>
          <w:bCs/>
          <w:color w:val="000000"/>
        </w:rPr>
      </w:pPr>
    </w:p>
    <w:p w14:paraId="65EB8318" w14:textId="77777777" w:rsidR="00415F0A" w:rsidRDefault="00415F0A" w:rsidP="00204CA7">
      <w:pPr>
        <w:rPr>
          <w:b/>
          <w:bCs/>
          <w:color w:val="000000"/>
        </w:rPr>
      </w:pPr>
    </w:p>
    <w:p w14:paraId="0443BDA4" w14:textId="77777777" w:rsidR="00415F0A" w:rsidRDefault="00415F0A" w:rsidP="00204CA7">
      <w:pPr>
        <w:rPr>
          <w:b/>
          <w:bCs/>
          <w:color w:val="000000"/>
        </w:rPr>
      </w:pPr>
    </w:p>
    <w:p w14:paraId="32CFA11C" w14:textId="77777777" w:rsidR="00204CA7" w:rsidRDefault="00204CA7" w:rsidP="00204CA7">
      <w:pPr>
        <w:rPr>
          <w:b/>
          <w:bCs/>
          <w:color w:val="000000"/>
        </w:rPr>
      </w:pPr>
    </w:p>
    <w:p w14:paraId="415CDE24" w14:textId="77777777" w:rsidR="00204CA7" w:rsidRDefault="00204CA7">
      <w:pPr>
        <w:widowControl w:val="0"/>
        <w:pBdr>
          <w:top w:val="nil"/>
          <w:left w:val="nil"/>
          <w:bottom w:val="nil"/>
          <w:right w:val="nil"/>
          <w:between w:val="nil"/>
        </w:pBdr>
        <w:spacing w:line="240" w:lineRule="auto"/>
        <w:ind w:left="1449"/>
        <w:rPr>
          <w:rFonts w:eastAsia="Times New Roman" w:cs="Times New Roman"/>
          <w:b/>
          <w:bCs/>
          <w:color w:val="000000"/>
          <w:szCs w:val="24"/>
        </w:rPr>
      </w:pPr>
    </w:p>
    <w:p w14:paraId="57955F15" w14:textId="77777777" w:rsidR="00856741" w:rsidRDefault="00856741">
      <w:pPr>
        <w:widowControl w:val="0"/>
        <w:pBdr>
          <w:top w:val="nil"/>
          <w:left w:val="nil"/>
          <w:bottom w:val="nil"/>
          <w:right w:val="nil"/>
          <w:between w:val="nil"/>
        </w:pBdr>
        <w:spacing w:line="240" w:lineRule="auto"/>
        <w:ind w:left="1449"/>
        <w:rPr>
          <w:rFonts w:eastAsia="Times New Roman" w:cs="Times New Roman"/>
          <w:b/>
          <w:bCs/>
          <w:color w:val="000000"/>
          <w:szCs w:val="24"/>
        </w:rPr>
      </w:pPr>
    </w:p>
    <w:p w14:paraId="3FAB3F4E" w14:textId="77777777" w:rsidR="00856741" w:rsidRDefault="00856741">
      <w:pPr>
        <w:widowControl w:val="0"/>
        <w:pBdr>
          <w:top w:val="nil"/>
          <w:left w:val="nil"/>
          <w:bottom w:val="nil"/>
          <w:right w:val="nil"/>
          <w:between w:val="nil"/>
        </w:pBdr>
        <w:spacing w:line="240" w:lineRule="auto"/>
        <w:ind w:left="1449"/>
        <w:rPr>
          <w:rFonts w:eastAsia="Times New Roman" w:cs="Times New Roman"/>
          <w:b/>
          <w:bCs/>
          <w:color w:val="000000"/>
          <w:szCs w:val="24"/>
        </w:rPr>
      </w:pPr>
    </w:p>
    <w:p w14:paraId="00000126" w14:textId="63D08A2C" w:rsidR="00E420E3" w:rsidRPr="00856741" w:rsidRDefault="008E5528" w:rsidP="00856741">
      <w:pPr>
        <w:spacing w:after="0"/>
        <w:rPr>
          <w:b/>
          <w:bCs/>
        </w:rPr>
      </w:pPr>
      <w:r w:rsidRPr="00856741">
        <w:rPr>
          <w:b/>
          <w:bCs/>
        </w:rPr>
        <w:lastRenderedPageBreak/>
        <w:t xml:space="preserve">Table 7. Number of genes and their duplication type in </w:t>
      </w:r>
      <w:r w:rsidRPr="002053D0">
        <w:rPr>
          <w:b/>
          <w:bCs/>
          <w:i/>
          <w:iCs/>
        </w:rPr>
        <w:t xml:space="preserve">M. </w:t>
      </w:r>
      <w:proofErr w:type="spellStart"/>
      <w:r w:rsidRPr="002053D0">
        <w:rPr>
          <w:b/>
          <w:bCs/>
          <w:i/>
          <w:iCs/>
        </w:rPr>
        <w:t>beccarii</w:t>
      </w:r>
      <w:proofErr w:type="spellEnd"/>
      <w:r w:rsidRPr="00856741">
        <w:rPr>
          <w:b/>
          <w:bCs/>
        </w:rPr>
        <w:t xml:space="preserve">. </w:t>
      </w:r>
    </w:p>
    <w:tbl>
      <w:tblPr>
        <w:tblW w:w="9358" w:type="dxa"/>
        <w:tblLayout w:type="fixed"/>
        <w:tblLook w:val="0600" w:firstRow="0" w:lastRow="0" w:firstColumn="0" w:lastColumn="0" w:noHBand="1" w:noVBand="1"/>
      </w:tblPr>
      <w:tblGrid>
        <w:gridCol w:w="4680"/>
        <w:gridCol w:w="4678"/>
      </w:tblGrid>
      <w:tr w:rsidR="00541247" w14:paraId="387133A4" w14:textId="77777777" w:rsidTr="00700814">
        <w:trPr>
          <w:trHeight w:val="300"/>
        </w:trPr>
        <w:tc>
          <w:tcPr>
            <w:tcW w:w="4680" w:type="dxa"/>
            <w:tcBorders>
              <w:top w:val="single" w:sz="4" w:space="0" w:color="000000"/>
              <w:left w:val="single" w:sz="4" w:space="0" w:color="000000"/>
              <w:bottom w:val="single" w:sz="4" w:space="0" w:color="000000"/>
              <w:right w:val="single" w:sz="4" w:space="0" w:color="000000"/>
            </w:tcBorders>
          </w:tcPr>
          <w:p w14:paraId="625AC86B" w14:textId="77777777" w:rsidR="00541247" w:rsidRDefault="00541247" w:rsidP="00700814">
            <w:pPr>
              <w:widowControl w:val="0"/>
              <w:jc w:val="center"/>
              <w:rPr>
                <w:rFonts w:eastAsia="Times New Roman" w:cs="Times New Roman"/>
                <w:b/>
                <w:bCs/>
                <w:szCs w:val="24"/>
              </w:rPr>
            </w:pPr>
            <w:r>
              <w:rPr>
                <w:rFonts w:eastAsia="Times New Roman" w:cs="Times New Roman"/>
                <w:b/>
                <w:bCs/>
                <w:szCs w:val="24"/>
              </w:rPr>
              <w:t>Gene Count</w:t>
            </w:r>
          </w:p>
        </w:tc>
        <w:tc>
          <w:tcPr>
            <w:tcW w:w="4678" w:type="dxa"/>
            <w:tcBorders>
              <w:top w:val="single" w:sz="4" w:space="0" w:color="000000"/>
              <w:left w:val="single" w:sz="4" w:space="0" w:color="000000"/>
              <w:bottom w:val="single" w:sz="4" w:space="0" w:color="000000"/>
              <w:right w:val="single" w:sz="4" w:space="0" w:color="000000"/>
            </w:tcBorders>
          </w:tcPr>
          <w:p w14:paraId="4FC7A0D0" w14:textId="77777777" w:rsidR="00541247" w:rsidRDefault="00541247" w:rsidP="00700814">
            <w:pPr>
              <w:widowControl w:val="0"/>
              <w:jc w:val="center"/>
              <w:rPr>
                <w:rFonts w:eastAsia="Times New Roman" w:cs="Times New Roman"/>
                <w:szCs w:val="24"/>
              </w:rPr>
            </w:pPr>
            <w:r>
              <w:rPr>
                <w:rFonts w:eastAsia="Times New Roman" w:cs="Times New Roman"/>
                <w:b/>
                <w:bCs/>
                <w:i/>
                <w:iCs/>
                <w:szCs w:val="24"/>
              </w:rPr>
              <w:t xml:space="preserve">M. </w:t>
            </w:r>
            <w:proofErr w:type="spellStart"/>
            <w:r>
              <w:rPr>
                <w:rFonts w:eastAsia="Times New Roman" w:cs="Times New Roman"/>
                <w:b/>
                <w:bCs/>
                <w:i/>
                <w:iCs/>
                <w:szCs w:val="24"/>
              </w:rPr>
              <w:t>beccarii</w:t>
            </w:r>
            <w:proofErr w:type="spellEnd"/>
            <w:r>
              <w:rPr>
                <w:rFonts w:eastAsia="Times New Roman" w:cs="Times New Roman"/>
                <w:i/>
                <w:iCs/>
                <w:szCs w:val="24"/>
              </w:rPr>
              <w:t xml:space="preserve"> </w:t>
            </w:r>
            <w:r>
              <w:rPr>
                <w:rFonts w:eastAsia="Times New Roman" w:cs="Times New Roman"/>
                <w:b/>
                <w:bCs/>
                <w:szCs w:val="24"/>
              </w:rPr>
              <w:t>Duplication type</w:t>
            </w:r>
          </w:p>
        </w:tc>
      </w:tr>
      <w:tr w:rsidR="00541247" w14:paraId="7023F523" w14:textId="77777777" w:rsidTr="00700814">
        <w:trPr>
          <w:trHeight w:val="300"/>
        </w:trPr>
        <w:tc>
          <w:tcPr>
            <w:tcW w:w="4680" w:type="dxa"/>
            <w:tcBorders>
              <w:top w:val="single" w:sz="4" w:space="0" w:color="000000"/>
              <w:left w:val="single" w:sz="4" w:space="0" w:color="000000"/>
              <w:bottom w:val="single" w:sz="4" w:space="0" w:color="000000"/>
              <w:right w:val="single" w:sz="4" w:space="0" w:color="000000"/>
            </w:tcBorders>
          </w:tcPr>
          <w:p w14:paraId="69D6D984" w14:textId="77777777" w:rsidR="00541247" w:rsidRDefault="00541247" w:rsidP="00700814">
            <w:pPr>
              <w:widowControl w:val="0"/>
              <w:rPr>
                <w:rFonts w:eastAsia="Times New Roman" w:cs="Times New Roman"/>
                <w:szCs w:val="24"/>
              </w:rPr>
            </w:pPr>
            <w:r>
              <w:rPr>
                <w:rFonts w:eastAsia="Times New Roman" w:cs="Times New Roman"/>
                <w:szCs w:val="24"/>
              </w:rPr>
              <w:t>29829</w:t>
            </w:r>
          </w:p>
        </w:tc>
        <w:tc>
          <w:tcPr>
            <w:tcW w:w="4678" w:type="dxa"/>
            <w:tcBorders>
              <w:top w:val="single" w:sz="4" w:space="0" w:color="000000"/>
              <w:left w:val="single" w:sz="4" w:space="0" w:color="000000"/>
              <w:bottom w:val="single" w:sz="4" w:space="0" w:color="000000"/>
              <w:right w:val="single" w:sz="4" w:space="0" w:color="000000"/>
            </w:tcBorders>
          </w:tcPr>
          <w:p w14:paraId="72638CF8" w14:textId="77777777" w:rsidR="00541247" w:rsidRDefault="00541247" w:rsidP="00700814">
            <w:pPr>
              <w:widowControl w:val="0"/>
              <w:rPr>
                <w:rFonts w:eastAsia="Times New Roman" w:cs="Times New Roman"/>
                <w:szCs w:val="24"/>
              </w:rPr>
            </w:pPr>
            <w:proofErr w:type="spellStart"/>
            <w:r>
              <w:rPr>
                <w:rFonts w:eastAsia="Times New Roman" w:cs="Times New Roman"/>
                <w:szCs w:val="24"/>
              </w:rPr>
              <w:t>Dispersed.genes</w:t>
            </w:r>
            <w:proofErr w:type="spellEnd"/>
          </w:p>
        </w:tc>
      </w:tr>
      <w:tr w:rsidR="00541247" w14:paraId="55BCB04D" w14:textId="77777777" w:rsidTr="00700814">
        <w:trPr>
          <w:trHeight w:val="300"/>
        </w:trPr>
        <w:tc>
          <w:tcPr>
            <w:tcW w:w="4680" w:type="dxa"/>
            <w:tcBorders>
              <w:top w:val="single" w:sz="4" w:space="0" w:color="000000"/>
              <w:left w:val="single" w:sz="4" w:space="0" w:color="000000"/>
              <w:bottom w:val="single" w:sz="4" w:space="0" w:color="000000"/>
              <w:right w:val="single" w:sz="4" w:space="0" w:color="000000"/>
            </w:tcBorders>
          </w:tcPr>
          <w:p w14:paraId="2E80210C" w14:textId="77777777" w:rsidR="00541247" w:rsidRDefault="00541247" w:rsidP="00700814">
            <w:pPr>
              <w:widowControl w:val="0"/>
              <w:rPr>
                <w:rFonts w:eastAsia="Times New Roman" w:cs="Times New Roman"/>
                <w:szCs w:val="24"/>
              </w:rPr>
            </w:pPr>
            <w:r>
              <w:rPr>
                <w:rFonts w:eastAsia="Times New Roman" w:cs="Times New Roman"/>
                <w:szCs w:val="24"/>
              </w:rPr>
              <w:t>2894</w:t>
            </w:r>
          </w:p>
        </w:tc>
        <w:tc>
          <w:tcPr>
            <w:tcW w:w="4678" w:type="dxa"/>
            <w:tcBorders>
              <w:top w:val="single" w:sz="4" w:space="0" w:color="000000"/>
              <w:left w:val="single" w:sz="4" w:space="0" w:color="000000"/>
              <w:bottom w:val="single" w:sz="4" w:space="0" w:color="000000"/>
              <w:right w:val="single" w:sz="4" w:space="0" w:color="000000"/>
            </w:tcBorders>
          </w:tcPr>
          <w:p w14:paraId="0480A167" w14:textId="77777777" w:rsidR="00541247" w:rsidRDefault="00541247" w:rsidP="00700814">
            <w:pPr>
              <w:widowControl w:val="0"/>
              <w:rPr>
                <w:rFonts w:eastAsia="Times New Roman" w:cs="Times New Roman"/>
                <w:szCs w:val="24"/>
              </w:rPr>
            </w:pPr>
            <w:proofErr w:type="spellStart"/>
            <w:r>
              <w:rPr>
                <w:rFonts w:eastAsia="Times New Roman" w:cs="Times New Roman"/>
                <w:szCs w:val="24"/>
              </w:rPr>
              <w:t>Proximal.genes</w:t>
            </w:r>
            <w:proofErr w:type="spellEnd"/>
          </w:p>
        </w:tc>
      </w:tr>
      <w:tr w:rsidR="00541247" w14:paraId="37CEDF7B" w14:textId="77777777" w:rsidTr="00700814">
        <w:trPr>
          <w:trHeight w:val="300"/>
        </w:trPr>
        <w:tc>
          <w:tcPr>
            <w:tcW w:w="4680" w:type="dxa"/>
            <w:tcBorders>
              <w:top w:val="single" w:sz="4" w:space="0" w:color="000000"/>
              <w:left w:val="single" w:sz="4" w:space="0" w:color="000000"/>
              <w:bottom w:val="single" w:sz="4" w:space="0" w:color="000000"/>
              <w:right w:val="single" w:sz="4" w:space="0" w:color="000000"/>
            </w:tcBorders>
          </w:tcPr>
          <w:p w14:paraId="42C4698B" w14:textId="77777777" w:rsidR="00541247" w:rsidRDefault="00541247" w:rsidP="00700814">
            <w:pPr>
              <w:widowControl w:val="0"/>
              <w:rPr>
                <w:rFonts w:eastAsia="Times New Roman" w:cs="Times New Roman"/>
                <w:szCs w:val="24"/>
              </w:rPr>
            </w:pPr>
            <w:r>
              <w:rPr>
                <w:rFonts w:eastAsia="Times New Roman" w:cs="Times New Roman"/>
                <w:szCs w:val="24"/>
              </w:rPr>
              <w:t>2395</w:t>
            </w:r>
          </w:p>
        </w:tc>
        <w:tc>
          <w:tcPr>
            <w:tcW w:w="4678" w:type="dxa"/>
            <w:tcBorders>
              <w:top w:val="single" w:sz="4" w:space="0" w:color="000000"/>
              <w:left w:val="single" w:sz="4" w:space="0" w:color="000000"/>
              <w:bottom w:val="single" w:sz="4" w:space="0" w:color="000000"/>
              <w:right w:val="single" w:sz="4" w:space="0" w:color="000000"/>
            </w:tcBorders>
          </w:tcPr>
          <w:p w14:paraId="0411BEBC" w14:textId="77777777" w:rsidR="00541247" w:rsidRDefault="00541247" w:rsidP="00700814">
            <w:pPr>
              <w:widowControl w:val="0"/>
              <w:rPr>
                <w:rFonts w:eastAsia="Times New Roman" w:cs="Times New Roman"/>
                <w:szCs w:val="24"/>
              </w:rPr>
            </w:pPr>
            <w:proofErr w:type="spellStart"/>
            <w:r>
              <w:rPr>
                <w:rFonts w:eastAsia="Times New Roman" w:cs="Times New Roman"/>
                <w:szCs w:val="24"/>
              </w:rPr>
              <w:t>Tandem.genes</w:t>
            </w:r>
            <w:proofErr w:type="spellEnd"/>
          </w:p>
        </w:tc>
      </w:tr>
      <w:tr w:rsidR="00541247" w14:paraId="25E21770" w14:textId="77777777" w:rsidTr="00700814">
        <w:trPr>
          <w:trHeight w:val="300"/>
        </w:trPr>
        <w:tc>
          <w:tcPr>
            <w:tcW w:w="4680" w:type="dxa"/>
            <w:tcBorders>
              <w:top w:val="single" w:sz="4" w:space="0" w:color="000000"/>
              <w:left w:val="single" w:sz="4" w:space="0" w:color="000000"/>
              <w:bottom w:val="single" w:sz="4" w:space="0" w:color="000000"/>
              <w:right w:val="single" w:sz="4" w:space="0" w:color="000000"/>
            </w:tcBorders>
          </w:tcPr>
          <w:p w14:paraId="16603978" w14:textId="77777777" w:rsidR="00541247" w:rsidRDefault="00541247" w:rsidP="00700814">
            <w:pPr>
              <w:widowControl w:val="0"/>
              <w:rPr>
                <w:rFonts w:eastAsia="Times New Roman" w:cs="Times New Roman"/>
                <w:szCs w:val="24"/>
              </w:rPr>
            </w:pPr>
            <w:r>
              <w:rPr>
                <w:rFonts w:eastAsia="Times New Roman" w:cs="Times New Roman"/>
                <w:szCs w:val="24"/>
              </w:rPr>
              <w:t>6816</w:t>
            </w:r>
          </w:p>
        </w:tc>
        <w:tc>
          <w:tcPr>
            <w:tcW w:w="4678" w:type="dxa"/>
            <w:tcBorders>
              <w:top w:val="single" w:sz="4" w:space="0" w:color="000000"/>
              <w:left w:val="single" w:sz="4" w:space="0" w:color="000000"/>
              <w:bottom w:val="single" w:sz="4" w:space="0" w:color="000000"/>
              <w:right w:val="single" w:sz="4" w:space="0" w:color="000000"/>
            </w:tcBorders>
          </w:tcPr>
          <w:p w14:paraId="04896486" w14:textId="77777777" w:rsidR="00541247" w:rsidRDefault="00541247" w:rsidP="00700814">
            <w:pPr>
              <w:widowControl w:val="0"/>
              <w:rPr>
                <w:rFonts w:eastAsia="Times New Roman" w:cs="Times New Roman"/>
                <w:szCs w:val="24"/>
              </w:rPr>
            </w:pPr>
            <w:proofErr w:type="spellStart"/>
            <w:r>
              <w:rPr>
                <w:rFonts w:eastAsia="Times New Roman" w:cs="Times New Roman"/>
                <w:szCs w:val="24"/>
              </w:rPr>
              <w:t>Transposed.genes</w:t>
            </w:r>
            <w:proofErr w:type="spellEnd"/>
          </w:p>
        </w:tc>
      </w:tr>
      <w:tr w:rsidR="00541247" w14:paraId="7EC74BC1" w14:textId="77777777" w:rsidTr="00700814">
        <w:trPr>
          <w:trHeight w:val="300"/>
        </w:trPr>
        <w:tc>
          <w:tcPr>
            <w:tcW w:w="4680" w:type="dxa"/>
            <w:tcBorders>
              <w:top w:val="single" w:sz="4" w:space="0" w:color="000000"/>
              <w:left w:val="single" w:sz="4" w:space="0" w:color="000000"/>
              <w:bottom w:val="single" w:sz="4" w:space="0" w:color="000000"/>
              <w:right w:val="single" w:sz="4" w:space="0" w:color="000000"/>
            </w:tcBorders>
          </w:tcPr>
          <w:p w14:paraId="6DA9E459" w14:textId="77777777" w:rsidR="00541247" w:rsidRDefault="00541247" w:rsidP="00700814">
            <w:pPr>
              <w:widowControl w:val="0"/>
              <w:rPr>
                <w:rFonts w:eastAsia="Times New Roman" w:cs="Times New Roman"/>
                <w:szCs w:val="24"/>
              </w:rPr>
            </w:pPr>
            <w:r>
              <w:rPr>
                <w:rFonts w:eastAsia="Times New Roman" w:cs="Times New Roman"/>
                <w:szCs w:val="24"/>
              </w:rPr>
              <w:t>18810</w:t>
            </w:r>
          </w:p>
        </w:tc>
        <w:tc>
          <w:tcPr>
            <w:tcW w:w="4678" w:type="dxa"/>
            <w:tcBorders>
              <w:top w:val="single" w:sz="4" w:space="0" w:color="000000"/>
              <w:left w:val="single" w:sz="4" w:space="0" w:color="000000"/>
              <w:bottom w:val="single" w:sz="4" w:space="0" w:color="000000"/>
              <w:right w:val="single" w:sz="4" w:space="0" w:color="000000"/>
            </w:tcBorders>
          </w:tcPr>
          <w:p w14:paraId="29AA212C" w14:textId="77777777" w:rsidR="00541247" w:rsidRDefault="00541247" w:rsidP="00700814">
            <w:pPr>
              <w:widowControl w:val="0"/>
              <w:rPr>
                <w:rFonts w:eastAsia="Times New Roman" w:cs="Times New Roman"/>
                <w:szCs w:val="24"/>
              </w:rPr>
            </w:pPr>
            <w:r>
              <w:rPr>
                <w:rFonts w:eastAsia="Times New Roman" w:cs="Times New Roman"/>
                <w:szCs w:val="24"/>
              </w:rPr>
              <w:t>Whole genome duplicated genes</w:t>
            </w:r>
          </w:p>
        </w:tc>
      </w:tr>
      <w:tr w:rsidR="00541247" w14:paraId="53135E91" w14:textId="77777777" w:rsidTr="00700814">
        <w:trPr>
          <w:trHeight w:val="300"/>
        </w:trPr>
        <w:tc>
          <w:tcPr>
            <w:tcW w:w="4680" w:type="dxa"/>
            <w:tcBorders>
              <w:top w:val="single" w:sz="4" w:space="0" w:color="000000"/>
              <w:left w:val="single" w:sz="4" w:space="0" w:color="000000"/>
              <w:bottom w:val="single" w:sz="4" w:space="0" w:color="000000"/>
              <w:right w:val="single" w:sz="4" w:space="0" w:color="000000"/>
            </w:tcBorders>
          </w:tcPr>
          <w:p w14:paraId="3EB222D9" w14:textId="77777777" w:rsidR="00541247" w:rsidRDefault="00541247" w:rsidP="00700814">
            <w:pPr>
              <w:widowControl w:val="0"/>
              <w:rPr>
                <w:rFonts w:eastAsia="Times New Roman" w:cs="Times New Roman"/>
                <w:szCs w:val="24"/>
              </w:rPr>
            </w:pPr>
            <w:r>
              <w:rPr>
                <w:rFonts w:eastAsia="Times New Roman" w:cs="Times New Roman"/>
                <w:szCs w:val="24"/>
              </w:rPr>
              <w:t>25688</w:t>
            </w:r>
          </w:p>
        </w:tc>
        <w:tc>
          <w:tcPr>
            <w:tcW w:w="4678" w:type="dxa"/>
            <w:tcBorders>
              <w:top w:val="single" w:sz="4" w:space="0" w:color="000000"/>
              <w:left w:val="single" w:sz="4" w:space="0" w:color="000000"/>
              <w:bottom w:val="single" w:sz="4" w:space="0" w:color="000000"/>
              <w:right w:val="single" w:sz="4" w:space="0" w:color="000000"/>
            </w:tcBorders>
          </w:tcPr>
          <w:p w14:paraId="52EFC2DC" w14:textId="77777777" w:rsidR="00541247" w:rsidRDefault="00541247" w:rsidP="00700814">
            <w:pPr>
              <w:spacing w:line="240" w:lineRule="auto"/>
              <w:rPr>
                <w:rFonts w:eastAsia="Times New Roman" w:cs="Times New Roman"/>
                <w:szCs w:val="24"/>
              </w:rPr>
            </w:pPr>
            <w:r>
              <w:rPr>
                <w:rFonts w:eastAsia="Times New Roman" w:cs="Times New Roman"/>
                <w:szCs w:val="24"/>
              </w:rPr>
              <w:t>Dispersed pairs</w:t>
            </w:r>
          </w:p>
        </w:tc>
      </w:tr>
      <w:tr w:rsidR="00541247" w14:paraId="5A49B14D" w14:textId="77777777" w:rsidTr="00700814">
        <w:trPr>
          <w:trHeight w:val="300"/>
        </w:trPr>
        <w:tc>
          <w:tcPr>
            <w:tcW w:w="4680" w:type="dxa"/>
            <w:tcBorders>
              <w:top w:val="single" w:sz="4" w:space="0" w:color="000000"/>
              <w:left w:val="single" w:sz="4" w:space="0" w:color="000000"/>
              <w:bottom w:val="single" w:sz="4" w:space="0" w:color="000000"/>
              <w:right w:val="single" w:sz="4" w:space="0" w:color="000000"/>
            </w:tcBorders>
          </w:tcPr>
          <w:p w14:paraId="291FC90D" w14:textId="77777777" w:rsidR="00541247" w:rsidRDefault="00541247" w:rsidP="00700814">
            <w:pPr>
              <w:widowControl w:val="0"/>
              <w:rPr>
                <w:rFonts w:eastAsia="Times New Roman" w:cs="Times New Roman"/>
                <w:szCs w:val="24"/>
              </w:rPr>
            </w:pPr>
            <w:r>
              <w:rPr>
                <w:rFonts w:eastAsia="Times New Roman" w:cs="Times New Roman"/>
                <w:szCs w:val="24"/>
              </w:rPr>
              <w:t>2302</w:t>
            </w:r>
          </w:p>
        </w:tc>
        <w:tc>
          <w:tcPr>
            <w:tcW w:w="4678" w:type="dxa"/>
            <w:tcBorders>
              <w:top w:val="single" w:sz="4" w:space="0" w:color="000000"/>
              <w:left w:val="single" w:sz="4" w:space="0" w:color="000000"/>
              <w:bottom w:val="single" w:sz="4" w:space="0" w:color="000000"/>
              <w:right w:val="single" w:sz="4" w:space="0" w:color="000000"/>
            </w:tcBorders>
          </w:tcPr>
          <w:p w14:paraId="4370D289" w14:textId="77777777" w:rsidR="00541247" w:rsidRDefault="00541247" w:rsidP="00700814">
            <w:pPr>
              <w:widowControl w:val="0"/>
              <w:rPr>
                <w:rFonts w:eastAsia="Times New Roman" w:cs="Times New Roman"/>
                <w:szCs w:val="24"/>
              </w:rPr>
            </w:pPr>
            <w:proofErr w:type="spellStart"/>
            <w:r>
              <w:rPr>
                <w:rFonts w:eastAsia="Times New Roman" w:cs="Times New Roman"/>
                <w:szCs w:val="24"/>
              </w:rPr>
              <w:t>Proximal.pairs</w:t>
            </w:r>
            <w:proofErr w:type="spellEnd"/>
          </w:p>
        </w:tc>
      </w:tr>
      <w:tr w:rsidR="00541247" w14:paraId="63EB450E" w14:textId="77777777" w:rsidTr="00700814">
        <w:trPr>
          <w:trHeight w:val="300"/>
        </w:trPr>
        <w:tc>
          <w:tcPr>
            <w:tcW w:w="4680" w:type="dxa"/>
            <w:tcBorders>
              <w:top w:val="single" w:sz="4" w:space="0" w:color="000000"/>
              <w:left w:val="single" w:sz="4" w:space="0" w:color="000000"/>
              <w:bottom w:val="single" w:sz="4" w:space="0" w:color="000000"/>
              <w:right w:val="single" w:sz="4" w:space="0" w:color="000000"/>
            </w:tcBorders>
          </w:tcPr>
          <w:p w14:paraId="5823C784" w14:textId="77777777" w:rsidR="00541247" w:rsidRDefault="00541247" w:rsidP="00700814">
            <w:pPr>
              <w:widowControl w:val="0"/>
              <w:rPr>
                <w:rFonts w:eastAsia="Times New Roman" w:cs="Times New Roman"/>
                <w:szCs w:val="24"/>
              </w:rPr>
            </w:pPr>
            <w:r>
              <w:rPr>
                <w:rFonts w:eastAsia="Times New Roman" w:cs="Times New Roman"/>
                <w:szCs w:val="24"/>
              </w:rPr>
              <w:t>2018</w:t>
            </w:r>
          </w:p>
        </w:tc>
        <w:tc>
          <w:tcPr>
            <w:tcW w:w="4678" w:type="dxa"/>
            <w:tcBorders>
              <w:top w:val="single" w:sz="4" w:space="0" w:color="000000"/>
              <w:left w:val="single" w:sz="4" w:space="0" w:color="000000"/>
              <w:bottom w:val="single" w:sz="4" w:space="0" w:color="000000"/>
              <w:right w:val="single" w:sz="4" w:space="0" w:color="000000"/>
            </w:tcBorders>
          </w:tcPr>
          <w:p w14:paraId="6FA9E60C" w14:textId="77777777" w:rsidR="00541247" w:rsidRDefault="00541247" w:rsidP="00700814">
            <w:pPr>
              <w:widowControl w:val="0"/>
              <w:rPr>
                <w:rFonts w:eastAsia="Times New Roman" w:cs="Times New Roman"/>
                <w:szCs w:val="24"/>
              </w:rPr>
            </w:pPr>
            <w:proofErr w:type="spellStart"/>
            <w:r>
              <w:rPr>
                <w:rFonts w:eastAsia="Times New Roman" w:cs="Times New Roman"/>
                <w:szCs w:val="24"/>
              </w:rPr>
              <w:t>Tandem.pairs</w:t>
            </w:r>
            <w:proofErr w:type="spellEnd"/>
          </w:p>
        </w:tc>
      </w:tr>
      <w:tr w:rsidR="00541247" w14:paraId="5AA89638" w14:textId="77777777" w:rsidTr="00700814">
        <w:trPr>
          <w:trHeight w:val="300"/>
        </w:trPr>
        <w:tc>
          <w:tcPr>
            <w:tcW w:w="4680" w:type="dxa"/>
            <w:tcBorders>
              <w:top w:val="single" w:sz="4" w:space="0" w:color="000000"/>
              <w:left w:val="single" w:sz="4" w:space="0" w:color="000000"/>
              <w:bottom w:val="single" w:sz="4" w:space="0" w:color="000000"/>
              <w:right w:val="single" w:sz="4" w:space="0" w:color="000000"/>
            </w:tcBorders>
          </w:tcPr>
          <w:p w14:paraId="53C51D1A" w14:textId="77777777" w:rsidR="00541247" w:rsidRDefault="00541247" w:rsidP="00700814">
            <w:pPr>
              <w:widowControl w:val="0"/>
              <w:rPr>
                <w:rFonts w:eastAsia="Times New Roman" w:cs="Times New Roman"/>
                <w:szCs w:val="24"/>
              </w:rPr>
            </w:pPr>
            <w:r>
              <w:rPr>
                <w:rFonts w:eastAsia="Times New Roman" w:cs="Times New Roman"/>
                <w:szCs w:val="24"/>
              </w:rPr>
              <w:t>7358</w:t>
            </w:r>
          </w:p>
        </w:tc>
        <w:tc>
          <w:tcPr>
            <w:tcW w:w="4678" w:type="dxa"/>
            <w:tcBorders>
              <w:top w:val="single" w:sz="4" w:space="0" w:color="000000"/>
              <w:left w:val="single" w:sz="4" w:space="0" w:color="000000"/>
              <w:bottom w:val="single" w:sz="4" w:space="0" w:color="000000"/>
              <w:right w:val="single" w:sz="4" w:space="0" w:color="000000"/>
            </w:tcBorders>
          </w:tcPr>
          <w:p w14:paraId="4BFA4151" w14:textId="77777777" w:rsidR="00541247" w:rsidRDefault="00541247" w:rsidP="00700814">
            <w:pPr>
              <w:widowControl w:val="0"/>
              <w:rPr>
                <w:rFonts w:eastAsia="Times New Roman" w:cs="Times New Roman"/>
                <w:szCs w:val="24"/>
              </w:rPr>
            </w:pPr>
            <w:proofErr w:type="spellStart"/>
            <w:r>
              <w:rPr>
                <w:rFonts w:eastAsia="Times New Roman" w:cs="Times New Roman"/>
                <w:szCs w:val="24"/>
              </w:rPr>
              <w:t>Transposed.pairs</w:t>
            </w:r>
            <w:proofErr w:type="spellEnd"/>
          </w:p>
        </w:tc>
      </w:tr>
      <w:tr w:rsidR="00541247" w14:paraId="77F073FA" w14:textId="77777777" w:rsidTr="00700814">
        <w:trPr>
          <w:trHeight w:val="300"/>
        </w:trPr>
        <w:tc>
          <w:tcPr>
            <w:tcW w:w="4680" w:type="dxa"/>
            <w:tcBorders>
              <w:top w:val="single" w:sz="4" w:space="0" w:color="000000"/>
              <w:left w:val="single" w:sz="4" w:space="0" w:color="000000"/>
              <w:bottom w:val="single" w:sz="4" w:space="0" w:color="000000"/>
              <w:right w:val="single" w:sz="4" w:space="0" w:color="000000"/>
            </w:tcBorders>
          </w:tcPr>
          <w:p w14:paraId="1097BB5D" w14:textId="77777777" w:rsidR="00541247" w:rsidRDefault="00541247" w:rsidP="00700814">
            <w:pPr>
              <w:widowControl w:val="0"/>
              <w:rPr>
                <w:rFonts w:eastAsia="Times New Roman" w:cs="Times New Roman"/>
                <w:szCs w:val="24"/>
              </w:rPr>
            </w:pPr>
            <w:r>
              <w:rPr>
                <w:rFonts w:eastAsia="Times New Roman" w:cs="Times New Roman"/>
                <w:szCs w:val="24"/>
              </w:rPr>
              <w:t>13599</w:t>
            </w:r>
          </w:p>
        </w:tc>
        <w:tc>
          <w:tcPr>
            <w:tcW w:w="4678" w:type="dxa"/>
            <w:tcBorders>
              <w:top w:val="single" w:sz="4" w:space="0" w:color="000000"/>
              <w:left w:val="single" w:sz="4" w:space="0" w:color="000000"/>
              <w:bottom w:val="single" w:sz="4" w:space="0" w:color="000000"/>
              <w:right w:val="single" w:sz="4" w:space="0" w:color="000000"/>
            </w:tcBorders>
          </w:tcPr>
          <w:p w14:paraId="27FB8A2C" w14:textId="77777777" w:rsidR="00541247" w:rsidRDefault="00541247" w:rsidP="00700814">
            <w:pPr>
              <w:widowControl w:val="0"/>
              <w:rPr>
                <w:rFonts w:eastAsia="Times New Roman" w:cs="Times New Roman"/>
                <w:szCs w:val="24"/>
              </w:rPr>
            </w:pPr>
            <w:r>
              <w:rPr>
                <w:rFonts w:eastAsia="Times New Roman" w:cs="Times New Roman"/>
                <w:szCs w:val="24"/>
              </w:rPr>
              <w:t xml:space="preserve">Whole genome </w:t>
            </w:r>
            <w:proofErr w:type="spellStart"/>
            <w:proofErr w:type="gramStart"/>
            <w:r>
              <w:rPr>
                <w:rFonts w:eastAsia="Times New Roman" w:cs="Times New Roman"/>
                <w:szCs w:val="24"/>
              </w:rPr>
              <w:t>duplicated.pairs</w:t>
            </w:r>
            <w:proofErr w:type="spellEnd"/>
            <w:proofErr w:type="gramEnd"/>
          </w:p>
        </w:tc>
      </w:tr>
    </w:tbl>
    <w:p w14:paraId="013F9EBB" w14:textId="77777777" w:rsidR="001A59B2" w:rsidRDefault="001A59B2">
      <w:pPr>
        <w:widowControl w:val="0"/>
        <w:pBdr>
          <w:top w:val="nil"/>
          <w:left w:val="nil"/>
          <w:bottom w:val="nil"/>
          <w:right w:val="nil"/>
          <w:between w:val="nil"/>
        </w:pBdr>
        <w:rPr>
          <w:color w:val="000000"/>
        </w:rPr>
      </w:pPr>
    </w:p>
    <w:p w14:paraId="0000013F" w14:textId="77777777" w:rsidR="00E420E3" w:rsidRDefault="008E5528" w:rsidP="00F95EC9">
      <w:pPr>
        <w:pStyle w:val="Heading3"/>
      </w:pPr>
      <w:bookmarkStart w:id="35" w:name="_Toc235392981"/>
      <w:r>
        <w:t>2.5 Discussion</w:t>
      </w:r>
      <w:bookmarkEnd w:id="35"/>
      <w:r>
        <w:t xml:space="preserve"> </w:t>
      </w:r>
    </w:p>
    <w:p w14:paraId="00000140" w14:textId="77777777" w:rsidR="00E420E3" w:rsidRDefault="008E5528" w:rsidP="00F95EC9">
      <w:pPr>
        <w:pStyle w:val="Heading4"/>
      </w:pPr>
      <w:bookmarkStart w:id="36" w:name="_Toc235392982"/>
      <w:r>
        <w:t xml:space="preserve">2.5.1 A genomic framework to analyse mutualistic dependence in </w:t>
      </w:r>
      <w:proofErr w:type="spellStart"/>
      <w:r>
        <w:t>Hydnophytinae</w:t>
      </w:r>
      <w:proofErr w:type="spellEnd"/>
      <w:r>
        <w:t xml:space="preserve"> ant-plants</w:t>
      </w:r>
      <w:bookmarkEnd w:id="36"/>
      <w:r>
        <w:t xml:space="preserve"> </w:t>
      </w:r>
    </w:p>
    <w:p w14:paraId="00000141" w14:textId="45C3A2AD" w:rsidR="00E420E3" w:rsidRDefault="008E5528" w:rsidP="00F95EC9">
      <w:pPr>
        <w:rPr>
          <w:rFonts w:eastAsia="Times New Roman" w:cs="Times New Roman"/>
          <w:szCs w:val="24"/>
        </w:rPr>
      </w:pPr>
      <w:r>
        <w:rPr>
          <w:rFonts w:eastAsia="Times New Roman" w:cs="Times New Roman"/>
          <w:szCs w:val="24"/>
        </w:rPr>
        <w:t xml:space="preserve">The principal outcome of this chapter is the generation of high-quality reference genomes </w:t>
      </w:r>
      <w:r w:rsidR="00DD3EA4">
        <w:rPr>
          <w:rFonts w:eastAsia="Times New Roman" w:cs="Times New Roman"/>
          <w:szCs w:val="24"/>
        </w:rPr>
        <w:t xml:space="preserve">for </w:t>
      </w:r>
      <w:proofErr w:type="spellStart"/>
      <w:r w:rsidR="00DD3EA4">
        <w:rPr>
          <w:rFonts w:eastAsia="Times New Roman" w:cs="Times New Roman"/>
          <w:szCs w:val="24"/>
        </w:rPr>
        <w:t>Hydnophytum</w:t>
      </w:r>
      <w:proofErr w:type="spellEnd"/>
      <w:r>
        <w:rPr>
          <w:rFonts w:eastAsia="Times New Roman" w:cs="Times New Roman"/>
          <w:i/>
          <w:iCs/>
          <w:szCs w:val="24"/>
        </w:rPr>
        <w:t xml:space="preserve"> </w:t>
      </w:r>
      <w:proofErr w:type="spellStart"/>
      <w:r>
        <w:rPr>
          <w:rFonts w:eastAsia="Times New Roman" w:cs="Times New Roman"/>
          <w:i/>
          <w:iCs/>
          <w:szCs w:val="24"/>
        </w:rPr>
        <w:t>moseleyanum</w:t>
      </w:r>
      <w:proofErr w:type="spellEnd"/>
      <w:r>
        <w:rPr>
          <w:rFonts w:eastAsia="Times New Roman" w:cs="Times New Roman"/>
          <w:i/>
          <w:iCs/>
          <w:szCs w:val="24"/>
        </w:rPr>
        <w:t xml:space="preserve"> </w:t>
      </w:r>
      <w:r>
        <w:rPr>
          <w:rFonts w:eastAsia="Times New Roman" w:cs="Times New Roman"/>
          <w:szCs w:val="24"/>
        </w:rPr>
        <w:t xml:space="preserve">and </w:t>
      </w:r>
      <w:proofErr w:type="spellStart"/>
      <w:r>
        <w:rPr>
          <w:rFonts w:eastAsia="Times New Roman" w:cs="Times New Roman"/>
          <w:i/>
          <w:iCs/>
          <w:szCs w:val="24"/>
        </w:rPr>
        <w:t>Myrmecodia</w:t>
      </w:r>
      <w:proofErr w:type="spellEnd"/>
      <w:r>
        <w:rPr>
          <w:rFonts w:eastAsia="Times New Roman" w:cs="Times New Roman"/>
          <w:i/>
          <w:iCs/>
          <w:szCs w:val="24"/>
        </w:rPr>
        <w:t xml:space="preserve"> </w:t>
      </w:r>
      <w:proofErr w:type="spellStart"/>
      <w:r>
        <w:rPr>
          <w:rFonts w:eastAsia="Times New Roman" w:cs="Times New Roman"/>
          <w:i/>
          <w:iCs/>
          <w:szCs w:val="24"/>
        </w:rPr>
        <w:t>beccarii</w:t>
      </w:r>
      <w:proofErr w:type="spellEnd"/>
      <w:r>
        <w:rPr>
          <w:rFonts w:eastAsia="Times New Roman" w:cs="Times New Roman"/>
          <w:i/>
          <w:iCs/>
          <w:szCs w:val="24"/>
        </w:rPr>
        <w:t xml:space="preserve"> </w:t>
      </w:r>
      <w:r>
        <w:rPr>
          <w:rFonts w:eastAsia="Times New Roman" w:cs="Times New Roman"/>
          <w:szCs w:val="24"/>
        </w:rPr>
        <w:t xml:space="preserve">that will underpin </w:t>
      </w:r>
      <w:r w:rsidR="00DD3EA4">
        <w:rPr>
          <w:rFonts w:eastAsia="Times New Roman" w:cs="Times New Roman"/>
          <w:szCs w:val="24"/>
        </w:rPr>
        <w:t>downstream transcriptomics</w:t>
      </w:r>
      <w:r>
        <w:rPr>
          <w:rFonts w:eastAsia="Times New Roman" w:cs="Times New Roman"/>
          <w:szCs w:val="24"/>
        </w:rPr>
        <w:t xml:space="preserve"> analyses in this thesis (Chapter 4) with the experimental </w:t>
      </w:r>
      <w:r w:rsidR="009F23E6">
        <w:rPr>
          <w:rFonts w:eastAsia="Times New Roman" w:cs="Times New Roman"/>
          <w:szCs w:val="24"/>
        </w:rPr>
        <w:t>ant-plant</w:t>
      </w:r>
      <w:r>
        <w:rPr>
          <w:rFonts w:eastAsia="Times New Roman" w:cs="Times New Roman"/>
          <w:szCs w:val="24"/>
        </w:rPr>
        <w:t xml:space="preserve"> </w:t>
      </w:r>
      <w:r w:rsidR="00DD3EA4">
        <w:rPr>
          <w:rFonts w:eastAsia="Times New Roman" w:cs="Times New Roman"/>
          <w:szCs w:val="24"/>
        </w:rPr>
        <w:t>symbioses established</w:t>
      </w:r>
      <w:r>
        <w:rPr>
          <w:rFonts w:eastAsia="Times New Roman" w:cs="Times New Roman"/>
          <w:szCs w:val="24"/>
        </w:rPr>
        <w:t xml:space="preserve"> in (Chapter 3). Using PacBio HiFi data, we produced highly contiguous de </w:t>
      </w:r>
      <w:r w:rsidR="00DD3EA4">
        <w:rPr>
          <w:rFonts w:eastAsia="Times New Roman" w:cs="Times New Roman"/>
          <w:szCs w:val="24"/>
        </w:rPr>
        <w:t>novo assemblies</w:t>
      </w:r>
      <w:r>
        <w:rPr>
          <w:rFonts w:eastAsia="Times New Roman" w:cs="Times New Roman"/>
          <w:szCs w:val="24"/>
        </w:rPr>
        <w:t xml:space="preserve"> (contig N50 ~55-70 Mb) with high gene-space completeness (BUSCO ~98–99%).  The two genomes differ markedly in duplication architecture: </w:t>
      </w:r>
      <w:r>
        <w:rPr>
          <w:rFonts w:eastAsia="Times New Roman" w:cs="Times New Roman"/>
          <w:i/>
          <w:iCs/>
          <w:szCs w:val="24"/>
        </w:rPr>
        <w:t xml:space="preserve">H. </w:t>
      </w:r>
      <w:proofErr w:type="spellStart"/>
      <w:r>
        <w:rPr>
          <w:rFonts w:eastAsia="Times New Roman" w:cs="Times New Roman"/>
          <w:i/>
          <w:iCs/>
          <w:szCs w:val="24"/>
        </w:rPr>
        <w:t>moseleyanum</w:t>
      </w:r>
      <w:proofErr w:type="spellEnd"/>
      <w:r>
        <w:rPr>
          <w:rFonts w:eastAsia="Times New Roman" w:cs="Times New Roman"/>
          <w:i/>
          <w:iCs/>
          <w:szCs w:val="24"/>
        </w:rPr>
        <w:t xml:space="preserve"> </w:t>
      </w:r>
      <w:r>
        <w:rPr>
          <w:rFonts w:eastAsia="Times New Roman" w:cs="Times New Roman"/>
          <w:szCs w:val="24"/>
        </w:rPr>
        <w:t xml:space="preserve">shows a </w:t>
      </w:r>
      <w:r w:rsidR="00DD3EA4">
        <w:rPr>
          <w:rFonts w:eastAsia="Times New Roman" w:cs="Times New Roman"/>
          <w:szCs w:val="24"/>
        </w:rPr>
        <w:t>strong excess</w:t>
      </w:r>
      <w:r>
        <w:rPr>
          <w:rFonts w:eastAsia="Times New Roman" w:cs="Times New Roman"/>
          <w:szCs w:val="24"/>
        </w:rPr>
        <w:t xml:space="preserve"> of duplicated BUSCOs in the initial assembly and a k-</w:t>
      </w:r>
      <w:proofErr w:type="spellStart"/>
      <w:r>
        <w:rPr>
          <w:rFonts w:eastAsia="Times New Roman" w:cs="Times New Roman"/>
          <w:szCs w:val="24"/>
        </w:rPr>
        <w:t>mer</w:t>
      </w:r>
      <w:proofErr w:type="spellEnd"/>
      <w:r>
        <w:rPr>
          <w:rFonts w:eastAsia="Times New Roman" w:cs="Times New Roman"/>
          <w:szCs w:val="24"/>
        </w:rPr>
        <w:t xml:space="preserve"> spectrum consistent with </w:t>
      </w:r>
      <w:r w:rsidR="004A2A77">
        <w:rPr>
          <w:rFonts w:eastAsia="Times New Roman" w:cs="Times New Roman"/>
          <w:szCs w:val="24"/>
        </w:rPr>
        <w:t>a tetraploid</w:t>
      </w:r>
      <w:r>
        <w:rPr>
          <w:rFonts w:eastAsia="Times New Roman" w:cs="Times New Roman"/>
          <w:szCs w:val="24"/>
        </w:rPr>
        <w:t>-like structure (Fig.</w:t>
      </w:r>
      <w:r w:rsidR="002C05B1">
        <w:rPr>
          <w:rFonts w:eastAsia="Times New Roman" w:cs="Times New Roman"/>
          <w:szCs w:val="24"/>
        </w:rPr>
        <w:t xml:space="preserve"> </w:t>
      </w:r>
      <w:r w:rsidR="005F3ECC">
        <w:rPr>
          <w:rFonts w:eastAsia="Times New Roman" w:cs="Times New Roman"/>
          <w:szCs w:val="24"/>
        </w:rPr>
        <w:t>2</w:t>
      </w:r>
      <w:r>
        <w:rPr>
          <w:rFonts w:eastAsia="Times New Roman" w:cs="Times New Roman"/>
          <w:szCs w:val="24"/>
        </w:rPr>
        <w:t xml:space="preserve">), whereas </w:t>
      </w:r>
      <w:r>
        <w:rPr>
          <w:rFonts w:eastAsia="Times New Roman" w:cs="Times New Roman"/>
          <w:i/>
          <w:iCs/>
          <w:szCs w:val="24"/>
        </w:rPr>
        <w:t xml:space="preserve">M. </w:t>
      </w:r>
      <w:proofErr w:type="spellStart"/>
      <w:r>
        <w:rPr>
          <w:rFonts w:eastAsia="Times New Roman" w:cs="Times New Roman"/>
          <w:i/>
          <w:iCs/>
          <w:szCs w:val="24"/>
        </w:rPr>
        <w:t>beccarii</w:t>
      </w:r>
      <w:proofErr w:type="spellEnd"/>
      <w:r>
        <w:rPr>
          <w:rFonts w:eastAsia="Times New Roman" w:cs="Times New Roman"/>
          <w:i/>
          <w:iCs/>
          <w:szCs w:val="24"/>
        </w:rPr>
        <w:t xml:space="preserve"> </w:t>
      </w:r>
      <w:r>
        <w:rPr>
          <w:rFonts w:eastAsia="Times New Roman" w:cs="Times New Roman"/>
          <w:szCs w:val="24"/>
        </w:rPr>
        <w:t>shows predominantly single-</w:t>
      </w:r>
      <w:r w:rsidR="00DD3EA4">
        <w:rPr>
          <w:rFonts w:eastAsia="Times New Roman" w:cs="Times New Roman"/>
          <w:szCs w:val="24"/>
        </w:rPr>
        <w:t>copy BUSCOs</w:t>
      </w:r>
      <w:r w:rsidR="006218CA">
        <w:rPr>
          <w:rFonts w:eastAsia="Times New Roman" w:cs="Times New Roman"/>
          <w:szCs w:val="24"/>
        </w:rPr>
        <w:t xml:space="preserve"> </w:t>
      </w:r>
      <w:r>
        <w:rPr>
          <w:rFonts w:eastAsia="Times New Roman" w:cs="Times New Roman"/>
          <w:szCs w:val="24"/>
        </w:rPr>
        <w:t>and a diploid-like k-</w:t>
      </w:r>
      <w:proofErr w:type="spellStart"/>
      <w:r>
        <w:rPr>
          <w:rFonts w:eastAsia="Times New Roman" w:cs="Times New Roman"/>
          <w:szCs w:val="24"/>
        </w:rPr>
        <w:t>mer</w:t>
      </w:r>
      <w:proofErr w:type="spellEnd"/>
      <w:r>
        <w:rPr>
          <w:rFonts w:eastAsia="Times New Roman" w:cs="Times New Roman"/>
          <w:szCs w:val="24"/>
        </w:rPr>
        <w:t xml:space="preserve"> profile (</w:t>
      </w:r>
      <w:r w:rsidR="002060CB">
        <w:rPr>
          <w:rFonts w:eastAsia="Times New Roman" w:cs="Times New Roman"/>
          <w:szCs w:val="24"/>
        </w:rPr>
        <w:t xml:space="preserve">Fig. </w:t>
      </w:r>
      <w:r w:rsidR="00381CC7">
        <w:rPr>
          <w:rFonts w:eastAsia="Times New Roman" w:cs="Times New Roman"/>
          <w:szCs w:val="24"/>
        </w:rPr>
        <w:t>3</w:t>
      </w:r>
      <w:r>
        <w:rPr>
          <w:rFonts w:eastAsia="Times New Roman" w:cs="Times New Roman"/>
          <w:szCs w:val="24"/>
        </w:rPr>
        <w:t xml:space="preserve">). Iterative redundancy purging in </w:t>
      </w:r>
      <w:r>
        <w:rPr>
          <w:rFonts w:eastAsia="Times New Roman" w:cs="Times New Roman"/>
          <w:i/>
          <w:iCs/>
          <w:szCs w:val="24"/>
        </w:rPr>
        <w:t xml:space="preserve">H.  </w:t>
      </w:r>
      <w:proofErr w:type="spellStart"/>
      <w:r>
        <w:rPr>
          <w:rFonts w:eastAsia="Times New Roman" w:cs="Times New Roman"/>
          <w:i/>
          <w:iCs/>
          <w:szCs w:val="24"/>
        </w:rPr>
        <w:t>moseleyanum</w:t>
      </w:r>
      <w:proofErr w:type="spellEnd"/>
      <w:r>
        <w:rPr>
          <w:rFonts w:eastAsia="Times New Roman" w:cs="Times New Roman"/>
          <w:i/>
          <w:iCs/>
          <w:szCs w:val="24"/>
        </w:rPr>
        <w:t xml:space="preserve"> </w:t>
      </w:r>
      <w:r>
        <w:rPr>
          <w:rFonts w:eastAsia="Times New Roman" w:cs="Times New Roman"/>
          <w:szCs w:val="24"/>
        </w:rPr>
        <w:t xml:space="preserve">substantially reduced assembly inflation while retaining high completeness </w:t>
      </w:r>
      <w:r w:rsidR="00DD3EA4">
        <w:rPr>
          <w:rFonts w:eastAsia="Times New Roman" w:cs="Times New Roman"/>
          <w:szCs w:val="24"/>
        </w:rPr>
        <w:t>at intermediate</w:t>
      </w:r>
      <w:r>
        <w:rPr>
          <w:rFonts w:eastAsia="Times New Roman" w:cs="Times New Roman"/>
          <w:szCs w:val="24"/>
        </w:rPr>
        <w:t xml:space="preserve"> settings, yielding a compact, analysis-ready reference. Together, these </w:t>
      </w:r>
      <w:r w:rsidR="00DD3EA4">
        <w:rPr>
          <w:rFonts w:eastAsia="Times New Roman" w:cs="Times New Roman"/>
          <w:szCs w:val="24"/>
        </w:rPr>
        <w:t>curated assemblies</w:t>
      </w:r>
      <w:r>
        <w:rPr>
          <w:rFonts w:eastAsia="Times New Roman" w:cs="Times New Roman"/>
          <w:szCs w:val="24"/>
        </w:rPr>
        <w:t xml:space="preserve"> and annotations provide the essential genomic resources for the following </w:t>
      </w:r>
      <w:r w:rsidR="006218CA">
        <w:rPr>
          <w:rFonts w:eastAsia="Times New Roman" w:cs="Times New Roman"/>
          <w:szCs w:val="24"/>
        </w:rPr>
        <w:t>chapters, enabling</w:t>
      </w:r>
      <w:r>
        <w:rPr>
          <w:rFonts w:eastAsia="Times New Roman" w:cs="Times New Roman"/>
          <w:szCs w:val="24"/>
        </w:rPr>
        <w:t xml:space="preserve"> robust read mapping, orthology-aware comparisons, and confident interpretation </w:t>
      </w:r>
      <w:r w:rsidR="006218CA">
        <w:rPr>
          <w:rFonts w:eastAsia="Times New Roman" w:cs="Times New Roman"/>
          <w:szCs w:val="24"/>
        </w:rPr>
        <w:t xml:space="preserve">of </w:t>
      </w:r>
      <w:r w:rsidR="006218CA">
        <w:rPr>
          <w:rFonts w:eastAsia="Times New Roman" w:cs="Times New Roman"/>
          <w:szCs w:val="24"/>
        </w:rPr>
        <w:lastRenderedPageBreak/>
        <w:t>candidate</w:t>
      </w:r>
      <w:r>
        <w:rPr>
          <w:rFonts w:eastAsia="Times New Roman" w:cs="Times New Roman"/>
          <w:szCs w:val="24"/>
        </w:rPr>
        <w:t xml:space="preserve"> pathways –especially nitrogen-related genes– within a duplication-</w:t>
      </w:r>
      <w:r w:rsidR="006218CA">
        <w:rPr>
          <w:rFonts w:eastAsia="Times New Roman" w:cs="Times New Roman"/>
          <w:szCs w:val="24"/>
        </w:rPr>
        <w:t xml:space="preserve">aware </w:t>
      </w:r>
      <w:r w:rsidR="004A2A77">
        <w:rPr>
          <w:rFonts w:eastAsia="Times New Roman" w:cs="Times New Roman"/>
          <w:szCs w:val="24"/>
        </w:rPr>
        <w:t>framework.</w:t>
      </w:r>
    </w:p>
    <w:p w14:paraId="73C668E5" w14:textId="77777777" w:rsidR="00541247" w:rsidRDefault="008E5528" w:rsidP="00F95EC9">
      <w:pPr>
        <w:rPr>
          <w:rFonts w:eastAsia="Times New Roman" w:cs="Times New Roman"/>
          <w:szCs w:val="24"/>
        </w:rPr>
      </w:pPr>
      <w:r w:rsidRPr="007330E0">
        <w:rPr>
          <w:rFonts w:eastAsia="Times New Roman" w:cs="Times New Roman"/>
          <w:szCs w:val="24"/>
        </w:rPr>
        <w:t xml:space="preserve">Both assemblies are highly complete: the </w:t>
      </w:r>
      <w:r w:rsidRPr="007330E0">
        <w:rPr>
          <w:rFonts w:eastAsia="Times New Roman" w:cs="Times New Roman"/>
          <w:i/>
          <w:iCs/>
          <w:szCs w:val="24"/>
        </w:rPr>
        <w:t xml:space="preserve">H. </w:t>
      </w:r>
      <w:proofErr w:type="spellStart"/>
      <w:r w:rsidRPr="007330E0">
        <w:rPr>
          <w:rFonts w:eastAsia="Times New Roman" w:cs="Times New Roman"/>
          <w:i/>
          <w:iCs/>
          <w:szCs w:val="24"/>
        </w:rPr>
        <w:t>moseleyanum</w:t>
      </w:r>
      <w:proofErr w:type="spellEnd"/>
      <w:r w:rsidRPr="007330E0">
        <w:rPr>
          <w:rFonts w:eastAsia="Times New Roman" w:cs="Times New Roman"/>
          <w:szCs w:val="24"/>
        </w:rPr>
        <w:t xml:space="preserve"> assembly recovers 81.9% of the flow cytometry-estimated genome (3.12 Gb of 3.81 Gb), while the </w:t>
      </w:r>
      <w:r w:rsidRPr="007330E0">
        <w:rPr>
          <w:rFonts w:eastAsia="Times New Roman" w:cs="Times New Roman"/>
          <w:i/>
          <w:iCs/>
          <w:szCs w:val="24"/>
        </w:rPr>
        <w:t xml:space="preserve">M. </w:t>
      </w:r>
      <w:proofErr w:type="spellStart"/>
      <w:r w:rsidRPr="007330E0">
        <w:rPr>
          <w:rFonts w:eastAsia="Times New Roman" w:cs="Times New Roman"/>
          <w:i/>
          <w:iCs/>
          <w:szCs w:val="24"/>
        </w:rPr>
        <w:t>beccarii</w:t>
      </w:r>
      <w:proofErr w:type="spellEnd"/>
      <w:r w:rsidRPr="007330E0">
        <w:rPr>
          <w:rFonts w:eastAsia="Times New Roman" w:cs="Times New Roman"/>
          <w:szCs w:val="24"/>
        </w:rPr>
        <w:t xml:space="preserve"> assembly recovers 89.7% (1.40 Gb of 1.56 Gb). The missing fractions in both cases are attributable to highly repetitive or heterochromatic regions that are recalcitrant to assembly with current long-read approaches and do not correspond to gene-rich euchromatin. This is directly supported by the near-complete BUSCO scores (~98–99%), which demonstrate that the gene space is comprehensively represented in both assemblies. </w:t>
      </w:r>
    </w:p>
    <w:p w14:paraId="00000144" w14:textId="1CD70247" w:rsidR="00E420E3" w:rsidRDefault="008E5528" w:rsidP="00F95EC9">
      <w:r w:rsidRPr="007330E0">
        <w:rPr>
          <w:rFonts w:eastAsia="Times New Roman" w:cs="Times New Roman"/>
          <w:szCs w:val="24"/>
        </w:rPr>
        <w:t xml:space="preserve">Accordingly, the downstream analyses in this thesis including gene prediction, duplication classification, nitrogen-transporter identification, and transcriptomic read mapping are robustly supported by the assembled sequence data. The ploidy assignments for both species (tetraploid-like for </w:t>
      </w:r>
      <w:r w:rsidRPr="007330E0">
        <w:rPr>
          <w:rFonts w:eastAsia="Times New Roman" w:cs="Times New Roman"/>
          <w:i/>
          <w:iCs/>
          <w:szCs w:val="24"/>
        </w:rPr>
        <w:t xml:space="preserve">H. </w:t>
      </w:r>
      <w:proofErr w:type="spellStart"/>
      <w:r w:rsidRPr="007330E0">
        <w:rPr>
          <w:rFonts w:eastAsia="Times New Roman" w:cs="Times New Roman"/>
          <w:i/>
          <w:iCs/>
          <w:szCs w:val="24"/>
        </w:rPr>
        <w:t>moseleyanum</w:t>
      </w:r>
      <w:proofErr w:type="spellEnd"/>
      <w:r w:rsidRPr="007330E0">
        <w:rPr>
          <w:rFonts w:eastAsia="Times New Roman" w:cs="Times New Roman"/>
          <w:szCs w:val="24"/>
        </w:rPr>
        <w:t xml:space="preserve">; diploid for </w:t>
      </w:r>
      <w:r w:rsidRPr="007330E0">
        <w:rPr>
          <w:rFonts w:eastAsia="Times New Roman" w:cs="Times New Roman"/>
          <w:i/>
          <w:iCs/>
          <w:szCs w:val="24"/>
        </w:rPr>
        <w:t xml:space="preserve">M. </w:t>
      </w:r>
      <w:proofErr w:type="spellStart"/>
      <w:r w:rsidRPr="007330E0">
        <w:rPr>
          <w:rFonts w:eastAsia="Times New Roman" w:cs="Times New Roman"/>
          <w:i/>
          <w:iCs/>
          <w:szCs w:val="24"/>
        </w:rPr>
        <w:t>beccarii</w:t>
      </w:r>
      <w:proofErr w:type="spellEnd"/>
      <w:r w:rsidRPr="007330E0">
        <w:rPr>
          <w:rFonts w:eastAsia="Times New Roman" w:cs="Times New Roman"/>
          <w:szCs w:val="24"/>
        </w:rPr>
        <w:t xml:space="preserve">) remain tentative and should be confirmed by chromosome-level scaffolding or independent cytogenetic evidence; however, these uncertainties do not affect the reliability of the gene-level analyses presented in subsequent chapters, as the gene models and duplication </w:t>
      </w:r>
      <w:r w:rsidR="00DD3EA4" w:rsidRPr="007330E0">
        <w:rPr>
          <w:rFonts w:eastAsia="Times New Roman" w:cs="Times New Roman"/>
          <w:szCs w:val="24"/>
        </w:rPr>
        <w:t>classifications derive</w:t>
      </w:r>
      <w:r w:rsidRPr="007330E0">
        <w:rPr>
          <w:rFonts w:eastAsia="Times New Roman" w:cs="Times New Roman"/>
          <w:szCs w:val="24"/>
        </w:rPr>
        <w:t xml:space="preserve"> from the assembled sequence itself rather than from ploidy inference.</w:t>
      </w:r>
    </w:p>
    <w:p w14:paraId="00000145" w14:textId="77777777" w:rsidR="00E420E3" w:rsidRDefault="008E5528" w:rsidP="007330E0">
      <w:pPr>
        <w:pStyle w:val="Heading4"/>
      </w:pPr>
      <w:bookmarkStart w:id="37" w:name="_Toc235392983"/>
      <w:r>
        <w:t>2.5.2 Nitrogen-related candidate genes in a duplication-aware comparative framework</w:t>
      </w:r>
      <w:bookmarkEnd w:id="37"/>
      <w:r>
        <w:t xml:space="preserve">  </w:t>
      </w:r>
    </w:p>
    <w:p w14:paraId="7A8BCD51" w14:textId="28566DC5" w:rsidR="00541247" w:rsidRDefault="008E5528" w:rsidP="0028329B">
      <w:pPr>
        <w:rPr>
          <w:rFonts w:eastAsia="Times New Roman" w:cs="Times New Roman"/>
          <w:szCs w:val="24"/>
        </w:rPr>
      </w:pPr>
      <w:r>
        <w:rPr>
          <w:rFonts w:eastAsia="Times New Roman" w:cs="Times New Roman"/>
          <w:szCs w:val="24"/>
        </w:rPr>
        <w:t xml:space="preserve">Within a focused set of nitrogen-uptake candidates, duplication-mode classification </w:t>
      </w:r>
      <w:r w:rsidR="00DD3EA4">
        <w:rPr>
          <w:rFonts w:eastAsia="Times New Roman" w:cs="Times New Roman"/>
          <w:szCs w:val="24"/>
        </w:rPr>
        <w:t>indicates that</w:t>
      </w:r>
      <w:r>
        <w:rPr>
          <w:rFonts w:eastAsia="Times New Roman" w:cs="Times New Roman"/>
          <w:szCs w:val="24"/>
        </w:rPr>
        <w:t xml:space="preserve"> the ammonium transporter loci </w:t>
      </w:r>
      <w:r>
        <w:rPr>
          <w:rFonts w:eastAsia="Times New Roman" w:cs="Times New Roman"/>
          <w:i/>
          <w:iCs/>
          <w:szCs w:val="24"/>
        </w:rPr>
        <w:t xml:space="preserve">Hm_AMT1 </w:t>
      </w:r>
      <w:r>
        <w:rPr>
          <w:rFonts w:eastAsia="Times New Roman" w:cs="Times New Roman"/>
          <w:szCs w:val="24"/>
        </w:rPr>
        <w:t xml:space="preserve">and </w:t>
      </w:r>
      <w:r>
        <w:rPr>
          <w:rFonts w:eastAsia="Times New Roman" w:cs="Times New Roman"/>
          <w:i/>
          <w:iCs/>
          <w:szCs w:val="24"/>
        </w:rPr>
        <w:t xml:space="preserve">Hm_AMT2 </w:t>
      </w:r>
      <w:r>
        <w:rPr>
          <w:rFonts w:eastAsia="Times New Roman" w:cs="Times New Roman"/>
          <w:szCs w:val="24"/>
        </w:rPr>
        <w:t>fall within the WGD/</w:t>
      </w:r>
      <w:r w:rsidR="006218CA">
        <w:rPr>
          <w:rFonts w:eastAsia="Times New Roman" w:cs="Times New Roman"/>
          <w:szCs w:val="24"/>
        </w:rPr>
        <w:t>segmental duplicate</w:t>
      </w:r>
      <w:r>
        <w:rPr>
          <w:rFonts w:eastAsia="Times New Roman" w:cs="Times New Roman"/>
          <w:szCs w:val="24"/>
        </w:rPr>
        <w:t xml:space="preserve"> class. Several high-affinity nitrate uptake candidates (</w:t>
      </w:r>
      <w:r>
        <w:rPr>
          <w:rFonts w:eastAsia="Times New Roman" w:cs="Times New Roman"/>
          <w:i/>
          <w:iCs/>
          <w:szCs w:val="24"/>
        </w:rPr>
        <w:t>Hm_NAR21</w:t>
      </w:r>
      <w:r>
        <w:rPr>
          <w:rFonts w:eastAsia="Times New Roman" w:cs="Times New Roman"/>
          <w:szCs w:val="24"/>
        </w:rPr>
        <w:t>–</w:t>
      </w:r>
      <w:r>
        <w:rPr>
          <w:rFonts w:eastAsia="Times New Roman" w:cs="Times New Roman"/>
          <w:i/>
          <w:iCs/>
          <w:szCs w:val="24"/>
        </w:rPr>
        <w:t>Hm_NAR23</w:t>
      </w:r>
      <w:r w:rsidR="006218CA">
        <w:rPr>
          <w:rFonts w:eastAsia="Times New Roman" w:cs="Times New Roman"/>
          <w:szCs w:val="24"/>
        </w:rPr>
        <w:t>), annotated</w:t>
      </w:r>
      <w:r>
        <w:rPr>
          <w:rFonts w:eastAsia="Times New Roman" w:cs="Times New Roman"/>
          <w:szCs w:val="24"/>
        </w:rPr>
        <w:t xml:space="preserve"> as NAR2/NRT3-like partner proteins required for NRT2-mediated </w:t>
      </w:r>
      <w:r w:rsidR="006218CA">
        <w:rPr>
          <w:rFonts w:eastAsia="Times New Roman" w:cs="Times New Roman"/>
          <w:szCs w:val="24"/>
        </w:rPr>
        <w:t>transport (</w:t>
      </w:r>
      <w:r>
        <w:rPr>
          <w:rFonts w:eastAsia="Times New Roman" w:cs="Times New Roman"/>
          <w:szCs w:val="24"/>
        </w:rPr>
        <w:t xml:space="preserve">Okamoto et al., 2006; Qiao et al., 2019), are also classified as WGD/segmental duplicates </w:t>
      </w:r>
      <w:r w:rsidR="006218CA">
        <w:rPr>
          <w:rFonts w:eastAsia="Times New Roman" w:cs="Times New Roman"/>
          <w:szCs w:val="24"/>
        </w:rPr>
        <w:t>in our duplication</w:t>
      </w:r>
      <w:r>
        <w:rPr>
          <w:rFonts w:eastAsia="Times New Roman" w:cs="Times New Roman"/>
          <w:szCs w:val="24"/>
        </w:rPr>
        <w:t xml:space="preserve">-mode analysis. </w:t>
      </w:r>
    </w:p>
    <w:p w14:paraId="0C17A662" w14:textId="286C228A" w:rsidR="00541247" w:rsidRDefault="008E5528" w:rsidP="0028329B">
      <w:pPr>
        <w:rPr>
          <w:rFonts w:eastAsia="Times New Roman" w:cs="Times New Roman"/>
          <w:szCs w:val="24"/>
        </w:rPr>
      </w:pPr>
      <w:r>
        <w:rPr>
          <w:rFonts w:eastAsia="Times New Roman" w:cs="Times New Roman"/>
          <w:szCs w:val="24"/>
        </w:rPr>
        <w:t>At the genome-wide level, k-</w:t>
      </w:r>
      <w:proofErr w:type="spellStart"/>
      <w:r>
        <w:rPr>
          <w:rFonts w:eastAsia="Times New Roman" w:cs="Times New Roman"/>
          <w:szCs w:val="24"/>
        </w:rPr>
        <w:t>mer</w:t>
      </w:r>
      <w:proofErr w:type="spellEnd"/>
      <w:r>
        <w:rPr>
          <w:rFonts w:eastAsia="Times New Roman" w:cs="Times New Roman"/>
          <w:szCs w:val="24"/>
        </w:rPr>
        <w:t xml:space="preserve"> profiling and the </w:t>
      </w:r>
      <w:r w:rsidR="006218CA">
        <w:rPr>
          <w:rFonts w:eastAsia="Times New Roman" w:cs="Times New Roman"/>
          <w:szCs w:val="24"/>
        </w:rPr>
        <w:t>strong excess</w:t>
      </w:r>
      <w:r>
        <w:rPr>
          <w:rFonts w:eastAsia="Times New Roman" w:cs="Times New Roman"/>
          <w:szCs w:val="24"/>
        </w:rPr>
        <w:t xml:space="preserve"> of duplicated BUSCOs in </w:t>
      </w:r>
      <w:r>
        <w:rPr>
          <w:rFonts w:eastAsia="Times New Roman" w:cs="Times New Roman"/>
          <w:i/>
          <w:iCs/>
          <w:szCs w:val="24"/>
        </w:rPr>
        <w:t xml:space="preserve">H. </w:t>
      </w:r>
      <w:proofErr w:type="spellStart"/>
      <w:r>
        <w:rPr>
          <w:rFonts w:eastAsia="Times New Roman" w:cs="Times New Roman"/>
          <w:i/>
          <w:iCs/>
          <w:szCs w:val="24"/>
        </w:rPr>
        <w:t>moseleyanum</w:t>
      </w:r>
      <w:proofErr w:type="spellEnd"/>
      <w:r>
        <w:rPr>
          <w:rFonts w:eastAsia="Times New Roman" w:cs="Times New Roman"/>
          <w:i/>
          <w:iCs/>
          <w:szCs w:val="24"/>
        </w:rPr>
        <w:t xml:space="preserve"> </w:t>
      </w:r>
      <w:r>
        <w:rPr>
          <w:rFonts w:eastAsia="Times New Roman" w:cs="Times New Roman"/>
          <w:szCs w:val="24"/>
        </w:rPr>
        <w:t>together support a duplication-</w:t>
      </w:r>
      <w:r w:rsidR="006218CA">
        <w:rPr>
          <w:rFonts w:eastAsia="Times New Roman" w:cs="Times New Roman"/>
          <w:szCs w:val="24"/>
        </w:rPr>
        <w:t>rich (</w:t>
      </w:r>
      <w:proofErr w:type="spellStart"/>
      <w:r>
        <w:rPr>
          <w:rFonts w:eastAsia="Times New Roman" w:cs="Times New Roman"/>
          <w:szCs w:val="24"/>
        </w:rPr>
        <w:t>etraploid</w:t>
      </w:r>
      <w:proofErr w:type="spellEnd"/>
      <w:r>
        <w:rPr>
          <w:rFonts w:eastAsia="Times New Roman" w:cs="Times New Roman"/>
          <w:szCs w:val="24"/>
        </w:rPr>
        <w:t xml:space="preserve">-like) genomic architecture relative to the diploid-like, largely single-copy profile </w:t>
      </w:r>
      <w:r w:rsidR="006218CA">
        <w:rPr>
          <w:rFonts w:eastAsia="Times New Roman" w:cs="Times New Roman"/>
          <w:szCs w:val="24"/>
        </w:rPr>
        <w:t>of M.</w:t>
      </w:r>
      <w:r>
        <w:rPr>
          <w:rFonts w:eastAsia="Times New Roman" w:cs="Times New Roman"/>
          <w:i/>
          <w:iCs/>
          <w:szCs w:val="24"/>
        </w:rPr>
        <w:t xml:space="preserve"> </w:t>
      </w:r>
      <w:proofErr w:type="spellStart"/>
      <w:r>
        <w:rPr>
          <w:rFonts w:eastAsia="Times New Roman" w:cs="Times New Roman"/>
          <w:i/>
          <w:iCs/>
          <w:szCs w:val="24"/>
        </w:rPr>
        <w:t>beccarii</w:t>
      </w:r>
      <w:proofErr w:type="spellEnd"/>
      <w:r>
        <w:rPr>
          <w:rFonts w:eastAsia="Times New Roman" w:cs="Times New Roman"/>
          <w:szCs w:val="24"/>
        </w:rPr>
        <w:t xml:space="preserve">. The ploidy and duplication contrast matters for how nitrogen-related genes </w:t>
      </w:r>
      <w:r w:rsidR="006218CA">
        <w:rPr>
          <w:rFonts w:eastAsia="Times New Roman" w:cs="Times New Roman"/>
          <w:szCs w:val="24"/>
        </w:rPr>
        <w:t>are interpreted</w:t>
      </w:r>
      <w:r>
        <w:rPr>
          <w:rFonts w:eastAsia="Times New Roman" w:cs="Times New Roman"/>
          <w:szCs w:val="24"/>
        </w:rPr>
        <w:t xml:space="preserve"> in later analyses. First, differences in apparent copy number between species </w:t>
      </w:r>
      <w:r w:rsidR="006218CA">
        <w:rPr>
          <w:rFonts w:eastAsia="Times New Roman" w:cs="Times New Roman"/>
          <w:szCs w:val="24"/>
        </w:rPr>
        <w:t>cannot be</w:t>
      </w:r>
      <w:r>
        <w:rPr>
          <w:rFonts w:eastAsia="Times New Roman" w:cs="Times New Roman"/>
          <w:szCs w:val="24"/>
        </w:rPr>
        <w:t xml:space="preserve"> assumed to represent true biological expansion, because duplication-rich genomes are </w:t>
      </w:r>
      <w:r w:rsidR="006218CA">
        <w:rPr>
          <w:rFonts w:eastAsia="Times New Roman" w:cs="Times New Roman"/>
          <w:szCs w:val="24"/>
        </w:rPr>
        <w:t xml:space="preserve">more prone </w:t>
      </w:r>
      <w:r>
        <w:rPr>
          <w:rFonts w:eastAsia="Times New Roman" w:cs="Times New Roman"/>
          <w:szCs w:val="24"/>
        </w:rPr>
        <w:t xml:space="preserve">to redundant sequence retention and gene-model fragmentation or splitting; copy number comparisons therefore need to be made using explicit orthology and careful curation of gene models. </w:t>
      </w:r>
    </w:p>
    <w:p w14:paraId="00000147" w14:textId="28BA7D0A" w:rsidR="00E420E3" w:rsidRDefault="008E5528" w:rsidP="0028329B">
      <w:pPr>
        <w:rPr>
          <w:color w:val="000000"/>
        </w:rPr>
      </w:pPr>
      <w:r>
        <w:rPr>
          <w:rFonts w:eastAsia="Times New Roman" w:cs="Times New Roman"/>
          <w:szCs w:val="24"/>
        </w:rPr>
        <w:lastRenderedPageBreak/>
        <w:t xml:space="preserve">Second, when genes occur as close paralogs, transcriptomic inference </w:t>
      </w:r>
      <w:r w:rsidR="006218CA">
        <w:rPr>
          <w:rFonts w:eastAsia="Times New Roman" w:cs="Times New Roman"/>
          <w:szCs w:val="24"/>
        </w:rPr>
        <w:t>becomes technically</w:t>
      </w:r>
      <w:r>
        <w:rPr>
          <w:rFonts w:eastAsia="Times New Roman" w:cs="Times New Roman"/>
          <w:szCs w:val="24"/>
        </w:rPr>
        <w:t xml:space="preserve"> more challenging, because reads may map ambiguously among similar copies; </w:t>
      </w:r>
      <w:r w:rsidR="006218CA">
        <w:rPr>
          <w:rFonts w:eastAsia="Times New Roman" w:cs="Times New Roman"/>
          <w:szCs w:val="24"/>
        </w:rPr>
        <w:t>this makes</w:t>
      </w:r>
      <w:r>
        <w:rPr>
          <w:rFonts w:eastAsia="Times New Roman" w:cs="Times New Roman"/>
          <w:szCs w:val="24"/>
        </w:rPr>
        <w:t xml:space="preserve"> duplication-aware mapping and conservative interpretation of gene-specific</w:t>
      </w:r>
      <w:r w:rsidR="006218CA">
        <w:rPr>
          <w:rFonts w:eastAsia="Times New Roman" w:cs="Times New Roman"/>
          <w:szCs w:val="24"/>
        </w:rPr>
        <w:t xml:space="preserve"> expression essential</w:t>
      </w:r>
      <w:r>
        <w:rPr>
          <w:rFonts w:eastAsia="Times New Roman" w:cs="Times New Roman"/>
          <w:szCs w:val="24"/>
        </w:rPr>
        <w:t>. More broadly, identifying nitrogen-related loci that fall within WGD/</w:t>
      </w:r>
      <w:r w:rsidR="006218CA">
        <w:rPr>
          <w:rFonts w:eastAsia="Times New Roman" w:cs="Times New Roman"/>
          <w:szCs w:val="24"/>
        </w:rPr>
        <w:t>segmental duplication</w:t>
      </w:r>
      <w:r>
        <w:rPr>
          <w:rFonts w:eastAsia="Times New Roman" w:cs="Times New Roman"/>
          <w:szCs w:val="24"/>
        </w:rPr>
        <w:t xml:space="preserve"> classes is useful because it flags gene families where </w:t>
      </w:r>
      <w:proofErr w:type="spellStart"/>
      <w:r>
        <w:rPr>
          <w:rFonts w:eastAsia="Times New Roman" w:cs="Times New Roman"/>
          <w:szCs w:val="24"/>
        </w:rPr>
        <w:t>paralogy</w:t>
      </w:r>
      <w:proofErr w:type="spellEnd"/>
      <w:r>
        <w:rPr>
          <w:rFonts w:eastAsia="Times New Roman" w:cs="Times New Roman"/>
          <w:szCs w:val="24"/>
        </w:rPr>
        <w:t xml:space="preserve"> is likely and </w:t>
      </w:r>
      <w:r w:rsidR="006218CA">
        <w:rPr>
          <w:rFonts w:eastAsia="Times New Roman" w:cs="Times New Roman"/>
          <w:szCs w:val="24"/>
        </w:rPr>
        <w:t>where orthology</w:t>
      </w:r>
      <w:r>
        <w:rPr>
          <w:rFonts w:eastAsia="Times New Roman" w:cs="Times New Roman"/>
          <w:szCs w:val="24"/>
        </w:rPr>
        <w:t xml:space="preserve"> and expression assignments require particular care (</w:t>
      </w:r>
      <w:proofErr w:type="spellStart"/>
      <w:r>
        <w:rPr>
          <w:rFonts w:eastAsia="Times New Roman" w:cs="Times New Roman"/>
          <w:szCs w:val="24"/>
        </w:rPr>
        <w:t>Panchy</w:t>
      </w:r>
      <w:proofErr w:type="spellEnd"/>
      <w:r>
        <w:rPr>
          <w:rFonts w:eastAsia="Times New Roman" w:cs="Times New Roman"/>
          <w:szCs w:val="24"/>
        </w:rPr>
        <w:t xml:space="preserve"> et al., 2016; Van de </w:t>
      </w:r>
      <w:r w:rsidR="006218CA">
        <w:rPr>
          <w:rFonts w:eastAsia="Times New Roman" w:cs="Times New Roman"/>
          <w:szCs w:val="24"/>
        </w:rPr>
        <w:t>Per et al.</w:t>
      </w:r>
      <w:r>
        <w:rPr>
          <w:rFonts w:eastAsia="Times New Roman" w:cs="Times New Roman"/>
          <w:szCs w:val="24"/>
        </w:rPr>
        <w:t xml:space="preserve"> 2017). Establishing this duplication-aware framework helps ensure that </w:t>
      </w:r>
      <w:r w:rsidR="006218CA">
        <w:rPr>
          <w:rFonts w:eastAsia="Times New Roman" w:cs="Times New Roman"/>
          <w:szCs w:val="24"/>
        </w:rPr>
        <w:t>downstream transcriptomic</w:t>
      </w:r>
      <w:r>
        <w:rPr>
          <w:rFonts w:eastAsia="Times New Roman" w:cs="Times New Roman"/>
          <w:szCs w:val="24"/>
        </w:rPr>
        <w:t xml:space="preserve"> results are attributed to biological regulation rather than to mapping </w:t>
      </w:r>
      <w:r w:rsidR="006218CA">
        <w:rPr>
          <w:rFonts w:eastAsia="Times New Roman" w:cs="Times New Roman"/>
          <w:szCs w:val="24"/>
        </w:rPr>
        <w:t>ambiguity or</w:t>
      </w:r>
      <w:r>
        <w:rPr>
          <w:rFonts w:eastAsia="Times New Roman" w:cs="Times New Roman"/>
          <w:szCs w:val="24"/>
        </w:rPr>
        <w:t xml:space="preserve"> residual annotation redundancy.</w:t>
      </w:r>
      <w:r>
        <w:rPr>
          <w:color w:val="000000"/>
        </w:rPr>
        <w:t xml:space="preserve"> </w:t>
      </w:r>
    </w:p>
    <w:p w14:paraId="418C59C1" w14:textId="77777777" w:rsidR="00024DFC" w:rsidRDefault="00024DFC" w:rsidP="0028329B">
      <w:pPr>
        <w:rPr>
          <w:color w:val="000000"/>
        </w:rPr>
      </w:pPr>
    </w:p>
    <w:p w14:paraId="2763613F" w14:textId="77777777" w:rsidR="00024DFC" w:rsidRDefault="00024DFC" w:rsidP="0028329B">
      <w:pPr>
        <w:rPr>
          <w:color w:val="000000"/>
        </w:rPr>
      </w:pPr>
    </w:p>
    <w:p w14:paraId="6A550E16" w14:textId="77777777" w:rsidR="00024DFC" w:rsidRDefault="00024DFC" w:rsidP="0028329B">
      <w:pPr>
        <w:rPr>
          <w:color w:val="000000"/>
        </w:rPr>
      </w:pPr>
    </w:p>
    <w:p w14:paraId="1451F641" w14:textId="77777777" w:rsidR="00024DFC" w:rsidRDefault="00024DFC" w:rsidP="0028329B">
      <w:pPr>
        <w:rPr>
          <w:color w:val="000000"/>
        </w:rPr>
      </w:pPr>
    </w:p>
    <w:p w14:paraId="49B0231C" w14:textId="77777777" w:rsidR="00024DFC" w:rsidRDefault="00024DFC" w:rsidP="0028329B">
      <w:pPr>
        <w:rPr>
          <w:color w:val="000000"/>
        </w:rPr>
      </w:pPr>
    </w:p>
    <w:p w14:paraId="7CB87E46" w14:textId="77777777" w:rsidR="00024DFC" w:rsidRDefault="00024DFC" w:rsidP="0028329B">
      <w:pPr>
        <w:rPr>
          <w:color w:val="000000"/>
        </w:rPr>
      </w:pPr>
    </w:p>
    <w:p w14:paraId="1036D0F8" w14:textId="77777777" w:rsidR="00024DFC" w:rsidRDefault="00024DFC" w:rsidP="0028329B">
      <w:pPr>
        <w:rPr>
          <w:color w:val="000000"/>
        </w:rPr>
      </w:pPr>
    </w:p>
    <w:p w14:paraId="44FDB357" w14:textId="77777777" w:rsidR="00024DFC" w:rsidRDefault="00024DFC" w:rsidP="0028329B">
      <w:pPr>
        <w:rPr>
          <w:color w:val="000000"/>
        </w:rPr>
      </w:pPr>
    </w:p>
    <w:p w14:paraId="526FF37D" w14:textId="77777777" w:rsidR="00024DFC" w:rsidRDefault="00024DFC" w:rsidP="0028329B">
      <w:pPr>
        <w:rPr>
          <w:color w:val="000000"/>
        </w:rPr>
      </w:pPr>
    </w:p>
    <w:p w14:paraId="534231B0" w14:textId="77777777" w:rsidR="00024DFC" w:rsidRDefault="00024DFC" w:rsidP="0028329B">
      <w:pPr>
        <w:rPr>
          <w:color w:val="000000"/>
        </w:rPr>
      </w:pPr>
    </w:p>
    <w:p w14:paraId="18C35DEC" w14:textId="77777777" w:rsidR="00024DFC" w:rsidRDefault="00024DFC" w:rsidP="0028329B">
      <w:pPr>
        <w:rPr>
          <w:color w:val="000000"/>
        </w:rPr>
      </w:pPr>
    </w:p>
    <w:p w14:paraId="300F64EB" w14:textId="77777777" w:rsidR="00024DFC" w:rsidRDefault="00024DFC" w:rsidP="0028329B">
      <w:pPr>
        <w:rPr>
          <w:color w:val="000000"/>
        </w:rPr>
      </w:pPr>
    </w:p>
    <w:p w14:paraId="4F8DE1BC" w14:textId="77777777" w:rsidR="00024DFC" w:rsidRDefault="00024DFC" w:rsidP="0028329B">
      <w:pPr>
        <w:rPr>
          <w:color w:val="000000"/>
        </w:rPr>
      </w:pPr>
    </w:p>
    <w:p w14:paraId="22F2D7D0" w14:textId="77777777" w:rsidR="00024DFC" w:rsidRDefault="00024DFC" w:rsidP="0028329B">
      <w:pPr>
        <w:rPr>
          <w:color w:val="000000"/>
        </w:rPr>
      </w:pPr>
    </w:p>
    <w:p w14:paraId="231E9989" w14:textId="77777777" w:rsidR="00024DFC" w:rsidRDefault="00024DFC" w:rsidP="0028329B">
      <w:pPr>
        <w:rPr>
          <w:color w:val="000000"/>
        </w:rPr>
      </w:pPr>
    </w:p>
    <w:p w14:paraId="37921F4A" w14:textId="77777777" w:rsidR="00024DFC" w:rsidRDefault="00024DFC" w:rsidP="0028329B">
      <w:pPr>
        <w:rPr>
          <w:color w:val="000000"/>
        </w:rPr>
      </w:pPr>
    </w:p>
    <w:p w14:paraId="00000148" w14:textId="77777777" w:rsidR="00E420E3" w:rsidRDefault="008E5528" w:rsidP="00024DFC">
      <w:pPr>
        <w:pStyle w:val="Heading3"/>
      </w:pPr>
      <w:bookmarkStart w:id="38" w:name="_Toc235392984"/>
      <w:r>
        <w:lastRenderedPageBreak/>
        <w:t>2.6 References</w:t>
      </w:r>
      <w:bookmarkEnd w:id="38"/>
      <w:r>
        <w:t xml:space="preserve"> </w:t>
      </w:r>
    </w:p>
    <w:p w14:paraId="0000014B" w14:textId="536B48A1" w:rsidR="00E420E3" w:rsidRPr="001D7053" w:rsidRDefault="008E5528" w:rsidP="00024DFC">
      <w:pPr>
        <w:ind w:left="567" w:hanging="567"/>
      </w:pPr>
      <w:r w:rsidRPr="001D7053">
        <w:t>Altschul, S. F., Gish, W., Miller, W., Myers, E. W.</w:t>
      </w:r>
      <w:r w:rsidR="00A45624">
        <w:t>,</w:t>
      </w:r>
      <w:r w:rsidRPr="001D7053">
        <w:t xml:space="preserve"> </w:t>
      </w:r>
      <w:r w:rsidR="006C78A4">
        <w:t>and</w:t>
      </w:r>
      <w:r w:rsidRPr="001D7053">
        <w:t xml:space="preserve"> Lipman, D. J. (1990). Basic local alignment search tool. </w:t>
      </w:r>
      <w:r w:rsidRPr="002C7F0A">
        <w:rPr>
          <w:i/>
          <w:iCs/>
        </w:rPr>
        <w:t>Journal of Molecular Biology</w:t>
      </w:r>
      <w:r w:rsidRPr="001D7053">
        <w:t xml:space="preserve">, </w:t>
      </w:r>
      <w:r w:rsidRPr="006C58E1">
        <w:rPr>
          <w:i/>
          <w:iCs/>
        </w:rPr>
        <w:t>215</w:t>
      </w:r>
      <w:r w:rsidRPr="001D7053">
        <w:t>(3), 403–410.</w:t>
      </w:r>
    </w:p>
    <w:p w14:paraId="0000014C" w14:textId="78EE9EF4" w:rsidR="00E420E3" w:rsidRDefault="008E5528" w:rsidP="00024DFC">
      <w:pPr>
        <w:ind w:left="567" w:hanging="567"/>
      </w:pPr>
      <w:r>
        <w:t>Challis, R., Richards, E., Rajan, J., Cochrane, G.</w:t>
      </w:r>
      <w:r w:rsidR="00A45624">
        <w:t>,</w:t>
      </w:r>
      <w:r>
        <w:t xml:space="preserve"> and </w:t>
      </w:r>
      <w:proofErr w:type="spellStart"/>
      <w:r>
        <w:t>Blaxter</w:t>
      </w:r>
      <w:proofErr w:type="spellEnd"/>
      <w:r>
        <w:t xml:space="preserve">, M. (2020). </w:t>
      </w:r>
      <w:proofErr w:type="spellStart"/>
      <w:r>
        <w:t>BlobToolKit</w:t>
      </w:r>
      <w:proofErr w:type="spellEnd"/>
      <w:r>
        <w:t xml:space="preserve"> - Interactive </w:t>
      </w:r>
      <w:r w:rsidR="00A846A5">
        <w:t>q</w:t>
      </w:r>
      <w:r>
        <w:t xml:space="preserve">uality </w:t>
      </w:r>
      <w:r w:rsidR="00A846A5">
        <w:t>a</w:t>
      </w:r>
      <w:r>
        <w:t xml:space="preserve">ssessment of </w:t>
      </w:r>
      <w:r w:rsidR="00A846A5">
        <w:t>g</w:t>
      </w:r>
      <w:r>
        <w:t xml:space="preserve">enome </w:t>
      </w:r>
      <w:r w:rsidR="00A846A5">
        <w:t>a</w:t>
      </w:r>
      <w:r>
        <w:t xml:space="preserve">ssemblies. </w:t>
      </w:r>
      <w:r>
        <w:rPr>
          <w:i/>
          <w:iCs/>
        </w:rPr>
        <w:t xml:space="preserve">G3: </w:t>
      </w:r>
      <w:proofErr w:type="spellStart"/>
      <w:r>
        <w:rPr>
          <w:i/>
          <w:iCs/>
        </w:rPr>
        <w:t>Genes|Genomics|</w:t>
      </w:r>
      <w:r w:rsidR="007850AE">
        <w:rPr>
          <w:i/>
          <w:iCs/>
        </w:rPr>
        <w:t>Genetics</w:t>
      </w:r>
      <w:proofErr w:type="spellEnd"/>
      <w:r w:rsidR="007850AE">
        <w:t>, 10</w:t>
      </w:r>
      <w:r>
        <w:t xml:space="preserve">(4), 1361–1374. </w:t>
      </w:r>
    </w:p>
    <w:p w14:paraId="0000014D" w14:textId="56F35533" w:rsidR="00E420E3" w:rsidRDefault="008E5528" w:rsidP="00024DFC">
      <w:pPr>
        <w:ind w:left="567" w:hanging="567"/>
      </w:pPr>
      <w:r>
        <w:t>Cheng, H., Concepcion, G.T., Feng, X., Zhang, H.</w:t>
      </w:r>
      <w:r w:rsidR="00A45624">
        <w:t>,</w:t>
      </w:r>
      <w:r>
        <w:t xml:space="preserve"> and Li, H. (2021). Haplotype-resolved </w:t>
      </w:r>
      <w:r w:rsidR="007850AE">
        <w:t>de novo</w:t>
      </w:r>
      <w:r>
        <w:t xml:space="preserve"> assembly using phased assembly graphs with </w:t>
      </w:r>
      <w:proofErr w:type="spellStart"/>
      <w:r>
        <w:t>hifiasm</w:t>
      </w:r>
      <w:proofErr w:type="spellEnd"/>
      <w:r>
        <w:t xml:space="preserve">. </w:t>
      </w:r>
      <w:r>
        <w:rPr>
          <w:i/>
          <w:iCs/>
        </w:rPr>
        <w:t>Nature Methods</w:t>
      </w:r>
      <w:r>
        <w:t xml:space="preserve">, </w:t>
      </w:r>
      <w:r>
        <w:rPr>
          <w:i/>
          <w:iCs/>
        </w:rPr>
        <w:t>18</w:t>
      </w:r>
      <w:r>
        <w:t xml:space="preserve">(2), 170– 175. </w:t>
      </w:r>
    </w:p>
    <w:p w14:paraId="0000014E" w14:textId="51E72CA1" w:rsidR="00E420E3" w:rsidRDefault="008E5528" w:rsidP="00024DFC">
      <w:pPr>
        <w:ind w:left="567" w:hanging="567"/>
      </w:pPr>
      <w:r>
        <w:t xml:space="preserve">Chomicki, G., </w:t>
      </w:r>
      <w:proofErr w:type="spellStart"/>
      <w:r>
        <w:t>Kadereit</w:t>
      </w:r>
      <w:proofErr w:type="spellEnd"/>
      <w:r>
        <w:t>, G., Renner, S.S.</w:t>
      </w:r>
      <w:r w:rsidR="00A45624">
        <w:t>,</w:t>
      </w:r>
      <w:r>
        <w:t xml:space="preserve"> and Kiers, E.T. (2020). Trade-offs in the </w:t>
      </w:r>
      <w:r w:rsidR="007850AE">
        <w:t>evolution of</w:t>
      </w:r>
      <w:r>
        <w:t xml:space="preserve"> plant farming by ants. </w:t>
      </w:r>
      <w:r w:rsidR="006C58E1" w:rsidRPr="006C58E1">
        <w:rPr>
          <w:i/>
          <w:iCs/>
        </w:rPr>
        <w:t>Proceedings of the National Academy of Sciences of the United States of America</w:t>
      </w:r>
      <w:r>
        <w:rPr>
          <w:i/>
          <w:iCs/>
        </w:rPr>
        <w:t>, 117</w:t>
      </w:r>
      <w:r>
        <w:t xml:space="preserve">(5), 2535–2543. </w:t>
      </w:r>
    </w:p>
    <w:p w14:paraId="0000014F" w14:textId="24419E57" w:rsidR="00E420E3" w:rsidRDefault="008E5528" w:rsidP="00024DFC">
      <w:pPr>
        <w:ind w:left="567" w:hanging="567"/>
      </w:pPr>
      <w:r>
        <w:t>Chomicki, G.</w:t>
      </w:r>
      <w:r w:rsidR="00A45624">
        <w:t>,</w:t>
      </w:r>
      <w:r>
        <w:t xml:space="preserve"> and Renner, S.S. (2015). Phylogenetics and molecular clocks reveal the </w:t>
      </w:r>
      <w:r w:rsidR="007850AE">
        <w:t>repeated evolution</w:t>
      </w:r>
      <w:r>
        <w:t xml:space="preserve"> of ant-plants after the late Miocene in Africa and the early Miocene </w:t>
      </w:r>
      <w:r w:rsidR="007850AE">
        <w:t>in Australasia</w:t>
      </w:r>
      <w:r>
        <w:t xml:space="preserve"> and the Neotropics. </w:t>
      </w:r>
      <w:r>
        <w:rPr>
          <w:i/>
          <w:iCs/>
        </w:rPr>
        <w:t>The New Phytologist</w:t>
      </w:r>
      <w:r>
        <w:t xml:space="preserve">, </w:t>
      </w:r>
      <w:r>
        <w:rPr>
          <w:i/>
          <w:iCs/>
        </w:rPr>
        <w:t>207</w:t>
      </w:r>
      <w:r>
        <w:t xml:space="preserve">(2), 411–424. </w:t>
      </w:r>
    </w:p>
    <w:p w14:paraId="00000150" w14:textId="788A0376" w:rsidR="00E420E3" w:rsidRPr="006C58E1" w:rsidRDefault="008E5528" w:rsidP="00024DFC">
      <w:pPr>
        <w:ind w:left="567" w:hanging="567"/>
      </w:pPr>
      <w:r w:rsidRPr="006C58E1">
        <w:t>Chomicki, G.</w:t>
      </w:r>
      <w:r w:rsidR="00A45624">
        <w:t>,</w:t>
      </w:r>
      <w:r w:rsidRPr="006C58E1">
        <w:t xml:space="preserve"> &amp; Renner, S. S. (2016). Obligate plant farming by a specialized ant. </w:t>
      </w:r>
      <w:r w:rsidRPr="006C58E1">
        <w:rPr>
          <w:i/>
          <w:iCs/>
        </w:rPr>
        <w:t>Nature Plants</w:t>
      </w:r>
      <w:r w:rsidRPr="006C58E1">
        <w:t xml:space="preserve">, </w:t>
      </w:r>
      <w:r w:rsidRPr="006C58E1">
        <w:rPr>
          <w:i/>
          <w:iCs/>
        </w:rPr>
        <w:t>2</w:t>
      </w:r>
      <w:r w:rsidRPr="006C58E1">
        <w:t>(12), 16181.</w:t>
      </w:r>
    </w:p>
    <w:p w14:paraId="00000151" w14:textId="5A2986EB" w:rsidR="00E420E3" w:rsidRDefault="008E5528" w:rsidP="00024DFC">
      <w:pPr>
        <w:ind w:left="567" w:hanging="567"/>
      </w:pPr>
      <w:r>
        <w:t>Chomicki, G.</w:t>
      </w:r>
      <w:r w:rsidR="00A45624">
        <w:t>,</w:t>
      </w:r>
      <w:r>
        <w:t xml:space="preserve"> and Renner, S.S. (2017). Partner abundance controls mutualism stability and </w:t>
      </w:r>
      <w:r w:rsidR="007850AE">
        <w:t>the pace</w:t>
      </w:r>
      <w:r>
        <w:t xml:space="preserve"> of morphological change over geologic time. </w:t>
      </w:r>
      <w:r w:rsidR="006C58E1" w:rsidRPr="006C58E1">
        <w:rPr>
          <w:i/>
          <w:iCs/>
        </w:rPr>
        <w:t>Proceedings of the National Academy of Sciences of the United States of America</w:t>
      </w:r>
      <w:r>
        <w:t xml:space="preserve">, </w:t>
      </w:r>
      <w:r>
        <w:rPr>
          <w:i/>
          <w:iCs/>
        </w:rPr>
        <w:t>114</w:t>
      </w:r>
      <w:r>
        <w:t>(15</w:t>
      </w:r>
      <w:r w:rsidR="007850AE">
        <w:t>), 3951</w:t>
      </w:r>
      <w:r>
        <w:t xml:space="preserve">–3956. </w:t>
      </w:r>
    </w:p>
    <w:p w14:paraId="00000152" w14:textId="0B5CC380" w:rsidR="00E420E3" w:rsidRDefault="008E5528" w:rsidP="00024DFC">
      <w:pPr>
        <w:ind w:left="567" w:hanging="567"/>
      </w:pPr>
      <w:r>
        <w:t xml:space="preserve">Chomicki, G., and Renner, S.S. (2019). Farming by ants remodels nutrient uptake </w:t>
      </w:r>
      <w:r w:rsidR="007850AE">
        <w:t>in epiphytes</w:t>
      </w:r>
      <w:r>
        <w:t xml:space="preserve">. </w:t>
      </w:r>
      <w:r>
        <w:rPr>
          <w:i/>
          <w:iCs/>
        </w:rPr>
        <w:t>The New Phytologist</w:t>
      </w:r>
      <w:r>
        <w:t xml:space="preserve">, </w:t>
      </w:r>
      <w:r w:rsidRPr="00A846A5">
        <w:rPr>
          <w:i/>
          <w:iCs/>
        </w:rPr>
        <w:t>223</w:t>
      </w:r>
      <w:r>
        <w:t xml:space="preserve">(4), 2011–2023.  </w:t>
      </w:r>
    </w:p>
    <w:p w14:paraId="00000153" w14:textId="224B7323" w:rsidR="00E420E3" w:rsidRDefault="008E5528" w:rsidP="00024DFC">
      <w:pPr>
        <w:ind w:left="567" w:hanging="567"/>
      </w:pPr>
      <w:r>
        <w:t xml:space="preserve">Guan, D., McCarthy, S.A., Wood, J., Howe, K., Wang, Y., and Durbin, R. (2020). </w:t>
      </w:r>
      <w:r w:rsidR="007850AE">
        <w:t>Identifying and</w:t>
      </w:r>
      <w:r>
        <w:t xml:space="preserve"> removing haplotypic duplication in primary </w:t>
      </w:r>
      <w:r w:rsidR="007850AE">
        <w:t>genome assemblies</w:t>
      </w:r>
      <w:r>
        <w:t xml:space="preserve">. </w:t>
      </w:r>
      <w:r>
        <w:rPr>
          <w:i/>
          <w:iCs/>
        </w:rPr>
        <w:t>Bioinformatics</w:t>
      </w:r>
      <w:r>
        <w:t xml:space="preserve">, </w:t>
      </w:r>
      <w:r>
        <w:rPr>
          <w:i/>
          <w:iCs/>
        </w:rPr>
        <w:t>36</w:t>
      </w:r>
      <w:r>
        <w:t xml:space="preserve">(9), 2896–2898.  </w:t>
      </w:r>
    </w:p>
    <w:p w14:paraId="00000154" w14:textId="5E080D69" w:rsidR="00E420E3" w:rsidRDefault="008E5528" w:rsidP="00024DFC">
      <w:pPr>
        <w:ind w:left="567" w:hanging="567"/>
      </w:pPr>
      <w:r>
        <w:t xml:space="preserve">Heil, M., and McKey, D. (2003). Protective ant–plant interactions as model systems </w:t>
      </w:r>
      <w:r w:rsidR="007850AE">
        <w:t>in ecological</w:t>
      </w:r>
      <w:r>
        <w:t xml:space="preserve"> and evolutionary research. </w:t>
      </w:r>
      <w:r>
        <w:rPr>
          <w:i/>
          <w:iCs/>
        </w:rPr>
        <w:t xml:space="preserve">Annual Review of Ecology, Evolution, </w:t>
      </w:r>
      <w:r w:rsidR="007850AE">
        <w:rPr>
          <w:i/>
          <w:iCs/>
        </w:rPr>
        <w:t>and Systematics</w:t>
      </w:r>
      <w:r>
        <w:t xml:space="preserve">, </w:t>
      </w:r>
      <w:r>
        <w:rPr>
          <w:i/>
          <w:iCs/>
        </w:rPr>
        <w:t>34</w:t>
      </w:r>
      <w:r>
        <w:t xml:space="preserve">, 425–53. </w:t>
      </w:r>
    </w:p>
    <w:p w14:paraId="00000155" w14:textId="15E15B77" w:rsidR="00E420E3" w:rsidRDefault="008E5528" w:rsidP="00024DFC">
      <w:pPr>
        <w:ind w:left="567" w:hanging="567"/>
      </w:pPr>
      <w:r>
        <w:lastRenderedPageBreak/>
        <w:t xml:space="preserve">Huxley, C.R. (1978). The ant-plants </w:t>
      </w:r>
      <w:proofErr w:type="spellStart"/>
      <w:r>
        <w:t>Myrmecodia</w:t>
      </w:r>
      <w:proofErr w:type="spellEnd"/>
      <w:r>
        <w:t xml:space="preserve"> and </w:t>
      </w:r>
      <w:proofErr w:type="spellStart"/>
      <w:r>
        <w:t>Hydnophytum</w:t>
      </w:r>
      <w:proofErr w:type="spellEnd"/>
      <w:r>
        <w:t xml:space="preserve"> (</w:t>
      </w:r>
      <w:proofErr w:type="spellStart"/>
      <w:r>
        <w:t>Rubiaceae</w:t>
      </w:r>
      <w:proofErr w:type="spellEnd"/>
      <w:r>
        <w:t xml:space="preserve">), and </w:t>
      </w:r>
      <w:r w:rsidR="007850AE">
        <w:t>the relationships</w:t>
      </w:r>
      <w:r>
        <w:t xml:space="preserve"> between their morphology, ant occupants, physiology and ecology. </w:t>
      </w:r>
      <w:r w:rsidR="007850AE">
        <w:rPr>
          <w:i/>
          <w:iCs/>
        </w:rPr>
        <w:t>The New</w:t>
      </w:r>
      <w:r>
        <w:rPr>
          <w:i/>
          <w:iCs/>
        </w:rPr>
        <w:t xml:space="preserve"> Phytologist</w:t>
      </w:r>
      <w:r>
        <w:t xml:space="preserve">, </w:t>
      </w:r>
      <w:r>
        <w:rPr>
          <w:i/>
          <w:iCs/>
        </w:rPr>
        <w:t>80</w:t>
      </w:r>
      <w:r>
        <w:t xml:space="preserve">(1), 229-246. </w:t>
      </w:r>
    </w:p>
    <w:p w14:paraId="00000157" w14:textId="1175CD33" w:rsidR="00E420E3" w:rsidRDefault="008E5528" w:rsidP="00A846A5">
      <w:pPr>
        <w:ind w:left="567" w:hanging="567"/>
      </w:pPr>
      <w:r>
        <w:t xml:space="preserve">Huxley, C.R. (1980). Symbiosis between ants and epiphytes. </w:t>
      </w:r>
      <w:r>
        <w:rPr>
          <w:i/>
          <w:iCs/>
        </w:rPr>
        <w:t>Biological Reviews</w:t>
      </w:r>
      <w:r>
        <w:t xml:space="preserve">, </w:t>
      </w:r>
      <w:r>
        <w:rPr>
          <w:i/>
          <w:iCs/>
        </w:rPr>
        <w:t>55</w:t>
      </w:r>
      <w:r>
        <w:t>(3), 321– 340.</w:t>
      </w:r>
    </w:p>
    <w:p w14:paraId="00000158" w14:textId="4F879DAD" w:rsidR="00E420E3" w:rsidRDefault="008E5528" w:rsidP="00024DFC">
      <w:pPr>
        <w:ind w:left="567" w:hanging="567"/>
      </w:pPr>
      <w:r>
        <w:t>Huxley, C.R.</w:t>
      </w:r>
      <w:r w:rsidR="00A45624">
        <w:t>,</w:t>
      </w:r>
      <w:r>
        <w:t xml:space="preserve"> and Jebb, M. (1991). The tuberous epiphytes of the </w:t>
      </w:r>
      <w:proofErr w:type="spellStart"/>
      <w:r>
        <w:t>Rubiaceae</w:t>
      </w:r>
      <w:proofErr w:type="spellEnd"/>
      <w:r>
        <w:t xml:space="preserve"> 1: </w:t>
      </w:r>
      <w:r w:rsidR="00A846A5">
        <w:t>A</w:t>
      </w:r>
      <w:r>
        <w:t xml:space="preserve"> </w:t>
      </w:r>
      <w:r w:rsidR="007850AE">
        <w:t>new subtribe</w:t>
      </w:r>
      <w:r>
        <w:t xml:space="preserve">—the </w:t>
      </w:r>
      <w:proofErr w:type="spellStart"/>
      <w:r>
        <w:t>Hydnophytinae</w:t>
      </w:r>
      <w:proofErr w:type="spellEnd"/>
      <w:r>
        <w:t xml:space="preserve">. </w:t>
      </w:r>
      <w:proofErr w:type="spellStart"/>
      <w:r>
        <w:rPr>
          <w:i/>
          <w:iCs/>
        </w:rPr>
        <w:t>Blumea</w:t>
      </w:r>
      <w:proofErr w:type="spellEnd"/>
      <w:r>
        <w:rPr>
          <w:i/>
          <w:iCs/>
        </w:rPr>
        <w:t xml:space="preserve">: Biodiversity, Evolution and Biogeography </w:t>
      </w:r>
      <w:r w:rsidR="007850AE">
        <w:rPr>
          <w:i/>
          <w:iCs/>
        </w:rPr>
        <w:t>of Plants</w:t>
      </w:r>
      <w:r>
        <w:t xml:space="preserve">, </w:t>
      </w:r>
      <w:r>
        <w:rPr>
          <w:i/>
          <w:iCs/>
        </w:rPr>
        <w:t>36</w:t>
      </w:r>
      <w:r>
        <w:t xml:space="preserve">(1), 1-20. </w:t>
      </w:r>
    </w:p>
    <w:p w14:paraId="00000159" w14:textId="15F92BD3" w:rsidR="00E420E3" w:rsidRDefault="008E5528" w:rsidP="00024DFC">
      <w:pPr>
        <w:ind w:left="567" w:hanging="567"/>
      </w:pPr>
      <w:r>
        <w:t xml:space="preserve">Jones, P., Binns, D., Chang, H.Y., Fraser, M., Li, W., McAnulla, C., McWilliam, H., </w:t>
      </w:r>
      <w:r w:rsidR="007850AE">
        <w:t>Maslen, J.</w:t>
      </w:r>
      <w:r>
        <w:t xml:space="preserve">, Mitchell, A., Nuka, G., </w:t>
      </w:r>
      <w:proofErr w:type="spellStart"/>
      <w:r>
        <w:t>Pesseat</w:t>
      </w:r>
      <w:proofErr w:type="spellEnd"/>
      <w:r>
        <w:t xml:space="preserve">, S., Quinn, A.F., </w:t>
      </w:r>
      <w:proofErr w:type="spellStart"/>
      <w:r>
        <w:t>Sangrador</w:t>
      </w:r>
      <w:proofErr w:type="spellEnd"/>
      <w:r>
        <w:t xml:space="preserve">-Vegas, A., </w:t>
      </w:r>
      <w:proofErr w:type="spellStart"/>
      <w:r w:rsidR="007850AE">
        <w:t>Scheremetjew</w:t>
      </w:r>
      <w:proofErr w:type="spellEnd"/>
      <w:r w:rsidR="007850AE">
        <w:t>, M.</w:t>
      </w:r>
      <w:r>
        <w:t>, Yong, S.Y., Lopez, R.</w:t>
      </w:r>
      <w:r w:rsidR="00A45624">
        <w:t>,</w:t>
      </w:r>
      <w:r>
        <w:t xml:space="preserve"> and Hunter, S. (2014). </w:t>
      </w:r>
      <w:proofErr w:type="spellStart"/>
      <w:r>
        <w:t>InterProScan</w:t>
      </w:r>
      <w:proofErr w:type="spellEnd"/>
      <w:r>
        <w:t xml:space="preserve"> 5: genome-scale </w:t>
      </w:r>
      <w:r w:rsidR="007850AE">
        <w:t>protein function</w:t>
      </w:r>
      <w:r>
        <w:t xml:space="preserve"> classification. </w:t>
      </w:r>
      <w:r>
        <w:rPr>
          <w:i/>
          <w:iCs/>
        </w:rPr>
        <w:t>Bioinformatics</w:t>
      </w:r>
      <w:r>
        <w:t xml:space="preserve">, </w:t>
      </w:r>
      <w:r>
        <w:rPr>
          <w:i/>
          <w:iCs/>
        </w:rPr>
        <w:t>30</w:t>
      </w:r>
      <w:r>
        <w:t xml:space="preserve">(9), 1236–1240.  </w:t>
      </w:r>
    </w:p>
    <w:p w14:paraId="0000015A" w14:textId="599C6671" w:rsidR="00E420E3" w:rsidRDefault="008E5528" w:rsidP="00024DFC">
      <w:pPr>
        <w:ind w:left="567" w:hanging="567"/>
      </w:pPr>
      <w:r>
        <w:t>Okamoto, M., Kumar, A., Li, W., Wang, Y., Siddiqi, M.Y., Crawford, N.M.</w:t>
      </w:r>
      <w:r w:rsidR="00A45624">
        <w:t>,</w:t>
      </w:r>
      <w:r>
        <w:t xml:space="preserve"> and Glass, A.D.  (2006). High-affinity nitrate transport in roots of Arabidopsis depends on expression </w:t>
      </w:r>
      <w:r w:rsidR="007850AE">
        <w:t>of the</w:t>
      </w:r>
      <w:r>
        <w:t xml:space="preserve"> NAR2-like gene AtNRT3. 1. </w:t>
      </w:r>
      <w:r>
        <w:rPr>
          <w:i/>
          <w:iCs/>
        </w:rPr>
        <w:t>Plant Physiology, 140</w:t>
      </w:r>
      <w:r>
        <w:t xml:space="preserve">(3), 1036-1046.  </w:t>
      </w:r>
    </w:p>
    <w:p w14:paraId="0000015B" w14:textId="2270AC75" w:rsidR="00E420E3" w:rsidRDefault="008E5528" w:rsidP="00024DFC">
      <w:pPr>
        <w:ind w:left="567" w:hanging="567"/>
      </w:pPr>
      <w:proofErr w:type="spellStart"/>
      <w:r>
        <w:t>Panchy</w:t>
      </w:r>
      <w:proofErr w:type="spellEnd"/>
      <w:r>
        <w:t>, N., Lehti-Shiu, M.</w:t>
      </w:r>
      <w:r w:rsidR="00A45624">
        <w:t>,</w:t>
      </w:r>
      <w:r>
        <w:t xml:space="preserve"> and Shiu, S.H. (2016). Evolution of gene duplication in plants.  </w:t>
      </w:r>
      <w:r>
        <w:rPr>
          <w:i/>
          <w:iCs/>
        </w:rPr>
        <w:t>Plant Physiology</w:t>
      </w:r>
      <w:r>
        <w:t xml:space="preserve">, </w:t>
      </w:r>
      <w:r>
        <w:rPr>
          <w:i/>
          <w:iCs/>
        </w:rPr>
        <w:t>171</w:t>
      </w:r>
      <w:r>
        <w:t xml:space="preserve">(4), 2294–2316. </w:t>
      </w:r>
    </w:p>
    <w:p w14:paraId="0000015C" w14:textId="50AD7943" w:rsidR="00E420E3" w:rsidRDefault="008E5528" w:rsidP="00024DFC">
      <w:pPr>
        <w:ind w:left="567" w:hanging="567"/>
      </w:pPr>
      <w:r>
        <w:t>Qiao, X., Li, Q., Yin, H., Qi, K., Li, L., Wang, R., Zhang, S.</w:t>
      </w:r>
      <w:r w:rsidR="00A45624">
        <w:t>,</w:t>
      </w:r>
      <w:r>
        <w:t xml:space="preserve"> and Paterson, A.H. (2019). </w:t>
      </w:r>
      <w:r w:rsidR="007850AE">
        <w:t>Gene duplication</w:t>
      </w:r>
      <w:r>
        <w:t xml:space="preserve"> and evolution in recurring polyploidization-diploidization cycles in plants.  </w:t>
      </w:r>
      <w:r>
        <w:rPr>
          <w:i/>
          <w:iCs/>
        </w:rPr>
        <w:t>Genome Biology</w:t>
      </w:r>
      <w:r>
        <w:t xml:space="preserve">, </w:t>
      </w:r>
      <w:r>
        <w:rPr>
          <w:i/>
          <w:iCs/>
        </w:rPr>
        <w:t>20</w:t>
      </w:r>
      <w:r>
        <w:t xml:space="preserve">(1), 38.  </w:t>
      </w:r>
    </w:p>
    <w:p w14:paraId="0000015D" w14:textId="1AE50C4D" w:rsidR="00E420E3" w:rsidRDefault="008E5528" w:rsidP="00024DFC">
      <w:pPr>
        <w:ind w:left="567" w:hanging="567"/>
      </w:pPr>
      <w:r>
        <w:rPr>
          <w:highlight w:val="white"/>
        </w:rPr>
        <w:t>Ranallo-Benavidez, T.R., Jaron, K.S.</w:t>
      </w:r>
      <w:r w:rsidR="00A45624">
        <w:rPr>
          <w:highlight w:val="white"/>
        </w:rPr>
        <w:t>,</w:t>
      </w:r>
      <w:r>
        <w:rPr>
          <w:highlight w:val="white"/>
        </w:rPr>
        <w:t xml:space="preserve"> and Schatz, M.C. (2020). </w:t>
      </w:r>
      <w:proofErr w:type="spellStart"/>
      <w:r>
        <w:rPr>
          <w:highlight w:val="white"/>
        </w:rPr>
        <w:t>GenomeScope</w:t>
      </w:r>
      <w:proofErr w:type="spellEnd"/>
      <w:r>
        <w:rPr>
          <w:highlight w:val="white"/>
        </w:rPr>
        <w:t xml:space="preserve"> 2.0 </w:t>
      </w:r>
      <w:r w:rsidR="007850AE">
        <w:rPr>
          <w:highlight w:val="white"/>
        </w:rPr>
        <w:t xml:space="preserve">and </w:t>
      </w:r>
      <w:proofErr w:type="spellStart"/>
      <w:r w:rsidR="007850AE">
        <w:t>Smudgeplot</w:t>
      </w:r>
      <w:proofErr w:type="spellEnd"/>
      <w:r>
        <w:rPr>
          <w:highlight w:val="white"/>
        </w:rPr>
        <w:t xml:space="preserve"> for reference-free profiling of polyploid genomes. </w:t>
      </w:r>
      <w:r>
        <w:rPr>
          <w:i/>
          <w:iCs/>
          <w:highlight w:val="white"/>
        </w:rPr>
        <w:t xml:space="preserve">Nature </w:t>
      </w:r>
      <w:r w:rsidR="007850AE">
        <w:rPr>
          <w:i/>
          <w:iCs/>
          <w:highlight w:val="white"/>
        </w:rPr>
        <w:t>Communications</w:t>
      </w:r>
      <w:r w:rsidR="007850AE">
        <w:rPr>
          <w:highlight w:val="white"/>
        </w:rPr>
        <w:t>,</w:t>
      </w:r>
      <w:r w:rsidR="007850AE">
        <w:t xml:space="preserve"> 11</w:t>
      </w:r>
      <w:r>
        <w:rPr>
          <w:highlight w:val="white"/>
        </w:rPr>
        <w:t>(1), 1432.</w:t>
      </w:r>
      <w:r>
        <w:t xml:space="preserve"> </w:t>
      </w:r>
    </w:p>
    <w:p w14:paraId="0000015E" w14:textId="3BA074ED" w:rsidR="00E420E3" w:rsidRDefault="008E5528" w:rsidP="00024DFC">
      <w:pPr>
        <w:ind w:left="567" w:hanging="567"/>
      </w:pPr>
      <w:r>
        <w:t>Rhoads, A.</w:t>
      </w:r>
      <w:r w:rsidR="00A45624">
        <w:t>,</w:t>
      </w:r>
      <w:r>
        <w:t xml:space="preserve"> and Au, K.F. (2015). PacBio </w:t>
      </w:r>
      <w:r w:rsidR="00DA3D74">
        <w:t>s</w:t>
      </w:r>
      <w:r>
        <w:t xml:space="preserve">equencing and </w:t>
      </w:r>
      <w:r w:rsidR="00DA3D74">
        <w:t>i</w:t>
      </w:r>
      <w:r>
        <w:t xml:space="preserve">ts </w:t>
      </w:r>
      <w:r w:rsidR="00DA3D74">
        <w:t>a</w:t>
      </w:r>
      <w:r>
        <w:t xml:space="preserve">pplications. </w:t>
      </w:r>
      <w:r w:rsidR="007850AE">
        <w:rPr>
          <w:i/>
          <w:iCs/>
        </w:rPr>
        <w:t>Genomics, Proteomics</w:t>
      </w:r>
      <w:r>
        <w:rPr>
          <w:i/>
          <w:iCs/>
        </w:rPr>
        <w:t xml:space="preserve"> and Bioinformatics</w:t>
      </w:r>
      <w:r>
        <w:t xml:space="preserve">, </w:t>
      </w:r>
      <w:r>
        <w:rPr>
          <w:i/>
          <w:iCs/>
        </w:rPr>
        <w:t>13</w:t>
      </w:r>
      <w:r>
        <w:t xml:space="preserve">(5), 278–289. </w:t>
      </w:r>
    </w:p>
    <w:p w14:paraId="0000015F" w14:textId="0FBBFC79" w:rsidR="00E420E3" w:rsidRDefault="008E5528" w:rsidP="00024DFC">
      <w:pPr>
        <w:ind w:left="567" w:hanging="567"/>
      </w:pPr>
      <w:r w:rsidRPr="00856741">
        <w:t>Rico-Gray, V.</w:t>
      </w:r>
      <w:r w:rsidR="00A45624" w:rsidRPr="00856741">
        <w:t>,</w:t>
      </w:r>
      <w:r w:rsidRPr="00856741">
        <w:t xml:space="preserve"> and Oliveira, P.S. (2007). </w:t>
      </w:r>
      <w:r w:rsidRPr="00F10129">
        <w:rPr>
          <w:i/>
          <w:iCs/>
        </w:rPr>
        <w:t xml:space="preserve">The ecology and evolution of ant-plant </w:t>
      </w:r>
      <w:r w:rsidR="007850AE" w:rsidRPr="00F10129">
        <w:rPr>
          <w:i/>
          <w:iCs/>
        </w:rPr>
        <w:t>interactions</w:t>
      </w:r>
      <w:r w:rsidR="007850AE">
        <w:t>, University</w:t>
      </w:r>
      <w:r>
        <w:t xml:space="preserve"> of Chicago Press. </w:t>
      </w:r>
    </w:p>
    <w:p w14:paraId="00000160" w14:textId="33E68AB7" w:rsidR="00E420E3" w:rsidRDefault="008E5528" w:rsidP="00024DFC">
      <w:pPr>
        <w:ind w:left="567" w:hanging="567"/>
      </w:pPr>
      <w:r>
        <w:t>Simão, F.A., Waterhouse, R.M., Ioannidis, P., Kriventseva, E.V.</w:t>
      </w:r>
      <w:r w:rsidR="00A45624">
        <w:t>,</w:t>
      </w:r>
      <w:r>
        <w:t xml:space="preserve"> and Zdobnov, E.M. (2015).  BUSCO: </w:t>
      </w:r>
      <w:r w:rsidR="00F10129">
        <w:t>A</w:t>
      </w:r>
      <w:r>
        <w:t xml:space="preserve">ssessing genome assembly and annotation completeness with </w:t>
      </w:r>
      <w:proofErr w:type="gramStart"/>
      <w:r>
        <w:t>single-</w:t>
      </w:r>
      <w:r w:rsidR="007850AE">
        <w:t>copy</w:t>
      </w:r>
      <w:proofErr w:type="gramEnd"/>
      <w:r w:rsidR="007850AE">
        <w:t xml:space="preserve"> orthologs</w:t>
      </w:r>
      <w:r>
        <w:t xml:space="preserve">. </w:t>
      </w:r>
      <w:r>
        <w:rPr>
          <w:i/>
          <w:iCs/>
        </w:rPr>
        <w:t>Bioinformatics</w:t>
      </w:r>
      <w:r>
        <w:t xml:space="preserve">, </w:t>
      </w:r>
      <w:r>
        <w:rPr>
          <w:i/>
          <w:iCs/>
        </w:rPr>
        <w:t>31</w:t>
      </w:r>
      <w:r>
        <w:t xml:space="preserve">(19), 3210–3212. </w:t>
      </w:r>
    </w:p>
    <w:p w14:paraId="00000161" w14:textId="3DA9D1AB" w:rsidR="00E420E3" w:rsidRDefault="008E5528" w:rsidP="00024DFC">
      <w:pPr>
        <w:ind w:left="567" w:hanging="567"/>
      </w:pPr>
      <w:r>
        <w:lastRenderedPageBreak/>
        <w:t>Stiehler, F., Steinborn, M., Scholz, S., Dey, D., Weber, A.P.M.</w:t>
      </w:r>
      <w:r w:rsidR="00A45624">
        <w:t>,</w:t>
      </w:r>
      <w:r>
        <w:t xml:space="preserve"> and Denton, A.K. (2021).  Helixer: cross-species gene annotation of large eukaryotic genomes using deep learning.  </w:t>
      </w:r>
      <w:r>
        <w:rPr>
          <w:i/>
          <w:iCs/>
        </w:rPr>
        <w:t>Bioinformatics</w:t>
      </w:r>
      <w:r>
        <w:t xml:space="preserve">, </w:t>
      </w:r>
      <w:r>
        <w:rPr>
          <w:i/>
          <w:iCs/>
        </w:rPr>
        <w:t>36</w:t>
      </w:r>
      <w:r>
        <w:t xml:space="preserve">(22-23), 5291–5298. </w:t>
      </w:r>
    </w:p>
    <w:p w14:paraId="00000163" w14:textId="5E1C96C9" w:rsidR="00E420E3" w:rsidRDefault="008E5528" w:rsidP="00EA1944">
      <w:pPr>
        <w:ind w:left="567" w:hanging="567"/>
      </w:pPr>
      <w:r>
        <w:t>Van de Peer, Y., Mizrachi, E.</w:t>
      </w:r>
      <w:r w:rsidR="00A45624">
        <w:t>,</w:t>
      </w:r>
      <w:r>
        <w:t xml:space="preserve"> and Marchal, K. (2017). The evolutionary significance </w:t>
      </w:r>
      <w:r w:rsidR="007850AE">
        <w:t>of polyploidy</w:t>
      </w:r>
      <w:r>
        <w:t xml:space="preserve">. </w:t>
      </w:r>
      <w:r>
        <w:rPr>
          <w:i/>
          <w:iCs/>
        </w:rPr>
        <w:t>Nature Reviews Genetics</w:t>
      </w:r>
      <w:r>
        <w:t xml:space="preserve">, </w:t>
      </w:r>
      <w:r>
        <w:rPr>
          <w:i/>
          <w:iCs/>
        </w:rPr>
        <w:t>18</w:t>
      </w:r>
      <w:r>
        <w:t>(7), 411–424.</w:t>
      </w:r>
    </w:p>
    <w:p w14:paraId="00000165" w14:textId="46700913" w:rsidR="00E420E3" w:rsidRDefault="008E5528" w:rsidP="00EA1944">
      <w:pPr>
        <w:ind w:left="567" w:hanging="567"/>
      </w:pPr>
      <w:r>
        <w:t xml:space="preserve">Volp, T.M., </w:t>
      </w:r>
      <w:proofErr w:type="spellStart"/>
      <w:r>
        <w:t>Cernusak</w:t>
      </w:r>
      <w:proofErr w:type="spellEnd"/>
      <w:r>
        <w:t>, L.A.</w:t>
      </w:r>
      <w:r w:rsidR="00A45624">
        <w:t>,</w:t>
      </w:r>
      <w:r>
        <w:t xml:space="preserve"> and Lach, L. (2022). Epiphytic ant-plant obtains nitrogen </w:t>
      </w:r>
      <w:r w:rsidR="007850AE">
        <w:t>from both</w:t>
      </w:r>
      <w:r>
        <w:t xml:space="preserve"> native and invasive ant inhabitants. </w:t>
      </w:r>
      <w:proofErr w:type="spellStart"/>
      <w:r>
        <w:rPr>
          <w:i/>
          <w:iCs/>
        </w:rPr>
        <w:t>Biotropica</w:t>
      </w:r>
      <w:proofErr w:type="spellEnd"/>
      <w:r>
        <w:rPr>
          <w:i/>
          <w:iCs/>
        </w:rPr>
        <w:t>, 54</w:t>
      </w:r>
      <w:r>
        <w:t>(3), 556-560.</w:t>
      </w:r>
    </w:p>
    <w:p w14:paraId="336224D9" w14:textId="77777777" w:rsidR="00EA1944" w:rsidRDefault="00EA1944" w:rsidP="00EA1944">
      <w:pPr>
        <w:ind w:left="567" w:hanging="567"/>
      </w:pPr>
    </w:p>
    <w:p w14:paraId="5AD134DA" w14:textId="77777777" w:rsidR="00EA1944" w:rsidRDefault="00EA1944" w:rsidP="00EA1944">
      <w:pPr>
        <w:ind w:left="567" w:hanging="567"/>
      </w:pPr>
    </w:p>
    <w:p w14:paraId="4A8B097A" w14:textId="77777777" w:rsidR="00EA1944" w:rsidRDefault="00EA1944" w:rsidP="00EA1944">
      <w:pPr>
        <w:ind w:left="567" w:hanging="567"/>
      </w:pPr>
    </w:p>
    <w:p w14:paraId="7609FAE9" w14:textId="77777777" w:rsidR="00EA1944" w:rsidRDefault="00EA1944" w:rsidP="00EA1944">
      <w:pPr>
        <w:ind w:left="567" w:hanging="567"/>
      </w:pPr>
    </w:p>
    <w:p w14:paraId="29F7DFBC" w14:textId="77777777" w:rsidR="00EA1944" w:rsidRDefault="00EA1944" w:rsidP="00EA1944">
      <w:pPr>
        <w:ind w:left="567" w:hanging="567"/>
      </w:pPr>
    </w:p>
    <w:p w14:paraId="6304A20F" w14:textId="77777777" w:rsidR="00EA1944" w:rsidRDefault="00EA1944" w:rsidP="00EA1944">
      <w:pPr>
        <w:ind w:left="567" w:hanging="567"/>
      </w:pPr>
    </w:p>
    <w:p w14:paraId="387E0D6A" w14:textId="77777777" w:rsidR="00EA1944" w:rsidRDefault="00EA1944" w:rsidP="00EA1944">
      <w:pPr>
        <w:ind w:left="567" w:hanging="567"/>
      </w:pPr>
    </w:p>
    <w:p w14:paraId="53E18193" w14:textId="77777777" w:rsidR="00EA1944" w:rsidRDefault="00EA1944" w:rsidP="00EA1944">
      <w:pPr>
        <w:ind w:left="567" w:hanging="567"/>
      </w:pPr>
    </w:p>
    <w:p w14:paraId="3DBD87D0" w14:textId="77777777" w:rsidR="00EA1944" w:rsidRDefault="00EA1944" w:rsidP="00EA1944">
      <w:pPr>
        <w:ind w:left="567" w:hanging="567"/>
      </w:pPr>
    </w:p>
    <w:p w14:paraId="22BF4C2D" w14:textId="77777777" w:rsidR="00EA1944" w:rsidRDefault="00EA1944" w:rsidP="00EA1944">
      <w:pPr>
        <w:ind w:left="567" w:hanging="567"/>
      </w:pPr>
    </w:p>
    <w:p w14:paraId="1086ED52" w14:textId="77777777" w:rsidR="00EA1944" w:rsidRDefault="00EA1944" w:rsidP="00EA1944">
      <w:pPr>
        <w:ind w:left="567" w:hanging="567"/>
      </w:pPr>
    </w:p>
    <w:p w14:paraId="1376B6CF" w14:textId="77777777" w:rsidR="00EA1944" w:rsidRDefault="00EA1944" w:rsidP="00EA1944">
      <w:pPr>
        <w:ind w:left="567" w:hanging="567"/>
      </w:pPr>
    </w:p>
    <w:p w14:paraId="2E24F9EF" w14:textId="77777777" w:rsidR="00EA1944" w:rsidRDefault="00EA1944" w:rsidP="00EA1944">
      <w:pPr>
        <w:ind w:left="567" w:hanging="567"/>
      </w:pPr>
    </w:p>
    <w:p w14:paraId="0200D90A" w14:textId="77777777" w:rsidR="00EA1944" w:rsidRDefault="00EA1944" w:rsidP="00EA1944">
      <w:pPr>
        <w:ind w:left="567" w:hanging="567"/>
      </w:pPr>
    </w:p>
    <w:p w14:paraId="237FF94C" w14:textId="77777777" w:rsidR="00EA1944" w:rsidRDefault="00EA1944" w:rsidP="00EA1944">
      <w:pPr>
        <w:ind w:left="567" w:hanging="567"/>
      </w:pPr>
    </w:p>
    <w:p w14:paraId="2BEB073A" w14:textId="77777777" w:rsidR="00EA1944" w:rsidRDefault="00EA1944" w:rsidP="00EA1944">
      <w:pPr>
        <w:ind w:left="567" w:hanging="567"/>
      </w:pPr>
    </w:p>
    <w:p w14:paraId="5DBC571B" w14:textId="77777777" w:rsidR="00EA1944" w:rsidRDefault="00EA1944" w:rsidP="00EA1944">
      <w:pPr>
        <w:ind w:left="567" w:hanging="567"/>
      </w:pPr>
    </w:p>
    <w:p w14:paraId="05307AA1" w14:textId="77777777" w:rsidR="00EA1944" w:rsidRDefault="00EA1944" w:rsidP="00EA1944">
      <w:pPr>
        <w:ind w:left="567" w:hanging="567"/>
      </w:pPr>
    </w:p>
    <w:p w14:paraId="521785A0" w14:textId="77777777" w:rsidR="00EA1944" w:rsidRPr="00EA1944" w:rsidRDefault="00EA1944" w:rsidP="00EA1944">
      <w:pPr>
        <w:pStyle w:val="Heading1"/>
      </w:pPr>
    </w:p>
    <w:p w14:paraId="00000167" w14:textId="61F58F11" w:rsidR="00E420E3" w:rsidRDefault="008E5528" w:rsidP="009B4375">
      <w:pPr>
        <w:pStyle w:val="Heading1"/>
        <w:jc w:val="center"/>
        <w:rPr>
          <w:rFonts w:eastAsia="Times New Roman" w:cs="Times New Roman"/>
          <w:color w:val="212121"/>
          <w:szCs w:val="42"/>
        </w:rPr>
      </w:pPr>
      <w:bookmarkStart w:id="39" w:name="_Toc235392985"/>
      <w:r>
        <w:rPr>
          <w:rFonts w:eastAsia="Times New Roman" w:cs="Times New Roman"/>
          <w:color w:val="212121"/>
          <w:szCs w:val="42"/>
        </w:rPr>
        <w:t>Chapter 3. Validating nutritional uptake in ant plant symbiotic relationships</w:t>
      </w:r>
      <w:bookmarkEnd w:id="39"/>
    </w:p>
    <w:p w14:paraId="2245D0CB" w14:textId="77777777" w:rsidR="009B4375" w:rsidRDefault="009B4375" w:rsidP="009B4375"/>
    <w:p w14:paraId="0796C2E5" w14:textId="77777777" w:rsidR="009B4375" w:rsidRDefault="009B4375" w:rsidP="009B4375"/>
    <w:p w14:paraId="76A4B534" w14:textId="77777777" w:rsidR="009B4375" w:rsidRDefault="009B4375" w:rsidP="009B4375"/>
    <w:p w14:paraId="52C79112" w14:textId="77777777" w:rsidR="009B4375" w:rsidRDefault="009B4375" w:rsidP="009B4375"/>
    <w:p w14:paraId="42277155" w14:textId="77777777" w:rsidR="009B4375" w:rsidRDefault="009B4375" w:rsidP="009B4375"/>
    <w:p w14:paraId="1F16B044" w14:textId="77777777" w:rsidR="009B4375" w:rsidRDefault="009B4375" w:rsidP="009B4375"/>
    <w:p w14:paraId="54B14FB4" w14:textId="77777777" w:rsidR="009B4375" w:rsidRDefault="009B4375" w:rsidP="009B4375"/>
    <w:p w14:paraId="3C82B369" w14:textId="77777777" w:rsidR="009B4375" w:rsidRDefault="009B4375" w:rsidP="009B4375"/>
    <w:p w14:paraId="426C6AB7" w14:textId="77777777" w:rsidR="009B4375" w:rsidRDefault="009B4375" w:rsidP="009B4375"/>
    <w:p w14:paraId="3C34AFCE" w14:textId="77777777" w:rsidR="009B4375" w:rsidRDefault="009B4375" w:rsidP="009B4375"/>
    <w:p w14:paraId="30F4D406" w14:textId="77777777" w:rsidR="009B4375" w:rsidRDefault="009B4375" w:rsidP="009B4375"/>
    <w:p w14:paraId="54735AB2" w14:textId="77777777" w:rsidR="009B4375" w:rsidRDefault="009B4375" w:rsidP="009B4375"/>
    <w:p w14:paraId="77DE9671" w14:textId="77777777" w:rsidR="009B4375" w:rsidRDefault="009B4375" w:rsidP="009B4375"/>
    <w:p w14:paraId="41263D0D" w14:textId="77777777" w:rsidR="009B4375" w:rsidRDefault="009B4375" w:rsidP="009B4375"/>
    <w:p w14:paraId="08E76F52" w14:textId="77777777" w:rsidR="009B4375" w:rsidRDefault="009B4375" w:rsidP="009B4375"/>
    <w:p w14:paraId="564ABC63" w14:textId="77777777" w:rsidR="009B4375" w:rsidRDefault="009B4375" w:rsidP="009B4375"/>
    <w:p w14:paraId="45DB2F66" w14:textId="77777777" w:rsidR="009B4375" w:rsidRDefault="009B4375" w:rsidP="009B4375"/>
    <w:p w14:paraId="5D66A20D" w14:textId="77777777" w:rsidR="009B4375" w:rsidRDefault="009B4375" w:rsidP="009B4375"/>
    <w:p w14:paraId="1DC293EA" w14:textId="77777777" w:rsidR="009B4375" w:rsidRDefault="009B4375" w:rsidP="009B4375"/>
    <w:p w14:paraId="45DDAEB3" w14:textId="77777777" w:rsidR="009B4375" w:rsidRPr="009B4375" w:rsidRDefault="009B4375" w:rsidP="009B4375"/>
    <w:p w14:paraId="00000168" w14:textId="7DCE5DBF" w:rsidR="00E420E3" w:rsidRDefault="008E5528" w:rsidP="009B4375">
      <w:pPr>
        <w:widowControl w:val="0"/>
        <w:pBdr>
          <w:top w:val="nil"/>
          <w:left w:val="nil"/>
          <w:bottom w:val="nil"/>
          <w:right w:val="nil"/>
          <w:between w:val="nil"/>
        </w:pBdr>
        <w:spacing w:line="343" w:lineRule="auto"/>
        <w:jc w:val="center"/>
        <w:rPr>
          <w:rFonts w:eastAsia="Times New Roman" w:cs="Times New Roman"/>
          <w:b/>
          <w:bCs/>
          <w:color w:val="212121"/>
          <w:sz w:val="36"/>
          <w:szCs w:val="36"/>
        </w:rPr>
      </w:pPr>
      <w:r>
        <w:rPr>
          <w:rFonts w:eastAsia="Times New Roman" w:cs="Times New Roman"/>
          <w:b/>
          <w:bCs/>
          <w:color w:val="212121"/>
          <w:sz w:val="36"/>
          <w:szCs w:val="36"/>
        </w:rPr>
        <w:t>Chapter 3. Validating nutritional uptake in ant-</w:t>
      </w:r>
      <w:r w:rsidR="007850AE">
        <w:rPr>
          <w:rFonts w:eastAsia="Times New Roman" w:cs="Times New Roman"/>
          <w:b/>
          <w:bCs/>
          <w:color w:val="212121"/>
          <w:sz w:val="36"/>
          <w:szCs w:val="36"/>
        </w:rPr>
        <w:t>plant symbiotic</w:t>
      </w:r>
      <w:r>
        <w:rPr>
          <w:rFonts w:eastAsia="Times New Roman" w:cs="Times New Roman"/>
          <w:b/>
          <w:bCs/>
          <w:color w:val="212121"/>
          <w:sz w:val="36"/>
          <w:szCs w:val="36"/>
        </w:rPr>
        <w:t xml:space="preserve"> relationships </w:t>
      </w:r>
    </w:p>
    <w:p w14:paraId="75F409D0" w14:textId="77777777" w:rsidR="009B4375" w:rsidRDefault="009B4375" w:rsidP="009B4375"/>
    <w:p w14:paraId="00000169" w14:textId="4118F822" w:rsidR="00E420E3" w:rsidRDefault="008E5528" w:rsidP="009B4375">
      <w:pPr>
        <w:rPr>
          <w:sz w:val="16"/>
          <w:szCs w:val="16"/>
        </w:rPr>
      </w:pPr>
      <w:r>
        <w:t>George Hirons-Alecrim</w:t>
      </w:r>
      <w:r>
        <w:rPr>
          <w:sz w:val="26"/>
          <w:szCs w:val="26"/>
          <w:vertAlign w:val="superscript"/>
        </w:rPr>
        <w:t>1</w:t>
      </w:r>
      <w:r>
        <w:t>, Luke T. Dunning</w:t>
      </w:r>
      <w:r>
        <w:rPr>
          <w:sz w:val="26"/>
          <w:szCs w:val="26"/>
          <w:vertAlign w:val="superscript"/>
        </w:rPr>
        <w:t>1</w:t>
      </w:r>
      <w:r>
        <w:t>and Guillaume Chomicki</w:t>
      </w:r>
      <w:r>
        <w:rPr>
          <w:sz w:val="26"/>
          <w:szCs w:val="26"/>
          <w:vertAlign w:val="superscript"/>
        </w:rPr>
        <w:t>2</w:t>
      </w:r>
      <w:r>
        <w:rPr>
          <w:sz w:val="16"/>
          <w:szCs w:val="16"/>
        </w:rPr>
        <w:t xml:space="preserve"> </w:t>
      </w:r>
    </w:p>
    <w:p w14:paraId="0625A8F9" w14:textId="77777777" w:rsidR="009B4375" w:rsidRDefault="009B4375" w:rsidP="009B4375">
      <w:pPr>
        <w:rPr>
          <w:b/>
          <w:bCs/>
        </w:rPr>
      </w:pPr>
    </w:p>
    <w:p w14:paraId="0000016A" w14:textId="2E296C1F" w:rsidR="00E420E3" w:rsidRDefault="008E5528" w:rsidP="009B4375">
      <w:pPr>
        <w:rPr>
          <w:b/>
          <w:bCs/>
        </w:rPr>
      </w:pPr>
      <w:r>
        <w:rPr>
          <w:b/>
          <w:bCs/>
        </w:rPr>
        <w:t xml:space="preserve">Author affiliations: </w:t>
      </w:r>
    </w:p>
    <w:p w14:paraId="0000016B" w14:textId="2B5E3CAC" w:rsidR="00E420E3" w:rsidRDefault="008E5528" w:rsidP="009B4375">
      <w:r>
        <w:rPr>
          <w:sz w:val="26"/>
          <w:szCs w:val="26"/>
          <w:vertAlign w:val="superscript"/>
        </w:rPr>
        <w:t>1</w:t>
      </w:r>
      <w:r>
        <w:t xml:space="preserve">Ecology and Evolutionary Biology, School of Biosciences, The University of </w:t>
      </w:r>
      <w:r w:rsidR="007850AE">
        <w:t>Sheffield, Western</w:t>
      </w:r>
      <w:r>
        <w:t xml:space="preserve"> Bank, Sheffield, S10 2TN</w:t>
      </w:r>
      <w:r w:rsidR="009B4375">
        <w:t>, UK.</w:t>
      </w:r>
    </w:p>
    <w:p w14:paraId="0000016C" w14:textId="77777777" w:rsidR="00E420E3" w:rsidRDefault="008E5528" w:rsidP="009B4375">
      <w:r>
        <w:rPr>
          <w:sz w:val="26"/>
          <w:szCs w:val="26"/>
          <w:vertAlign w:val="superscript"/>
        </w:rPr>
        <w:t>2</w:t>
      </w:r>
      <w:r>
        <w:t xml:space="preserve">Department of Biosciences, Durham University, South Rd, Durham, DH1 3LE, UK. </w:t>
      </w:r>
    </w:p>
    <w:p w14:paraId="606C8CBF" w14:textId="77777777" w:rsidR="009B4375" w:rsidRDefault="009B4375" w:rsidP="009B4375">
      <w:pPr>
        <w:rPr>
          <w:b/>
          <w:bCs/>
        </w:rPr>
      </w:pPr>
    </w:p>
    <w:p w14:paraId="6FA0CD7F" w14:textId="77777777" w:rsidR="009B4375" w:rsidRDefault="009B4375" w:rsidP="009B4375">
      <w:pPr>
        <w:rPr>
          <w:b/>
          <w:bCs/>
        </w:rPr>
      </w:pPr>
    </w:p>
    <w:p w14:paraId="0000016E" w14:textId="2CF9A5DE" w:rsidR="00E420E3" w:rsidRDefault="008E5528" w:rsidP="009B4375">
      <w:r>
        <w:rPr>
          <w:b/>
          <w:bCs/>
        </w:rPr>
        <w:t>Personal contribution</w:t>
      </w:r>
      <w:r>
        <w:t xml:space="preserve">: I designed and conducted all experiments, performed data </w:t>
      </w:r>
      <w:r w:rsidR="007850AE">
        <w:t>analysis, and</w:t>
      </w:r>
      <w:r>
        <w:t xml:space="preserve"> wrote the first draft of the chapter. Guillaume Chomicki and Luke Dunning </w:t>
      </w:r>
      <w:r w:rsidR="007850AE">
        <w:t>provided supervision</w:t>
      </w:r>
      <w:r>
        <w:t>, conceptual guidance, and manuscript revisions.</w:t>
      </w:r>
    </w:p>
    <w:p w14:paraId="0A0E6A2C" w14:textId="77777777" w:rsidR="009B4375" w:rsidRDefault="009B4375" w:rsidP="009B4375"/>
    <w:p w14:paraId="70B2F88F" w14:textId="77777777" w:rsidR="009B4375" w:rsidRDefault="009B4375" w:rsidP="009B4375"/>
    <w:p w14:paraId="3632529C" w14:textId="77777777" w:rsidR="009B4375" w:rsidRDefault="009B4375" w:rsidP="009B4375"/>
    <w:p w14:paraId="3B3C7864" w14:textId="77777777" w:rsidR="009B4375" w:rsidRDefault="009B4375" w:rsidP="009B4375"/>
    <w:p w14:paraId="42ECB17A" w14:textId="77777777" w:rsidR="009B4375" w:rsidRDefault="009B4375" w:rsidP="009B4375"/>
    <w:p w14:paraId="6E626485" w14:textId="77777777" w:rsidR="009B4375" w:rsidRDefault="009B4375" w:rsidP="009B4375"/>
    <w:p w14:paraId="4357A74F" w14:textId="77777777" w:rsidR="009B4375" w:rsidRDefault="009B4375" w:rsidP="009B4375"/>
    <w:p w14:paraId="4CA42B50" w14:textId="77777777" w:rsidR="009B4375" w:rsidRDefault="009B4375" w:rsidP="009B4375"/>
    <w:p w14:paraId="191F4AC6" w14:textId="77777777" w:rsidR="009B4375" w:rsidRDefault="009B4375" w:rsidP="009B4375"/>
    <w:p w14:paraId="4DB11A3C" w14:textId="77777777" w:rsidR="009B4375" w:rsidRPr="009B4375" w:rsidRDefault="009B4375" w:rsidP="009B4375"/>
    <w:p w14:paraId="0000016F" w14:textId="77777777" w:rsidR="00E420E3" w:rsidRDefault="008E5528" w:rsidP="009B4375">
      <w:pPr>
        <w:pStyle w:val="Heading3"/>
      </w:pPr>
      <w:bookmarkStart w:id="40" w:name="_Toc235392986"/>
      <w:r>
        <w:lastRenderedPageBreak/>
        <w:t>3.1 Abstract</w:t>
      </w:r>
      <w:bookmarkEnd w:id="40"/>
      <w:r>
        <w:t xml:space="preserve"> </w:t>
      </w:r>
    </w:p>
    <w:p w14:paraId="00000171" w14:textId="0BAB99F6" w:rsidR="00E420E3" w:rsidRDefault="008E5528" w:rsidP="007855E2">
      <w:r>
        <w:t xml:space="preserve">This thesis aims to contribute to our understanding of the drivers of mutualistic </w:t>
      </w:r>
      <w:r w:rsidR="001D57FD">
        <w:t>dependence, using</w:t>
      </w:r>
      <w:r>
        <w:t xml:space="preserve"> symbioses between ants and epiphytic </w:t>
      </w:r>
      <w:proofErr w:type="spellStart"/>
      <w:r>
        <w:t>Hydnophytinae</w:t>
      </w:r>
      <w:proofErr w:type="spellEnd"/>
      <w:r>
        <w:t xml:space="preserve"> (</w:t>
      </w:r>
      <w:proofErr w:type="spellStart"/>
      <w:r>
        <w:t>Rubiaceae</w:t>
      </w:r>
      <w:proofErr w:type="spellEnd"/>
      <w:r>
        <w:t xml:space="preserve">) plants. This </w:t>
      </w:r>
      <w:r w:rsidR="001D57FD">
        <w:t>requires establishing</w:t>
      </w:r>
      <w:r>
        <w:t xml:space="preserve"> experimental symbioses with facultative and obligate plant hosts to test for </w:t>
      </w:r>
      <w:r w:rsidR="001D57FD">
        <w:t>the hypotheses</w:t>
      </w:r>
      <w:r>
        <w:t xml:space="preserve">: nitrogen deposition from ants induces dependency in </w:t>
      </w:r>
      <w:r w:rsidR="009F23E6">
        <w:t>ant-plant</w:t>
      </w:r>
      <w:r>
        <w:t xml:space="preserve">s. To do so, </w:t>
      </w:r>
      <w:r w:rsidR="001D57FD">
        <w:t>I developed</w:t>
      </w:r>
      <w:r>
        <w:t xml:space="preserve"> the first experimental ant-plant symbioses between ghost ants (</w:t>
      </w:r>
      <w:r w:rsidR="001D57FD">
        <w:rPr>
          <w:i/>
          <w:iCs/>
        </w:rPr>
        <w:t xml:space="preserve">Tapinoma </w:t>
      </w:r>
      <w:proofErr w:type="spellStart"/>
      <w:r w:rsidR="001D57FD">
        <w:rPr>
          <w:i/>
          <w:iCs/>
        </w:rPr>
        <w:t>melanocephalum</w:t>
      </w:r>
      <w:proofErr w:type="spellEnd"/>
      <w:r>
        <w:t xml:space="preserve">) and two </w:t>
      </w:r>
      <w:proofErr w:type="spellStart"/>
      <w:r>
        <w:t>Hydnophytinae</w:t>
      </w:r>
      <w:proofErr w:type="spellEnd"/>
      <w:r>
        <w:t xml:space="preserve"> ant plants: the facultative </w:t>
      </w:r>
      <w:proofErr w:type="spellStart"/>
      <w:r w:rsidR="001D57FD">
        <w:rPr>
          <w:i/>
          <w:iCs/>
        </w:rPr>
        <w:t>Hydnophytum</w:t>
      </w:r>
      <w:proofErr w:type="spellEnd"/>
      <w:r w:rsidR="001D57FD">
        <w:rPr>
          <w:i/>
          <w:iCs/>
        </w:rPr>
        <w:t xml:space="preserve"> </w:t>
      </w:r>
      <w:proofErr w:type="spellStart"/>
      <w:r w:rsidR="001D57FD">
        <w:rPr>
          <w:i/>
          <w:iCs/>
        </w:rPr>
        <w:t>moseleyanum</w:t>
      </w:r>
      <w:proofErr w:type="spellEnd"/>
      <w:r>
        <w:rPr>
          <w:i/>
          <w:iCs/>
        </w:rPr>
        <w:t xml:space="preserve"> </w:t>
      </w:r>
      <w:r>
        <w:t xml:space="preserve">and the obligate </w:t>
      </w:r>
      <w:proofErr w:type="spellStart"/>
      <w:r>
        <w:rPr>
          <w:i/>
          <w:iCs/>
        </w:rPr>
        <w:t>Myrmecodia</w:t>
      </w:r>
      <w:proofErr w:type="spellEnd"/>
      <w:r>
        <w:rPr>
          <w:i/>
          <w:iCs/>
        </w:rPr>
        <w:t xml:space="preserve"> </w:t>
      </w:r>
      <w:proofErr w:type="spellStart"/>
      <w:r>
        <w:rPr>
          <w:i/>
          <w:iCs/>
        </w:rPr>
        <w:t>beccarii</w:t>
      </w:r>
      <w:proofErr w:type="spellEnd"/>
      <w:r>
        <w:t xml:space="preserve">). While ghost ants would not be the </w:t>
      </w:r>
      <w:r w:rsidR="001D57FD">
        <w:t>ant natural</w:t>
      </w:r>
      <w:r>
        <w:t xml:space="preserve"> partners with either plant species, it formed successful nutritional symbioses with </w:t>
      </w:r>
      <w:r w:rsidR="001D57FD">
        <w:t>both H.</w:t>
      </w:r>
      <w:r>
        <w:rPr>
          <w:i/>
          <w:iCs/>
        </w:rPr>
        <w:t xml:space="preserve"> </w:t>
      </w:r>
      <w:proofErr w:type="spellStart"/>
      <w:r>
        <w:rPr>
          <w:i/>
          <w:iCs/>
        </w:rPr>
        <w:t>moseleyanum</w:t>
      </w:r>
      <w:proofErr w:type="spellEnd"/>
      <w:r>
        <w:rPr>
          <w:i/>
          <w:iCs/>
        </w:rPr>
        <w:t xml:space="preserve"> </w:t>
      </w:r>
      <w:r>
        <w:t xml:space="preserve">and </w:t>
      </w:r>
      <w:r>
        <w:rPr>
          <w:i/>
          <w:iCs/>
        </w:rPr>
        <w:t xml:space="preserve">M. </w:t>
      </w:r>
      <w:proofErr w:type="spellStart"/>
      <w:r>
        <w:rPr>
          <w:i/>
          <w:iCs/>
        </w:rPr>
        <w:t>beccarii</w:t>
      </w:r>
      <w:proofErr w:type="spellEnd"/>
      <w:r>
        <w:rPr>
          <w:i/>
          <w:iCs/>
        </w:rPr>
        <w:t xml:space="preserve"> </w:t>
      </w:r>
      <w:r>
        <w:t xml:space="preserve">and ensured comparability across facultative vs. </w:t>
      </w:r>
      <w:r w:rsidR="001D57FD">
        <w:t>obligate systems</w:t>
      </w:r>
      <w:r>
        <w:t xml:space="preserve"> I tested whether these experimental symbioses form nutritional mutualisms through </w:t>
      </w:r>
      <w:r w:rsidR="001D57FD">
        <w:t>a feeding</w:t>
      </w:r>
      <w:r>
        <w:t xml:space="preserve"> experiment with </w:t>
      </w:r>
      <w:r>
        <w:rPr>
          <w:sz w:val="26"/>
          <w:szCs w:val="26"/>
          <w:vertAlign w:val="superscript"/>
        </w:rPr>
        <w:t>15</w:t>
      </w:r>
      <w:r>
        <w:t xml:space="preserve">N isotope. This involved feeding the ants for 10 days with a </w:t>
      </w:r>
      <w:r w:rsidR="001D57FD">
        <w:t>sugar solution</w:t>
      </w:r>
      <w:r>
        <w:t xml:space="preserve"> that contained </w:t>
      </w:r>
      <w:r>
        <w:rPr>
          <w:sz w:val="26"/>
          <w:szCs w:val="26"/>
          <w:vertAlign w:val="superscript"/>
        </w:rPr>
        <w:t>15</w:t>
      </w:r>
      <w:r>
        <w:t xml:space="preserve">N glycine and subsequently harvesting distinct plant tissues. Isotope ratio mass spectrometry revealed that both </w:t>
      </w:r>
      <w:r>
        <w:rPr>
          <w:i/>
          <w:iCs/>
        </w:rPr>
        <w:t xml:space="preserve">H. </w:t>
      </w:r>
      <w:proofErr w:type="spellStart"/>
      <w:r>
        <w:rPr>
          <w:i/>
          <w:iCs/>
        </w:rPr>
        <w:t>moseleyanum</w:t>
      </w:r>
      <w:proofErr w:type="spellEnd"/>
      <w:r>
        <w:rPr>
          <w:i/>
          <w:iCs/>
        </w:rPr>
        <w:t xml:space="preserve"> </w:t>
      </w:r>
      <w:r>
        <w:t xml:space="preserve">and </w:t>
      </w:r>
      <w:r>
        <w:rPr>
          <w:i/>
          <w:iCs/>
        </w:rPr>
        <w:t xml:space="preserve">M. </w:t>
      </w:r>
      <w:proofErr w:type="spellStart"/>
      <w:r>
        <w:rPr>
          <w:i/>
          <w:iCs/>
        </w:rPr>
        <w:t>beccarii</w:t>
      </w:r>
      <w:proofErr w:type="spellEnd"/>
      <w:r>
        <w:rPr>
          <w:i/>
          <w:iCs/>
        </w:rPr>
        <w:t xml:space="preserve"> </w:t>
      </w:r>
      <w:r>
        <w:t xml:space="preserve">domatium </w:t>
      </w:r>
      <w:r w:rsidR="001D57FD">
        <w:t>related tissues</w:t>
      </w:r>
      <w:r>
        <w:t xml:space="preserve"> were significantly enriched for </w:t>
      </w:r>
      <w:r>
        <w:rPr>
          <w:sz w:val="26"/>
          <w:szCs w:val="26"/>
          <w:vertAlign w:val="superscript"/>
        </w:rPr>
        <w:t>15</w:t>
      </w:r>
      <w:r>
        <w:t xml:space="preserve">N, unlike leaves and thus show there is a </w:t>
      </w:r>
      <w:r w:rsidR="001D57FD">
        <w:t>nutritional symbiosis</w:t>
      </w:r>
      <w:r>
        <w:t xml:space="preserve"> with ghost ants. The same patterns of nitrogen deposition across distinct </w:t>
      </w:r>
      <w:r w:rsidR="001D57FD">
        <w:t>domatium tissues</w:t>
      </w:r>
      <w:r>
        <w:t xml:space="preserve"> in facultative vs. obligate symbioses was previously seen in the field, indicating </w:t>
      </w:r>
      <w:r w:rsidR="001D57FD">
        <w:t xml:space="preserve">that these </w:t>
      </w:r>
      <w:r>
        <w:t xml:space="preserve">novel experimental </w:t>
      </w:r>
      <w:r w:rsidR="009F23E6">
        <w:t>ant-plant</w:t>
      </w:r>
      <w:r>
        <w:t xml:space="preserve"> symbioses are accurate model systems. </w:t>
      </w:r>
    </w:p>
    <w:p w14:paraId="76AAEC67" w14:textId="77777777" w:rsidR="007855E2" w:rsidRDefault="007855E2" w:rsidP="007855E2"/>
    <w:p w14:paraId="1B069FAB" w14:textId="77777777" w:rsidR="007855E2" w:rsidRDefault="007855E2" w:rsidP="007855E2"/>
    <w:p w14:paraId="6927ED03" w14:textId="77777777" w:rsidR="007855E2" w:rsidRDefault="007855E2" w:rsidP="007855E2"/>
    <w:p w14:paraId="4AE91038" w14:textId="77777777" w:rsidR="007855E2" w:rsidRDefault="007855E2" w:rsidP="007855E2"/>
    <w:p w14:paraId="6D0EB8C0" w14:textId="77777777" w:rsidR="007855E2" w:rsidRDefault="007855E2" w:rsidP="007855E2"/>
    <w:p w14:paraId="6F8A336C" w14:textId="77777777" w:rsidR="007855E2" w:rsidRDefault="007855E2" w:rsidP="007855E2"/>
    <w:p w14:paraId="6F3CF6A4" w14:textId="77777777" w:rsidR="007855E2" w:rsidRDefault="007855E2" w:rsidP="007855E2"/>
    <w:p w14:paraId="6A8F2079" w14:textId="77777777" w:rsidR="007855E2" w:rsidRDefault="007855E2" w:rsidP="007855E2"/>
    <w:p w14:paraId="4601B803" w14:textId="77777777" w:rsidR="007855E2" w:rsidRDefault="007855E2" w:rsidP="007855E2"/>
    <w:p w14:paraId="6B11808E" w14:textId="77777777" w:rsidR="007855E2" w:rsidRDefault="007855E2" w:rsidP="007855E2"/>
    <w:p w14:paraId="07471AA7" w14:textId="77777777" w:rsidR="007855E2" w:rsidRPr="007855E2" w:rsidRDefault="007855E2" w:rsidP="007855E2"/>
    <w:p w14:paraId="00000172" w14:textId="77777777" w:rsidR="00E420E3" w:rsidRDefault="008E5528" w:rsidP="007855E2">
      <w:pPr>
        <w:pStyle w:val="Heading3"/>
      </w:pPr>
      <w:bookmarkStart w:id="41" w:name="_Toc235392987"/>
      <w:r>
        <w:lastRenderedPageBreak/>
        <w:t>3.2 Introduction</w:t>
      </w:r>
      <w:bookmarkEnd w:id="41"/>
      <w:r>
        <w:t xml:space="preserve"> </w:t>
      </w:r>
    </w:p>
    <w:p w14:paraId="00000173" w14:textId="0E2702A1" w:rsidR="00E420E3" w:rsidRDefault="008E5528" w:rsidP="00B5250B">
      <w:r>
        <w:t>Myrmecophytes (or ant-plants) are plants that form a symbiotic mutualism with ants (</w:t>
      </w:r>
      <w:r w:rsidR="001D57FD">
        <w:t>Davidson and</w:t>
      </w:r>
      <w:r>
        <w:t xml:space="preserve"> McKey, 1993; Chomicki and Renner, 2015). These partnerships involve plants that </w:t>
      </w:r>
      <w:r w:rsidR="001D57FD">
        <w:t>offer specialised</w:t>
      </w:r>
      <w:r>
        <w:t xml:space="preserve"> structures called domatia to accommodate ants (Davidson and McKey, 1993; </w:t>
      </w:r>
      <w:r w:rsidR="005F2A43">
        <w:t>Heil and</w:t>
      </w:r>
      <w:r>
        <w:t xml:space="preserve"> McKey, 2003; Chomicki and Renner, 2015), which is especially important in </w:t>
      </w:r>
      <w:r w:rsidR="005F2A43">
        <w:t>tropical rainforest</w:t>
      </w:r>
      <w:r>
        <w:t xml:space="preserve"> environments where the majority of these partnerships are found as there is a </w:t>
      </w:r>
      <w:r w:rsidR="005F2A43">
        <w:t>strong limitation</w:t>
      </w:r>
      <w:r>
        <w:t xml:space="preserve"> for nesting space (Philpott and Foster, 2005; Campbell et al., 2023). In </w:t>
      </w:r>
      <w:r w:rsidR="001D57FD">
        <w:t>exchange, ants</w:t>
      </w:r>
      <w:r>
        <w:t xml:space="preserve"> defend the plant from herbivores and/or supply nutrients through their faeces, ant </w:t>
      </w:r>
      <w:r w:rsidR="005F2A43">
        <w:t>carcasses or</w:t>
      </w:r>
      <w:r>
        <w:t xml:space="preserve"> other detritus brought inside the domatia, a process known as </w:t>
      </w:r>
      <w:proofErr w:type="spellStart"/>
      <w:r>
        <w:t>myrmecotrophy</w:t>
      </w:r>
      <w:proofErr w:type="spellEnd"/>
      <w:r>
        <w:t xml:space="preserve"> (Treseder </w:t>
      </w:r>
      <w:r w:rsidR="005F2A43">
        <w:t>et al.</w:t>
      </w:r>
      <w:r>
        <w:t xml:space="preserve">, 1995; Heil and McKey, 2003; Bronstein et al., 2006; Greenfield, 2022). </w:t>
      </w:r>
      <w:r w:rsidR="001D57FD">
        <w:t>Nutritional symbioses</w:t>
      </w:r>
      <w:r>
        <w:t xml:space="preserve"> are expected to be most prevalent in environments where nutrients are limiting, </w:t>
      </w:r>
      <w:r w:rsidR="005F2A43">
        <w:t>such as</w:t>
      </w:r>
      <w:r>
        <w:t xml:space="preserve"> in tropical canopies and poor soils (Janzen, 1974; Treseder et al., 1995), and most ant–</w:t>
      </w:r>
      <w:r w:rsidR="001D57FD">
        <w:t xml:space="preserve">plant </w:t>
      </w:r>
      <w:r w:rsidR="005F2A43">
        <w:t>symbioses are</w:t>
      </w:r>
      <w:r>
        <w:t xml:space="preserve"> thought to be primarily nutritional rather than defensive (Chomicki and Re</w:t>
      </w:r>
      <w:r w:rsidR="001D57FD">
        <w:t>nner, 2015</w:t>
      </w:r>
      <w:r>
        <w:t xml:space="preserve"> </w:t>
      </w:r>
    </w:p>
    <w:p w14:paraId="00000174" w14:textId="4B2BED7C" w:rsidR="00E420E3" w:rsidRDefault="008E5528" w:rsidP="00B5250B">
      <w:r>
        <w:t xml:space="preserve">Nutritional symbioses interactions are particularly common in plants within the </w:t>
      </w:r>
      <w:proofErr w:type="spellStart"/>
      <w:r w:rsidR="001D57FD">
        <w:t>Rubiaceae</w:t>
      </w:r>
      <w:proofErr w:type="spellEnd"/>
      <w:r w:rsidR="001D57FD">
        <w:t xml:space="preserve"> family</w:t>
      </w:r>
      <w:r>
        <w:t xml:space="preserve">, which harbour both the highest number of domatium-bearing plants (165 species </w:t>
      </w:r>
      <w:r w:rsidR="005F2A43">
        <w:t>with domatia</w:t>
      </w:r>
      <w:r>
        <w:t xml:space="preserve"> out of 716 species without domatia; (Chomicki, 2019)) and the largest clade of </w:t>
      </w:r>
      <w:r w:rsidR="005F2A43">
        <w:t>such plants</w:t>
      </w:r>
      <w:r>
        <w:t xml:space="preserve"> with 105 species: the </w:t>
      </w:r>
      <w:proofErr w:type="spellStart"/>
      <w:r>
        <w:t>Hydnophytinae</w:t>
      </w:r>
      <w:proofErr w:type="spellEnd"/>
      <w:r>
        <w:t xml:space="preserve"> (Chomicki and Renner, 2015). The </w:t>
      </w:r>
      <w:proofErr w:type="spellStart"/>
      <w:r w:rsidR="001D57FD">
        <w:t>Hydnophytinae</w:t>
      </w:r>
      <w:proofErr w:type="spellEnd"/>
      <w:r w:rsidR="001D57FD">
        <w:t xml:space="preserve"> form</w:t>
      </w:r>
      <w:r>
        <w:t xml:space="preserve"> a subtribe of the tribe </w:t>
      </w:r>
      <w:proofErr w:type="spellStart"/>
      <w:r>
        <w:t>Psychotriae</w:t>
      </w:r>
      <w:proofErr w:type="spellEnd"/>
      <w:r>
        <w:t xml:space="preserve"> and include five genera of (almost-</w:t>
      </w:r>
      <w:r w:rsidR="005F2A43">
        <w:t>exclusively) epiphytic</w:t>
      </w:r>
      <w:r>
        <w:t xml:space="preserve"> domatium-bearing plants: </w:t>
      </w:r>
      <w:proofErr w:type="spellStart"/>
      <w:r>
        <w:rPr>
          <w:i/>
          <w:iCs/>
        </w:rPr>
        <w:t>Hydnophytum</w:t>
      </w:r>
      <w:proofErr w:type="spellEnd"/>
      <w:r>
        <w:t xml:space="preserve">, </w:t>
      </w:r>
      <w:proofErr w:type="spellStart"/>
      <w:r>
        <w:rPr>
          <w:i/>
          <w:iCs/>
        </w:rPr>
        <w:t>Myrmecodia</w:t>
      </w:r>
      <w:proofErr w:type="spellEnd"/>
      <w:r>
        <w:t xml:space="preserve">, </w:t>
      </w:r>
      <w:proofErr w:type="spellStart"/>
      <w:r>
        <w:rPr>
          <w:i/>
          <w:iCs/>
        </w:rPr>
        <w:t>Squamellaria</w:t>
      </w:r>
      <w:proofErr w:type="spellEnd"/>
      <w:r>
        <w:t xml:space="preserve">, </w:t>
      </w:r>
      <w:proofErr w:type="spellStart"/>
      <w:r>
        <w:rPr>
          <w:i/>
          <w:iCs/>
        </w:rPr>
        <w:t>Myrmephytum</w:t>
      </w:r>
      <w:proofErr w:type="spellEnd"/>
      <w:r>
        <w:rPr>
          <w:i/>
          <w:iCs/>
        </w:rPr>
        <w:t xml:space="preserve"> </w:t>
      </w:r>
      <w:r>
        <w:t xml:space="preserve">and </w:t>
      </w:r>
      <w:proofErr w:type="spellStart"/>
      <w:r>
        <w:rPr>
          <w:i/>
          <w:iCs/>
        </w:rPr>
        <w:t>Anthorrhiza</w:t>
      </w:r>
      <w:proofErr w:type="spellEnd"/>
      <w:r>
        <w:rPr>
          <w:i/>
          <w:iCs/>
        </w:rPr>
        <w:t xml:space="preserve"> </w:t>
      </w:r>
      <w:r>
        <w:t>(Huxley and Jebb, 1991a; Huxley and Jebb, 1991b; Huxley and Jebb, 1993</w:t>
      </w:r>
      <w:r w:rsidR="005F2A43">
        <w:t>a; Huxley</w:t>
      </w:r>
      <w:r>
        <w:t xml:space="preserve"> and Jebb, 1993b; Jebb and Huxley, 2019). The </w:t>
      </w:r>
      <w:sdt>
        <w:sdtPr>
          <w:tag w:val="goog_rdk_5"/>
          <w:id w:val="-1270480484"/>
        </w:sdtPr>
        <w:sdtContent/>
      </w:sdt>
      <w:proofErr w:type="spellStart"/>
      <w:r>
        <w:t>Hydnophytinae</w:t>
      </w:r>
      <w:proofErr w:type="spellEnd"/>
      <w:r>
        <w:t xml:space="preserve"> domatium derives </w:t>
      </w:r>
      <w:r w:rsidR="005F2A43">
        <w:t>from a</w:t>
      </w:r>
      <w:r>
        <w:t xml:space="preserve"> modified hypocotyl </w:t>
      </w:r>
      <w:r w:rsidR="00C411DA">
        <w:t>(Fig</w:t>
      </w:r>
      <w:r w:rsidR="007439F5">
        <w:t>.</w:t>
      </w:r>
      <w:r w:rsidR="00C411DA">
        <w:t xml:space="preserve"> </w:t>
      </w:r>
      <w:r w:rsidR="007439F5">
        <w:t>2</w:t>
      </w:r>
      <w:r w:rsidR="00C411DA">
        <w:t xml:space="preserve">) </w:t>
      </w:r>
      <w:r>
        <w:t xml:space="preserve">(the portion of stem below the cotyledons and before the primary </w:t>
      </w:r>
      <w:r w:rsidR="005F2A43">
        <w:t>root) and contains</w:t>
      </w:r>
      <w:r>
        <w:t xml:space="preserve"> a plant-made complex 3-dimensional network of cavities that leads to </w:t>
      </w:r>
      <w:r w:rsidR="005F2A43">
        <w:t>entrance holes here</w:t>
      </w:r>
      <w:r>
        <w:t xml:space="preserve"> the ants can go in and out of the domatium (Huxley, 1978; Chomicki and </w:t>
      </w:r>
      <w:r w:rsidR="005F2A43">
        <w:t>Renner, 2017</w:t>
      </w:r>
    </w:p>
    <w:p w14:paraId="00000178" w14:textId="796A716E" w:rsidR="00E420E3" w:rsidRDefault="008E5528" w:rsidP="00B5250B">
      <w:r>
        <w:t xml:space="preserve">The </w:t>
      </w:r>
      <w:proofErr w:type="spellStart"/>
      <w:r>
        <w:t>Hydnophytinae</w:t>
      </w:r>
      <w:proofErr w:type="spellEnd"/>
      <w:r>
        <w:t xml:space="preserve"> are an ideal model system for mutualism research as they present many  evolutionary transitions in the type of interactions with ants: some species form generalist and  facultative relationships with a wide range of arboreal ants, others form specialised and often  obligate relationships with one of a few species of Dolichoderinae ants (genera </w:t>
      </w:r>
      <w:proofErr w:type="spellStart"/>
      <w:r>
        <w:rPr>
          <w:i/>
          <w:iCs/>
        </w:rPr>
        <w:t>Philidris</w:t>
      </w:r>
      <w:proofErr w:type="spellEnd"/>
      <w:r>
        <w:rPr>
          <w:i/>
          <w:iCs/>
        </w:rPr>
        <w:t xml:space="preserve"> </w:t>
      </w:r>
      <w:r>
        <w:t>and</w:t>
      </w:r>
      <w:r w:rsidR="00A510F9">
        <w:t xml:space="preserve"> </w:t>
      </w:r>
      <w:proofErr w:type="spellStart"/>
      <w:r>
        <w:rPr>
          <w:i/>
          <w:iCs/>
        </w:rPr>
        <w:t>Anonychomyrma</w:t>
      </w:r>
      <w:proofErr w:type="spellEnd"/>
      <w:r>
        <w:t xml:space="preserve">) while some form no associations at all with them (Huxley, 1978; Jebb, 1991;  Chomicki and Renner, 2017). Ancestral state reconstructions revealed that the </w:t>
      </w:r>
      <w:proofErr w:type="spellStart"/>
      <w:r>
        <w:t>Hydnophytinae</w:t>
      </w:r>
      <w:proofErr w:type="spellEnd"/>
      <w:r>
        <w:t xml:space="preserve"> ancestrally formed generalist mutualisms with ants and subsequently underwent </w:t>
      </w:r>
      <w:r w:rsidR="005F2A43">
        <w:t xml:space="preserve">four </w:t>
      </w:r>
      <w:r w:rsidR="005F2A43">
        <w:lastRenderedPageBreak/>
        <w:t>independent</w:t>
      </w:r>
      <w:r>
        <w:t xml:space="preserve"> transitions to specialised and obligate relationships with ants, and at least </w:t>
      </w:r>
      <w:r w:rsidR="005F2A43">
        <w:t>12 independent</w:t>
      </w:r>
      <w:r>
        <w:t xml:space="preserve"> breakdowns of the generalist symbiosis (Chomicki and Renner, 2017). </w:t>
      </w:r>
    </w:p>
    <w:p w14:paraId="00000179" w14:textId="7DE057A9" w:rsidR="00E420E3" w:rsidRDefault="008E5528" w:rsidP="00B5250B">
      <w:r>
        <w:t xml:space="preserve">The structure of the domatium varies drastically in generalist versus specialised </w:t>
      </w:r>
      <w:proofErr w:type="spellStart"/>
      <w:r>
        <w:t>Hydnophytinae</w:t>
      </w:r>
      <w:proofErr w:type="spellEnd"/>
      <w:r>
        <w:t xml:space="preserve">  ant-plants: </w:t>
      </w:r>
      <w:sdt>
        <w:sdtPr>
          <w:tag w:val="goog_rdk_6"/>
          <w:id w:val="-2035211205"/>
        </w:sdtPr>
        <w:sdtContent/>
      </w:sdt>
      <w:r>
        <w:t xml:space="preserve">generalists have poorly differentiated inner domatium surfaces with some areas  being more smooth, some warty and even some growing internal roots, especially when a cavity  becomes filled with detritus; in contrast, specialised </w:t>
      </w:r>
      <w:proofErr w:type="spellStart"/>
      <w:r>
        <w:t>Hydnophytinae</w:t>
      </w:r>
      <w:proofErr w:type="spellEnd"/>
      <w:r>
        <w:t xml:space="preserve"> have highly differentiated  smooth areas, often covered with wax and suberin, and warty surfaces which are covered with  small evenly-sized and evenly-spaced warts </w:t>
      </w:r>
      <w:r w:rsidR="00B42922">
        <w:t xml:space="preserve">(Fig. 1) </w:t>
      </w:r>
      <w:r>
        <w:t xml:space="preserve">(Huxley and Jebb, 1991a; Huxley and Jebb 1991b;  Huxley, 1978; Chomicki and Renner, 2017). These morpho-anatomical differences </w:t>
      </w:r>
      <w:r w:rsidR="005F2A43">
        <w:t>reflect substantially</w:t>
      </w:r>
      <w:r>
        <w:t xml:space="preserve"> distinct nutritional aspects of the symbioses: in generalist species, the plant </w:t>
      </w:r>
      <w:r w:rsidR="005F2A43">
        <w:t>host benefits</w:t>
      </w:r>
      <w:r>
        <w:t xml:space="preserve"> from nutrients as a by-product of nesting, and all surfaces have the capacity to take-</w:t>
      </w:r>
      <w:r w:rsidR="005F2A43">
        <w:t>up nutrients</w:t>
      </w:r>
      <w:r>
        <w:t xml:space="preserve">, albeit at a limited rate. By contrast, in specialised species, the ants rear their brood </w:t>
      </w:r>
      <w:r w:rsidR="005F2A43">
        <w:t>in the</w:t>
      </w:r>
      <w:r>
        <w:t xml:space="preserve"> smooth cavities and defecate exclusively on the warty cavities, and this behaviour </w:t>
      </w:r>
      <w:r w:rsidR="005F2A43">
        <w:t>is reflected</w:t>
      </w:r>
      <w:r>
        <w:t xml:space="preserve"> in the plant physiology with the warts having a very high absorption capacity </w:t>
      </w:r>
      <w:r w:rsidR="005F2A43">
        <w:t>while the</w:t>
      </w:r>
      <w:r>
        <w:t xml:space="preserve"> smooth walls have a very limited absorption capability, in some species being </w:t>
      </w:r>
      <w:r w:rsidR="005F2A43">
        <w:t>impermeable (</w:t>
      </w:r>
      <w:r>
        <w:t xml:space="preserve">Huxley, 1978; Chomicki and Renner, 2019). </w:t>
      </w:r>
    </w:p>
    <w:p w14:paraId="0000017A" w14:textId="4BCCDD82" w:rsidR="00E420E3" w:rsidRDefault="008E5528" w:rsidP="00B5250B">
      <w:r>
        <w:t xml:space="preserve">Nitrogen is an essential macronutrient for plant development (Sarkar and Bakshi, 2025). It </w:t>
      </w:r>
      <w:r w:rsidR="005F2A43">
        <w:t>is an</w:t>
      </w:r>
      <w:r>
        <w:t xml:space="preserve"> essential element for the synthesis of biomolecules such as nucleotides, amino </w:t>
      </w:r>
      <w:r w:rsidR="005F2A43">
        <w:t>acids, proteins</w:t>
      </w:r>
      <w:r>
        <w:t xml:space="preserve"> and many others (Marcos de Leão et al. 2020). Nitrogen in the soil exists in </w:t>
      </w:r>
      <w:r w:rsidR="005F2A43">
        <w:t>three forms</w:t>
      </w:r>
      <w:r>
        <w:t>, which include organic nitrogen compounds, ammonium (NH</w:t>
      </w:r>
      <w:r>
        <w:rPr>
          <w:sz w:val="26"/>
          <w:szCs w:val="26"/>
          <w:vertAlign w:val="subscript"/>
        </w:rPr>
        <w:t>4</w:t>
      </w:r>
      <w:r>
        <w:rPr>
          <w:sz w:val="26"/>
          <w:szCs w:val="26"/>
          <w:vertAlign w:val="superscript"/>
        </w:rPr>
        <w:t>+</w:t>
      </w:r>
      <w:r>
        <w:t>), and nitrate (NO</w:t>
      </w:r>
      <w:r>
        <w:rPr>
          <w:sz w:val="26"/>
          <w:szCs w:val="26"/>
          <w:vertAlign w:val="subscript"/>
        </w:rPr>
        <w:t>3</w:t>
      </w:r>
      <w:r>
        <w:rPr>
          <w:rFonts w:ascii="Gungsuh" w:eastAsia="Gungsuh" w:hAnsi="Gungsuh" w:cs="Gungsuh"/>
          <w:sz w:val="26"/>
          <w:szCs w:val="26"/>
          <w:vertAlign w:val="superscript"/>
        </w:rPr>
        <w:t>−</w:t>
      </w:r>
      <w:r>
        <w:t xml:space="preserve">) </w:t>
      </w:r>
      <w:r w:rsidR="005F2A43">
        <w:t>ions (</w:t>
      </w:r>
      <w:r>
        <w:t xml:space="preserve">Williams and Miller, 2001). Plants primarily take up nitrogen in the form of ammonium </w:t>
      </w:r>
      <w:r w:rsidR="005F2A43">
        <w:t>and nitrate</w:t>
      </w:r>
      <w:r>
        <w:t xml:space="preserve">. Organic nitrogen compounds must first be converted into these forms before plants </w:t>
      </w:r>
      <w:r w:rsidR="005F2A43">
        <w:t>can absorb</w:t>
      </w:r>
      <w:r>
        <w:t xml:space="preserve"> and utilise them (Sarkar and Bakshi, 2025). However, ants can also deposit nitrogen </w:t>
      </w:r>
      <w:r w:rsidR="005F2A43">
        <w:t>in different</w:t>
      </w:r>
      <w:r>
        <w:t xml:space="preserve"> forms (Martin, 1970). In particular, the structure of the plant tissues plays a </w:t>
      </w:r>
      <w:r w:rsidR="005F2A43">
        <w:t>crucial role</w:t>
      </w:r>
      <w:r>
        <w:t xml:space="preserve"> in nutrient uptake with varying surface characteristics, textures, and anatomical </w:t>
      </w:r>
      <w:r w:rsidR="005F2A43">
        <w:t>features influencing</w:t>
      </w:r>
      <w:r>
        <w:t xml:space="preserve"> how ants interact with the plants and how the plant absorbs nutrients </w:t>
      </w:r>
      <w:r>
        <w:rPr>
          <w:b/>
          <w:bCs/>
        </w:rPr>
        <w:t>(</w:t>
      </w:r>
      <w:proofErr w:type="spellStart"/>
      <w:r>
        <w:t>Defossez</w:t>
      </w:r>
      <w:proofErr w:type="spellEnd"/>
      <w:r>
        <w:t xml:space="preserve"> </w:t>
      </w:r>
      <w:r w:rsidR="004A2A77">
        <w:t>et al.</w:t>
      </w:r>
      <w:r>
        <w:t xml:space="preserve">, 2011). </w:t>
      </w:r>
    </w:p>
    <w:p w14:paraId="6A863268" w14:textId="34057DA4" w:rsidR="00937C17" w:rsidRPr="00453AF7" w:rsidRDefault="008E5528" w:rsidP="00B5250B">
      <w:r>
        <w:t xml:space="preserve">Previous studies are limited in </w:t>
      </w:r>
      <w:r w:rsidR="009F23E6">
        <w:t>ant-plant</w:t>
      </w:r>
      <w:r>
        <w:t xml:space="preserve"> nitrogen experiments. However, one notable </w:t>
      </w:r>
      <w:r w:rsidR="005F2A43">
        <w:t>study from</w:t>
      </w:r>
      <w:r>
        <w:t xml:space="preserve"> Volp et al. (2022) was the first to experimentally trace ant-derived nitrogen movement </w:t>
      </w:r>
      <w:r w:rsidR="005F2A43">
        <w:t>into a</w:t>
      </w:r>
      <w:r>
        <w:t xml:space="preserve"> plant using an ant-plant system. However, their work only investigated δ¹⁵N enrichment </w:t>
      </w:r>
      <w:r w:rsidR="005F2A43">
        <w:t xml:space="preserve">in </w:t>
      </w:r>
      <w:proofErr w:type="spellStart"/>
      <w:r w:rsidR="005F2A43">
        <w:t>Myrmecodia</w:t>
      </w:r>
      <w:proofErr w:type="spellEnd"/>
      <w:r>
        <w:rPr>
          <w:i/>
          <w:iCs/>
        </w:rPr>
        <w:t xml:space="preserve"> </w:t>
      </w:r>
      <w:proofErr w:type="spellStart"/>
      <w:r>
        <w:rPr>
          <w:i/>
          <w:iCs/>
        </w:rPr>
        <w:t>beccarii</w:t>
      </w:r>
      <w:proofErr w:type="spellEnd"/>
      <w:r>
        <w:rPr>
          <w:i/>
          <w:iCs/>
        </w:rPr>
        <w:t xml:space="preserve"> </w:t>
      </w:r>
      <w:r>
        <w:t xml:space="preserve">leaf tissue. In contrast, my study measures isotopic nitrogen enrichment in four tissue types (warty, tuber, smooth, and leaf) and does so in contrasting </w:t>
      </w:r>
      <w:r>
        <w:lastRenderedPageBreak/>
        <w:t xml:space="preserve">mutualism strategies. I used two species to study this contrast: </w:t>
      </w:r>
      <w:proofErr w:type="spellStart"/>
      <w:r>
        <w:rPr>
          <w:i/>
          <w:iCs/>
        </w:rPr>
        <w:t>Hydnophytum</w:t>
      </w:r>
      <w:proofErr w:type="spellEnd"/>
      <w:r>
        <w:rPr>
          <w:i/>
          <w:iCs/>
        </w:rPr>
        <w:t xml:space="preserve"> </w:t>
      </w:r>
      <w:proofErr w:type="spellStart"/>
      <w:r>
        <w:rPr>
          <w:i/>
          <w:iCs/>
        </w:rPr>
        <w:t>moseleyanum</w:t>
      </w:r>
      <w:proofErr w:type="spellEnd"/>
      <w:r>
        <w:t xml:space="preserve">, which form generalist symbioses with a wide range of arboreal ants and </w:t>
      </w:r>
      <w:proofErr w:type="spellStart"/>
      <w:r>
        <w:rPr>
          <w:i/>
          <w:iCs/>
        </w:rPr>
        <w:t>Myrmecodia</w:t>
      </w:r>
      <w:proofErr w:type="spellEnd"/>
      <w:r>
        <w:rPr>
          <w:i/>
          <w:iCs/>
        </w:rPr>
        <w:t xml:space="preserve"> </w:t>
      </w:r>
      <w:proofErr w:type="spellStart"/>
      <w:r>
        <w:rPr>
          <w:i/>
          <w:iCs/>
        </w:rPr>
        <w:t>beccarii</w:t>
      </w:r>
      <w:proofErr w:type="spellEnd"/>
      <w:r>
        <w:t xml:space="preserve">, which form specialised symbioses with </w:t>
      </w:r>
      <w:proofErr w:type="spellStart"/>
      <w:r>
        <w:rPr>
          <w:i/>
          <w:iCs/>
        </w:rPr>
        <w:t>Philidris</w:t>
      </w:r>
      <w:proofErr w:type="spellEnd"/>
      <w:r>
        <w:rPr>
          <w:i/>
          <w:iCs/>
        </w:rPr>
        <w:t xml:space="preserve"> cordata</w:t>
      </w:r>
      <w:r>
        <w:t>. This therefore allows a much more detailed assessment</w:t>
      </w:r>
      <w:r w:rsidR="00C46389">
        <w:t xml:space="preserve"> </w:t>
      </w:r>
      <w:r>
        <w:t xml:space="preserve">of plant nitrogen uptake than previously reported, and tests whether different mutualism strategies produce different nitrogen uptake patterns across the four </w:t>
      </w:r>
      <w:r w:rsidR="005F2A43">
        <w:t>tissues revealing</w:t>
      </w:r>
      <w:r>
        <w:t xml:space="preserve"> how these two </w:t>
      </w:r>
      <w:r w:rsidR="009F23E6">
        <w:t>ant-plant</w:t>
      </w:r>
      <w:r>
        <w:t xml:space="preserve"> systems vary </w:t>
      </w:r>
      <w:r w:rsidRPr="009159EA">
        <w:t xml:space="preserve">their nitrogen uptake patterns. </w:t>
      </w:r>
      <w:r w:rsidR="009159EA" w:rsidRPr="00453AF7">
        <w:t>To test this, plants were inoculated with ghost ants (</w:t>
      </w:r>
      <w:r w:rsidR="009159EA" w:rsidRPr="00453AF7">
        <w:rPr>
          <w:i/>
          <w:iCs/>
        </w:rPr>
        <w:t xml:space="preserve">Tapinoma </w:t>
      </w:r>
      <w:proofErr w:type="spellStart"/>
      <w:r w:rsidR="009159EA" w:rsidRPr="00453AF7">
        <w:rPr>
          <w:i/>
          <w:iCs/>
        </w:rPr>
        <w:t>melanocephalum</w:t>
      </w:r>
      <w:proofErr w:type="spellEnd"/>
      <w:r w:rsidR="009159EA" w:rsidRPr="00453AF7">
        <w:t>) due to their ease of forming co-dependency and availability, and ¹⁵N feeding experiments were conducted to test whether the symbioses were indeed nutritional mutualisms.</w:t>
      </w:r>
    </w:p>
    <w:p w14:paraId="0000017D" w14:textId="3301D8E9" w:rsidR="00E420E3" w:rsidRDefault="008E5528" w:rsidP="00B5250B">
      <w:r>
        <w:t xml:space="preserve">Specifically, to </w:t>
      </w:r>
      <w:r w:rsidR="005F2A43">
        <w:t>determine whether</w:t>
      </w:r>
      <w:r>
        <w:t xml:space="preserve"> the presence of ants leads to enhanced nitrogen uptake across these tissues, I </w:t>
      </w:r>
      <w:r w:rsidR="005F2A43">
        <w:t xml:space="preserve">performed </w:t>
      </w:r>
      <w:r w:rsidR="00AB36EE">
        <w:t>feeding experiments</w:t>
      </w:r>
      <w:r>
        <w:t xml:space="preserve"> with nitrogen isotopes (¹⁵N). Developing this novel </w:t>
      </w:r>
      <w:r w:rsidR="005F2A43">
        <w:t>experimental symbiotic</w:t>
      </w:r>
      <w:r w:rsidR="00C46389">
        <w:t xml:space="preserve"> </w:t>
      </w:r>
      <w:r>
        <w:t xml:space="preserve">system was crucial to develop an experimental approach to characterise </w:t>
      </w:r>
      <w:r w:rsidR="00AB36EE">
        <w:t>how mutualistic</w:t>
      </w:r>
      <w:r>
        <w:t xml:space="preserve"> dependence affects mutualistic gene expression and to determine if </w:t>
      </w:r>
      <w:r w:rsidR="00AB36EE">
        <w:t>obligate ant</w:t>
      </w:r>
      <w:r w:rsidR="009F23E6">
        <w:t>-plant</w:t>
      </w:r>
      <w:r>
        <w:t xml:space="preserve"> systems take up more nitrogen than the facultative comparative system.  </w:t>
      </w:r>
    </w:p>
    <w:p w14:paraId="0000017E" w14:textId="77777777" w:rsidR="00E420E3" w:rsidRDefault="008E5528" w:rsidP="00C46389">
      <w:pPr>
        <w:pStyle w:val="Heading3"/>
      </w:pPr>
      <w:bookmarkStart w:id="42" w:name="_Toc235392988"/>
      <w:r>
        <w:t>3.3. Materials and methods</w:t>
      </w:r>
      <w:bookmarkEnd w:id="42"/>
      <w:r>
        <w:t xml:space="preserve"> </w:t>
      </w:r>
    </w:p>
    <w:p w14:paraId="0000017F" w14:textId="77777777" w:rsidR="00E420E3" w:rsidRPr="00937C17" w:rsidRDefault="008E5528" w:rsidP="00937C17">
      <w:pPr>
        <w:pStyle w:val="Heading4"/>
      </w:pPr>
      <w:bookmarkStart w:id="43" w:name="_Toc235392989"/>
      <w:r w:rsidRPr="00937C17">
        <w:t>3.3.1 Formation of experimental symbioses with ghost ants</w:t>
      </w:r>
      <w:bookmarkEnd w:id="43"/>
    </w:p>
    <w:p w14:paraId="5AB00FC3" w14:textId="28F73BDD" w:rsidR="00C270E0" w:rsidRPr="003D7E0A" w:rsidRDefault="008E5528" w:rsidP="00937C17">
      <w:pPr>
        <w:rPr>
          <w:rFonts w:eastAsia="Times New Roman" w:cs="Times New Roman"/>
          <w:noProof/>
          <w:szCs w:val="24"/>
        </w:rPr>
      </w:pPr>
      <w:r w:rsidRPr="002C4530">
        <w:t xml:space="preserve">We noticed that ghost ants appeared in our tropical greenhouse compartment at the Arthur Willis Environmental Centre (AWEC) and started to invade plants (obligate and facultative species existing without ants), nesting in the pots of most of them. We noticed that in </w:t>
      </w:r>
      <w:proofErr w:type="spellStart"/>
      <w:r w:rsidRPr="002C4530">
        <w:t>Hydnophytinae</w:t>
      </w:r>
      <w:proofErr w:type="spellEnd"/>
      <w:r w:rsidRPr="002C4530">
        <w:t xml:space="preserve"> ant-plants growing in this compartment, the ants rapidly conquered the domatium, nesting within it. The life history of ghost ants also facilitated the establishment of experimental symbioses, since this species is highly polydomous, meaning that it constantly forms satellite nests, while the ants would be genetically highly similar. This ensured that we had homogeneous colonies in genetic and behaviour terms in all plants with ghost ants. Contrary to some other plants invaded by ghost ants, which are known to tend and protect scale insects (Hemiptera: </w:t>
      </w:r>
      <w:proofErr w:type="spellStart"/>
      <w:r w:rsidRPr="002C4530">
        <w:t>Coccidae</w:t>
      </w:r>
      <w:proofErr w:type="spellEnd"/>
      <w:r w:rsidRPr="002C4530">
        <w:t xml:space="preserve">) as a source of honeydew which is often detrimental to the host plant by promoting pest infestations and nutrient drain. </w:t>
      </w:r>
      <w:proofErr w:type="spellStart"/>
      <w:r w:rsidRPr="002C4530">
        <w:t>Hydnophytinae</w:t>
      </w:r>
      <w:proofErr w:type="spellEnd"/>
      <w:r w:rsidRPr="002C4530">
        <w:t xml:space="preserve"> ant-plants never showed any scale insects and appeared very healthy despite the large ant colonies living inside them. This likely reflects the </w:t>
      </w:r>
      <w:proofErr w:type="spellStart"/>
      <w:r w:rsidRPr="002C4530">
        <w:t>Hydnophytinae's</w:t>
      </w:r>
      <w:proofErr w:type="spellEnd"/>
      <w:r w:rsidRPr="002C4530">
        <w:t xml:space="preserve"> specialised domatium structure, which restricts access to the plant interior and may deter scale insect establishment. We thus chose </w:t>
      </w:r>
      <w:proofErr w:type="spellStart"/>
      <w:r w:rsidRPr="00167065">
        <w:rPr>
          <w:i/>
          <w:iCs/>
        </w:rPr>
        <w:t>Hydnophytum</w:t>
      </w:r>
      <w:proofErr w:type="spellEnd"/>
      <w:r w:rsidRPr="00167065">
        <w:rPr>
          <w:i/>
          <w:iCs/>
        </w:rPr>
        <w:t xml:space="preserve"> </w:t>
      </w:r>
      <w:proofErr w:type="spellStart"/>
      <w:r w:rsidRPr="00167065">
        <w:rPr>
          <w:i/>
          <w:iCs/>
        </w:rPr>
        <w:t>moseleyanum</w:t>
      </w:r>
      <w:proofErr w:type="spellEnd"/>
      <w:r w:rsidRPr="002C4530">
        <w:t xml:space="preserve"> a facultative species and </w:t>
      </w:r>
      <w:proofErr w:type="spellStart"/>
      <w:r w:rsidRPr="00167065">
        <w:rPr>
          <w:i/>
          <w:iCs/>
        </w:rPr>
        <w:t>Myrmecodia</w:t>
      </w:r>
      <w:proofErr w:type="spellEnd"/>
      <w:r w:rsidRPr="00167065">
        <w:rPr>
          <w:i/>
          <w:iCs/>
        </w:rPr>
        <w:t xml:space="preserve"> </w:t>
      </w:r>
      <w:proofErr w:type="spellStart"/>
      <w:r w:rsidRPr="00167065">
        <w:rPr>
          <w:i/>
          <w:iCs/>
        </w:rPr>
        <w:t>beccarii</w:t>
      </w:r>
      <w:proofErr w:type="spellEnd"/>
      <w:r w:rsidRPr="002C4530">
        <w:t xml:space="preserve"> an obligate species with distinct mutualistic </w:t>
      </w:r>
      <w:r w:rsidR="00AB36EE" w:rsidRPr="002C4530">
        <w:t>dependence and</w:t>
      </w:r>
      <w:r w:rsidRPr="002C4530">
        <w:t xml:space="preserve"> let N = 3 plants per species with ghost ants, and the </w:t>
      </w:r>
      <w:r w:rsidRPr="002C4530">
        <w:lastRenderedPageBreak/>
        <w:t xml:space="preserve">same number of plants without ants, isolated on an island platform </w:t>
      </w:r>
      <w:r w:rsidR="00F667E3">
        <w:t xml:space="preserve">(Fig. 5) </w:t>
      </w:r>
      <w:r w:rsidRPr="002C4530">
        <w:t>to prevent ant access to plants (</w:t>
      </w:r>
      <w:r w:rsidR="002060CB">
        <w:t>Fig. 6</w:t>
      </w:r>
      <w:r w:rsidRPr="002C4530">
        <w:t>). To begin with, all plants were consiste</w:t>
      </w:r>
      <w:r w:rsidR="00167065">
        <w:t>n</w:t>
      </w:r>
      <w:r w:rsidRPr="002C4530">
        <w:t xml:space="preserve">t by being exposed to ants, except for the plants that were used downstream under the controls fertiliser and ants free serving the control. An additional control in which ant-colonised plants were fed a sugar solution without ¹⁵N glycine was not included in the current design; this would have allowed confirmation that δ¹⁵N enrichment was attributable specifically to isotope transfer rather than to ant colonisation per </w:t>
      </w:r>
      <w:r w:rsidR="00AB36EE" w:rsidRPr="002C4530">
        <w:t>se and</w:t>
      </w:r>
      <w:r w:rsidRPr="002C4530">
        <w:t xml:space="preserve"> should be considered in future experimental designs. This was carried out in a greenhouse setting at AWEC, at The University of Sheffield where the control plants were elevated on platforms above a barrier tray filled with water with detergent (which reduced tension surface and prevented the ants to swim) as well as 1% bleach. This setup acted as both a chemical and physical deterrent, ensuring no ants could reach the plants. We used climatic conditions close to native ones: 27°C during the day and 25°C at night, with 12 hours lights, plant watering once every 2 days and 85% humidity. All plants were potted in Westland Multi-Purpose Compost with John Innes soil with 30% perlite.</w:t>
      </w:r>
    </w:p>
    <w:p w14:paraId="2EB6C98C" w14:textId="1634831D" w:rsidR="00C270E0" w:rsidRDefault="00C270E0" w:rsidP="009B4375">
      <w:pPr>
        <w:widowControl w:val="0"/>
        <w:pBdr>
          <w:top w:val="nil"/>
          <w:left w:val="nil"/>
          <w:bottom w:val="nil"/>
          <w:right w:val="nil"/>
          <w:between w:val="nil"/>
        </w:pBdr>
        <w:spacing w:before="293" w:line="344" w:lineRule="auto"/>
        <w:ind w:firstLine="14"/>
      </w:pPr>
    </w:p>
    <w:p w14:paraId="61A8B281" w14:textId="7EB694D2" w:rsidR="00C270E0" w:rsidRDefault="00C270E0" w:rsidP="009B4375">
      <w:pPr>
        <w:widowControl w:val="0"/>
        <w:pBdr>
          <w:top w:val="nil"/>
          <w:left w:val="nil"/>
          <w:bottom w:val="nil"/>
          <w:right w:val="nil"/>
          <w:between w:val="nil"/>
        </w:pBdr>
        <w:spacing w:before="293" w:line="344" w:lineRule="auto"/>
        <w:ind w:firstLine="14"/>
      </w:pPr>
    </w:p>
    <w:p w14:paraId="4608665A" w14:textId="72608CD4" w:rsidR="00C270E0" w:rsidRDefault="00C270E0" w:rsidP="009B4375">
      <w:pPr>
        <w:widowControl w:val="0"/>
        <w:pBdr>
          <w:top w:val="nil"/>
          <w:left w:val="nil"/>
          <w:bottom w:val="nil"/>
          <w:right w:val="nil"/>
          <w:between w:val="nil"/>
        </w:pBdr>
        <w:spacing w:before="293" w:line="344" w:lineRule="auto"/>
        <w:ind w:firstLine="14"/>
      </w:pPr>
    </w:p>
    <w:p w14:paraId="272BA422" w14:textId="200F8726" w:rsidR="00C270E0" w:rsidRDefault="00C270E0" w:rsidP="009B4375">
      <w:pPr>
        <w:widowControl w:val="0"/>
        <w:pBdr>
          <w:top w:val="nil"/>
          <w:left w:val="nil"/>
          <w:bottom w:val="nil"/>
          <w:right w:val="nil"/>
          <w:between w:val="nil"/>
        </w:pBdr>
        <w:spacing w:before="293" w:line="344" w:lineRule="auto"/>
        <w:ind w:firstLine="14"/>
      </w:pPr>
    </w:p>
    <w:p w14:paraId="269E8934" w14:textId="0A151651" w:rsidR="00C270E0" w:rsidRDefault="00C270E0" w:rsidP="009B4375">
      <w:pPr>
        <w:widowControl w:val="0"/>
        <w:pBdr>
          <w:top w:val="nil"/>
          <w:left w:val="nil"/>
          <w:bottom w:val="nil"/>
          <w:right w:val="nil"/>
          <w:between w:val="nil"/>
        </w:pBdr>
        <w:spacing w:before="293" w:line="344" w:lineRule="auto"/>
        <w:ind w:firstLine="14"/>
      </w:pPr>
    </w:p>
    <w:p w14:paraId="762F22EA" w14:textId="622F8193" w:rsidR="001D0897" w:rsidRDefault="001D0897" w:rsidP="009B4375">
      <w:pPr>
        <w:widowControl w:val="0"/>
        <w:pBdr>
          <w:top w:val="nil"/>
          <w:left w:val="nil"/>
          <w:bottom w:val="nil"/>
          <w:right w:val="nil"/>
          <w:between w:val="nil"/>
        </w:pBdr>
        <w:spacing w:before="293" w:line="344" w:lineRule="auto"/>
        <w:ind w:firstLine="14"/>
      </w:pPr>
    </w:p>
    <w:p w14:paraId="1091E65F" w14:textId="5BB18074" w:rsidR="001D0897" w:rsidRDefault="001D0897" w:rsidP="009B4375">
      <w:pPr>
        <w:widowControl w:val="0"/>
        <w:pBdr>
          <w:top w:val="nil"/>
          <w:left w:val="nil"/>
          <w:bottom w:val="nil"/>
          <w:right w:val="nil"/>
          <w:between w:val="nil"/>
        </w:pBdr>
        <w:spacing w:before="293" w:line="344" w:lineRule="auto"/>
        <w:ind w:firstLine="14"/>
      </w:pPr>
    </w:p>
    <w:p w14:paraId="47583E81" w14:textId="3D35BBA8" w:rsidR="001D0897" w:rsidRDefault="001D0897" w:rsidP="009B4375">
      <w:pPr>
        <w:widowControl w:val="0"/>
        <w:pBdr>
          <w:top w:val="nil"/>
          <w:left w:val="nil"/>
          <w:bottom w:val="nil"/>
          <w:right w:val="nil"/>
          <w:between w:val="nil"/>
        </w:pBdr>
        <w:spacing w:before="293" w:line="344" w:lineRule="auto"/>
        <w:ind w:firstLine="14"/>
      </w:pPr>
    </w:p>
    <w:p w14:paraId="28621313" w14:textId="77777777" w:rsidR="001D0897" w:rsidRDefault="001D0897" w:rsidP="009B4375">
      <w:pPr>
        <w:widowControl w:val="0"/>
        <w:pBdr>
          <w:top w:val="nil"/>
          <w:left w:val="nil"/>
          <w:bottom w:val="nil"/>
          <w:right w:val="nil"/>
          <w:between w:val="nil"/>
        </w:pBdr>
        <w:spacing w:before="293" w:line="344" w:lineRule="auto"/>
        <w:ind w:firstLine="14"/>
      </w:pPr>
    </w:p>
    <w:p w14:paraId="0A65ACD5" w14:textId="25C71278" w:rsidR="001D0897" w:rsidRDefault="001D0897" w:rsidP="009B4375">
      <w:pPr>
        <w:widowControl w:val="0"/>
        <w:pBdr>
          <w:top w:val="nil"/>
          <w:left w:val="nil"/>
          <w:bottom w:val="nil"/>
          <w:right w:val="nil"/>
          <w:between w:val="nil"/>
        </w:pBdr>
        <w:spacing w:before="293" w:line="344" w:lineRule="auto"/>
        <w:ind w:firstLine="14"/>
      </w:pPr>
    </w:p>
    <w:p w14:paraId="79E97B6C" w14:textId="77777777" w:rsidR="001D0897" w:rsidRDefault="001D0897" w:rsidP="009B4375">
      <w:pPr>
        <w:widowControl w:val="0"/>
        <w:pBdr>
          <w:top w:val="nil"/>
          <w:left w:val="nil"/>
          <w:bottom w:val="nil"/>
          <w:right w:val="nil"/>
          <w:between w:val="nil"/>
        </w:pBdr>
        <w:spacing w:before="293" w:line="344" w:lineRule="auto"/>
        <w:ind w:firstLine="14"/>
      </w:pPr>
    </w:p>
    <w:p w14:paraId="54416C48" w14:textId="7F8B496D" w:rsidR="003D7E0A" w:rsidRDefault="003D7E0A" w:rsidP="009B4375">
      <w:pPr>
        <w:widowControl w:val="0"/>
        <w:pBdr>
          <w:top w:val="nil"/>
          <w:left w:val="nil"/>
          <w:bottom w:val="nil"/>
          <w:right w:val="nil"/>
          <w:between w:val="nil"/>
        </w:pBdr>
        <w:spacing w:before="293" w:line="344" w:lineRule="auto"/>
        <w:ind w:firstLine="14"/>
      </w:pPr>
    </w:p>
    <w:p w14:paraId="2705FE1C" w14:textId="5A5F4AAA" w:rsidR="001D0897" w:rsidRDefault="001D0897" w:rsidP="009B4375">
      <w:pPr>
        <w:widowControl w:val="0"/>
        <w:pBdr>
          <w:top w:val="nil"/>
          <w:left w:val="nil"/>
          <w:bottom w:val="nil"/>
          <w:right w:val="nil"/>
          <w:between w:val="nil"/>
        </w:pBdr>
        <w:spacing w:before="293" w:line="344" w:lineRule="auto"/>
        <w:ind w:firstLine="14"/>
      </w:pPr>
    </w:p>
    <w:p w14:paraId="05DD2155" w14:textId="14C037FF" w:rsidR="001D0897" w:rsidRDefault="003D7E0A" w:rsidP="009B4375">
      <w:pPr>
        <w:widowControl w:val="0"/>
        <w:pBdr>
          <w:top w:val="nil"/>
          <w:left w:val="nil"/>
          <w:bottom w:val="nil"/>
          <w:right w:val="nil"/>
          <w:between w:val="nil"/>
        </w:pBdr>
        <w:spacing w:before="293" w:line="344" w:lineRule="auto"/>
        <w:ind w:firstLine="14"/>
      </w:pPr>
      <w:r>
        <w:rPr>
          <w:rFonts w:eastAsia="Times New Roman" w:cs="Times New Roman"/>
          <w:noProof/>
          <w:szCs w:val="24"/>
        </w:rPr>
        <w:drawing>
          <wp:anchor distT="0" distB="0" distL="114300" distR="114300" simplePos="0" relativeHeight="251666438" behindDoc="0" locked="0" layoutInCell="1" allowOverlap="1" wp14:anchorId="7DB48607" wp14:editId="2D30FC1E">
            <wp:simplePos x="0" y="0"/>
            <wp:positionH relativeFrom="margin">
              <wp:align>center</wp:align>
            </wp:positionH>
            <wp:positionV relativeFrom="paragraph">
              <wp:posOffset>94615</wp:posOffset>
            </wp:positionV>
            <wp:extent cx="5112385" cy="3816350"/>
            <wp:effectExtent l="0" t="0" r="0" b="0"/>
            <wp:wrapNone/>
            <wp:docPr id="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9">
                      <a:extLst>
                        <a:ext uri="{28A0092B-C50C-407E-A947-70E740481C1C}">
                          <a14:useLocalDpi xmlns:a14="http://schemas.microsoft.com/office/drawing/2010/main" val="0"/>
                        </a:ext>
                      </a:extLst>
                    </a:blip>
                    <a:srcRect/>
                    <a:stretch>
                      <a:fillRect/>
                    </a:stretch>
                  </pic:blipFill>
                  <pic:spPr>
                    <a:xfrm>
                      <a:off x="0" y="0"/>
                      <a:ext cx="5112385" cy="3816350"/>
                    </a:xfrm>
                    <a:prstGeom prst="rect">
                      <a:avLst/>
                    </a:prstGeom>
                    <a:ln/>
                  </pic:spPr>
                </pic:pic>
              </a:graphicData>
            </a:graphic>
            <wp14:sizeRelH relativeFrom="margin">
              <wp14:pctWidth>0</wp14:pctWidth>
            </wp14:sizeRelH>
            <wp14:sizeRelV relativeFrom="margin">
              <wp14:pctHeight>0</wp14:pctHeight>
            </wp14:sizeRelV>
          </wp:anchor>
        </w:drawing>
      </w:r>
    </w:p>
    <w:p w14:paraId="34E5AE61" w14:textId="77777777" w:rsidR="001D0897" w:rsidRDefault="001D0897" w:rsidP="009B4375">
      <w:pPr>
        <w:widowControl w:val="0"/>
        <w:pBdr>
          <w:top w:val="nil"/>
          <w:left w:val="nil"/>
          <w:bottom w:val="nil"/>
          <w:right w:val="nil"/>
          <w:between w:val="nil"/>
        </w:pBdr>
        <w:spacing w:before="293" w:line="344" w:lineRule="auto"/>
        <w:ind w:firstLine="14"/>
      </w:pPr>
    </w:p>
    <w:p w14:paraId="6DC5E55C" w14:textId="77777777" w:rsidR="001D0897" w:rsidRDefault="001D0897" w:rsidP="009B4375">
      <w:pPr>
        <w:widowControl w:val="0"/>
        <w:pBdr>
          <w:top w:val="nil"/>
          <w:left w:val="nil"/>
          <w:bottom w:val="nil"/>
          <w:right w:val="nil"/>
          <w:between w:val="nil"/>
        </w:pBdr>
        <w:spacing w:before="293" w:line="344" w:lineRule="auto"/>
        <w:ind w:firstLine="14"/>
      </w:pPr>
    </w:p>
    <w:p w14:paraId="4222D036" w14:textId="77777777" w:rsidR="00C270E0" w:rsidRDefault="00C270E0" w:rsidP="009B4375">
      <w:pPr>
        <w:widowControl w:val="0"/>
        <w:pBdr>
          <w:top w:val="nil"/>
          <w:left w:val="nil"/>
          <w:bottom w:val="nil"/>
          <w:right w:val="nil"/>
          <w:between w:val="nil"/>
        </w:pBdr>
        <w:spacing w:before="293" w:line="344" w:lineRule="auto"/>
        <w:ind w:firstLine="14"/>
      </w:pPr>
    </w:p>
    <w:p w14:paraId="5C8B0384" w14:textId="77777777" w:rsidR="00C270E0" w:rsidRDefault="00C270E0" w:rsidP="009B4375">
      <w:pPr>
        <w:widowControl w:val="0"/>
        <w:pBdr>
          <w:top w:val="nil"/>
          <w:left w:val="nil"/>
          <w:bottom w:val="nil"/>
          <w:right w:val="nil"/>
          <w:between w:val="nil"/>
        </w:pBdr>
        <w:spacing w:before="293" w:line="344" w:lineRule="auto"/>
        <w:ind w:firstLine="14"/>
      </w:pPr>
    </w:p>
    <w:p w14:paraId="6B92C8DF" w14:textId="77777777" w:rsidR="00C270E0" w:rsidRDefault="00C270E0" w:rsidP="009B4375">
      <w:pPr>
        <w:widowControl w:val="0"/>
        <w:pBdr>
          <w:top w:val="nil"/>
          <w:left w:val="nil"/>
          <w:bottom w:val="nil"/>
          <w:right w:val="nil"/>
          <w:between w:val="nil"/>
        </w:pBdr>
        <w:spacing w:before="293" w:line="344" w:lineRule="auto"/>
        <w:ind w:firstLine="14"/>
      </w:pPr>
    </w:p>
    <w:p w14:paraId="17EE9B72" w14:textId="24EE58F5" w:rsidR="00C270E0" w:rsidRDefault="00C270E0" w:rsidP="009B4375">
      <w:pPr>
        <w:widowControl w:val="0"/>
        <w:pBdr>
          <w:top w:val="nil"/>
          <w:left w:val="nil"/>
          <w:bottom w:val="nil"/>
          <w:right w:val="nil"/>
          <w:between w:val="nil"/>
        </w:pBdr>
        <w:spacing w:before="293" w:line="344" w:lineRule="auto"/>
        <w:ind w:firstLine="14"/>
      </w:pPr>
    </w:p>
    <w:p w14:paraId="37CA2E46" w14:textId="77777777" w:rsidR="003D7E0A" w:rsidRDefault="003D7E0A" w:rsidP="00D5299E">
      <w:pPr>
        <w:pStyle w:val="Caption"/>
        <w:rPr>
          <w:b/>
          <w:bCs/>
          <w:i w:val="0"/>
          <w:iCs w:val="0"/>
          <w:color w:val="auto"/>
          <w:sz w:val="24"/>
          <w:szCs w:val="24"/>
        </w:rPr>
      </w:pPr>
      <w:bookmarkStart w:id="44" w:name="_Toc235390726"/>
    </w:p>
    <w:p w14:paraId="4D6F1EE5" w14:textId="77777777" w:rsidR="003D7E0A" w:rsidRDefault="003D7E0A" w:rsidP="00D5299E">
      <w:pPr>
        <w:pStyle w:val="Caption"/>
        <w:rPr>
          <w:b/>
          <w:bCs/>
          <w:i w:val="0"/>
          <w:iCs w:val="0"/>
          <w:color w:val="auto"/>
          <w:sz w:val="24"/>
          <w:szCs w:val="24"/>
        </w:rPr>
      </w:pPr>
    </w:p>
    <w:p w14:paraId="63174872" w14:textId="77777777" w:rsidR="003D7E0A" w:rsidRDefault="003D7E0A" w:rsidP="00D5299E">
      <w:pPr>
        <w:pStyle w:val="Caption"/>
        <w:rPr>
          <w:b/>
          <w:bCs/>
          <w:i w:val="0"/>
          <w:iCs w:val="0"/>
          <w:color w:val="auto"/>
          <w:sz w:val="24"/>
          <w:szCs w:val="24"/>
        </w:rPr>
      </w:pPr>
    </w:p>
    <w:p w14:paraId="1C5E6499" w14:textId="77777777" w:rsidR="003D7E0A" w:rsidRDefault="003D7E0A" w:rsidP="00D5299E">
      <w:pPr>
        <w:pStyle w:val="Caption"/>
        <w:rPr>
          <w:b/>
          <w:bCs/>
          <w:i w:val="0"/>
          <w:iCs w:val="0"/>
          <w:color w:val="auto"/>
          <w:sz w:val="24"/>
          <w:szCs w:val="24"/>
        </w:rPr>
      </w:pPr>
    </w:p>
    <w:p w14:paraId="7FB3E2C5" w14:textId="0F431A8E" w:rsidR="00B658F9" w:rsidRDefault="00C55E38" w:rsidP="00D5299E">
      <w:pPr>
        <w:pStyle w:val="Caption"/>
        <w:rPr>
          <w:i w:val="0"/>
          <w:iCs w:val="0"/>
          <w:color w:val="auto"/>
          <w:sz w:val="24"/>
          <w:szCs w:val="24"/>
        </w:rPr>
      </w:pPr>
      <w:r w:rsidRPr="00096BD8">
        <w:rPr>
          <w:b/>
          <w:bCs/>
          <w:i w:val="0"/>
          <w:iCs w:val="0"/>
          <w:color w:val="auto"/>
          <w:sz w:val="24"/>
          <w:szCs w:val="24"/>
        </w:rPr>
        <w:t xml:space="preserve">Figure </w:t>
      </w:r>
      <w:r w:rsidRPr="00096BD8">
        <w:rPr>
          <w:b/>
          <w:bCs/>
          <w:i w:val="0"/>
          <w:iCs w:val="0"/>
          <w:color w:val="auto"/>
          <w:sz w:val="24"/>
          <w:szCs w:val="24"/>
        </w:rPr>
        <w:fldChar w:fldCharType="begin"/>
      </w:r>
      <w:r w:rsidRPr="00096BD8">
        <w:rPr>
          <w:b/>
          <w:bCs/>
          <w:i w:val="0"/>
          <w:iCs w:val="0"/>
          <w:color w:val="auto"/>
          <w:sz w:val="24"/>
          <w:szCs w:val="24"/>
        </w:rPr>
        <w:instrText xml:space="preserve"> SEQ Figure \* ARABIC </w:instrText>
      </w:r>
      <w:r w:rsidRPr="00096BD8">
        <w:rPr>
          <w:b/>
          <w:bCs/>
          <w:i w:val="0"/>
          <w:iCs w:val="0"/>
          <w:color w:val="auto"/>
          <w:sz w:val="24"/>
          <w:szCs w:val="24"/>
        </w:rPr>
        <w:fldChar w:fldCharType="separate"/>
      </w:r>
      <w:r w:rsidR="008248B6" w:rsidRPr="00096BD8">
        <w:rPr>
          <w:b/>
          <w:bCs/>
          <w:i w:val="0"/>
          <w:iCs w:val="0"/>
          <w:noProof/>
          <w:color w:val="auto"/>
          <w:sz w:val="24"/>
          <w:szCs w:val="24"/>
        </w:rPr>
        <w:t>4</w:t>
      </w:r>
      <w:r w:rsidRPr="00096BD8">
        <w:rPr>
          <w:b/>
          <w:bCs/>
          <w:i w:val="0"/>
          <w:iCs w:val="0"/>
          <w:color w:val="auto"/>
          <w:sz w:val="24"/>
          <w:szCs w:val="24"/>
        </w:rPr>
        <w:fldChar w:fldCharType="end"/>
      </w:r>
      <w:r w:rsidR="00201466">
        <w:rPr>
          <w:b/>
          <w:bCs/>
          <w:i w:val="0"/>
          <w:iCs w:val="0"/>
          <w:color w:val="auto"/>
          <w:sz w:val="24"/>
          <w:szCs w:val="24"/>
        </w:rPr>
        <w:t>.</w:t>
      </w:r>
      <w:r w:rsidRPr="00096BD8">
        <w:rPr>
          <w:b/>
          <w:bCs/>
          <w:i w:val="0"/>
          <w:iCs w:val="0"/>
          <w:color w:val="auto"/>
          <w:sz w:val="24"/>
          <w:szCs w:val="24"/>
        </w:rPr>
        <w:t xml:space="preserve"> </w:t>
      </w:r>
      <w:r w:rsidRPr="00096BD8">
        <w:rPr>
          <w:i w:val="0"/>
          <w:iCs w:val="0"/>
          <w:color w:val="auto"/>
          <w:sz w:val="24"/>
          <w:szCs w:val="24"/>
        </w:rPr>
        <w:t xml:space="preserve">Experimental setup for stable </w:t>
      </w:r>
      <w:r w:rsidRPr="00D5299E">
        <w:rPr>
          <w:i w:val="0"/>
          <w:iCs w:val="0"/>
          <w:color w:val="auto"/>
          <w:sz w:val="24"/>
          <w:szCs w:val="24"/>
        </w:rPr>
        <w:t>isotope labelling.</w:t>
      </w:r>
      <w:bookmarkEnd w:id="44"/>
      <w:r w:rsidR="00D5299E" w:rsidRPr="00D5299E">
        <w:rPr>
          <w:i w:val="0"/>
          <w:iCs w:val="0"/>
          <w:color w:val="auto"/>
          <w:sz w:val="24"/>
          <w:szCs w:val="24"/>
        </w:rPr>
        <w:t xml:space="preserve"> </w:t>
      </w:r>
      <w:r w:rsidRPr="00D5299E">
        <w:rPr>
          <w:i w:val="0"/>
          <w:iCs w:val="0"/>
          <w:color w:val="auto"/>
          <w:sz w:val="24"/>
          <w:szCs w:val="24"/>
        </w:rPr>
        <w:t xml:space="preserve">Several </w:t>
      </w:r>
      <w:r w:rsidRPr="00D5299E">
        <w:rPr>
          <w:color w:val="auto"/>
          <w:sz w:val="24"/>
          <w:szCs w:val="24"/>
        </w:rPr>
        <w:t xml:space="preserve">H. </w:t>
      </w:r>
      <w:proofErr w:type="spellStart"/>
      <w:r w:rsidRPr="00D5299E">
        <w:rPr>
          <w:color w:val="auto"/>
          <w:sz w:val="24"/>
          <w:szCs w:val="24"/>
        </w:rPr>
        <w:t>moseleyanum</w:t>
      </w:r>
      <w:proofErr w:type="spellEnd"/>
      <w:r w:rsidRPr="00D5299E">
        <w:rPr>
          <w:i w:val="0"/>
          <w:iCs w:val="0"/>
          <w:color w:val="auto"/>
          <w:sz w:val="24"/>
          <w:szCs w:val="24"/>
        </w:rPr>
        <w:t xml:space="preserve"> and </w:t>
      </w:r>
      <w:r w:rsidRPr="00D5299E">
        <w:rPr>
          <w:color w:val="auto"/>
          <w:sz w:val="24"/>
          <w:szCs w:val="24"/>
        </w:rPr>
        <w:t xml:space="preserve">M. </w:t>
      </w:r>
      <w:proofErr w:type="spellStart"/>
      <w:r w:rsidRPr="00D5299E">
        <w:rPr>
          <w:color w:val="auto"/>
          <w:sz w:val="24"/>
          <w:szCs w:val="24"/>
        </w:rPr>
        <w:t>beccarii</w:t>
      </w:r>
      <w:proofErr w:type="spellEnd"/>
      <w:r w:rsidRPr="00D5299E">
        <w:rPr>
          <w:i w:val="0"/>
          <w:iCs w:val="0"/>
          <w:color w:val="auto"/>
          <w:sz w:val="24"/>
          <w:szCs w:val="24"/>
        </w:rPr>
        <w:t xml:space="preserve"> plants are arranged with 1.5 mL Eppendorf tubes containing a sugary isotope mixture. The inset provides a magnified view of a single tube setup. White tape markers on the plants indicate the specific locations of the tubes, which are positioned to allow ant access and foraging.</w:t>
      </w:r>
    </w:p>
    <w:p w14:paraId="4A1CACD6" w14:textId="77777777" w:rsidR="00D5299E" w:rsidRPr="00D5299E" w:rsidRDefault="00D5299E" w:rsidP="00D5299E"/>
    <w:p w14:paraId="27878959" w14:textId="3388385F" w:rsidR="00AF530F" w:rsidRDefault="00AF530F" w:rsidP="00B658F9"/>
    <w:p w14:paraId="4768A509" w14:textId="77777777" w:rsidR="00AF530F" w:rsidRDefault="00AF530F" w:rsidP="00B658F9"/>
    <w:p w14:paraId="78759B76" w14:textId="77777777" w:rsidR="00AF530F" w:rsidRDefault="00AF530F" w:rsidP="00B658F9"/>
    <w:p w14:paraId="5DA9CF9C" w14:textId="7D211630" w:rsidR="00AF530F" w:rsidRDefault="00AF530F" w:rsidP="00B658F9"/>
    <w:p w14:paraId="343C6789" w14:textId="4B5DC590" w:rsidR="00AF530F" w:rsidRDefault="00AF530F" w:rsidP="00B658F9"/>
    <w:p w14:paraId="5C25B0BE" w14:textId="77777777" w:rsidR="00AF530F" w:rsidRDefault="00AF530F" w:rsidP="00B658F9"/>
    <w:p w14:paraId="1B1FC4B7" w14:textId="7774E27D" w:rsidR="00AF530F" w:rsidRDefault="00AF530F" w:rsidP="00B658F9"/>
    <w:p w14:paraId="694E6C50" w14:textId="77777777" w:rsidR="00AF530F" w:rsidRDefault="00AF530F" w:rsidP="00B658F9"/>
    <w:p w14:paraId="52DD1A11" w14:textId="67C612BA" w:rsidR="007808E4" w:rsidRDefault="003D7E0A" w:rsidP="00AF530F">
      <w:pPr>
        <w:rPr>
          <w:b/>
          <w:bCs/>
        </w:rPr>
      </w:pPr>
      <w:r>
        <w:rPr>
          <w:rFonts w:eastAsia="Times New Roman" w:cs="Times New Roman"/>
          <w:noProof/>
          <w:szCs w:val="24"/>
        </w:rPr>
        <w:lastRenderedPageBreak/>
        <w:drawing>
          <wp:anchor distT="0" distB="0" distL="114300" distR="114300" simplePos="0" relativeHeight="251667462" behindDoc="0" locked="0" layoutInCell="1" allowOverlap="1" wp14:anchorId="79F614DA" wp14:editId="34C96248">
            <wp:simplePos x="0" y="0"/>
            <wp:positionH relativeFrom="margin">
              <wp:align>left</wp:align>
            </wp:positionH>
            <wp:positionV relativeFrom="paragraph">
              <wp:posOffset>238125</wp:posOffset>
            </wp:positionV>
            <wp:extent cx="5740400" cy="2959100"/>
            <wp:effectExtent l="0" t="0" r="0" b="0"/>
            <wp:wrapNone/>
            <wp:docPr id="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extLst>
                        <a:ext uri="{28A0092B-C50C-407E-A947-70E740481C1C}">
                          <a14:useLocalDpi xmlns:a14="http://schemas.microsoft.com/office/drawing/2010/main" val="0"/>
                        </a:ext>
                      </a:extLst>
                    </a:blip>
                    <a:srcRect/>
                    <a:stretch>
                      <a:fillRect/>
                    </a:stretch>
                  </pic:blipFill>
                  <pic:spPr>
                    <a:xfrm>
                      <a:off x="0" y="0"/>
                      <a:ext cx="5740400" cy="2959100"/>
                    </a:xfrm>
                    <a:prstGeom prst="rect">
                      <a:avLst/>
                    </a:prstGeom>
                    <a:ln/>
                  </pic:spPr>
                </pic:pic>
              </a:graphicData>
            </a:graphic>
          </wp:anchor>
        </w:drawing>
      </w:r>
    </w:p>
    <w:p w14:paraId="08DCA751" w14:textId="5D69969F" w:rsidR="003D7E0A" w:rsidRDefault="003D7E0A" w:rsidP="00D5299E">
      <w:pPr>
        <w:pStyle w:val="Caption"/>
        <w:rPr>
          <w:b/>
          <w:bCs/>
          <w:i w:val="0"/>
          <w:iCs w:val="0"/>
          <w:color w:val="auto"/>
          <w:sz w:val="24"/>
          <w:szCs w:val="24"/>
        </w:rPr>
      </w:pPr>
      <w:bookmarkStart w:id="45" w:name="_Toc235390727"/>
    </w:p>
    <w:p w14:paraId="166F8485" w14:textId="7C3DBE9A" w:rsidR="003D7E0A" w:rsidRDefault="003D7E0A" w:rsidP="00D5299E">
      <w:pPr>
        <w:pStyle w:val="Caption"/>
        <w:rPr>
          <w:b/>
          <w:bCs/>
          <w:i w:val="0"/>
          <w:iCs w:val="0"/>
          <w:color w:val="auto"/>
          <w:sz w:val="24"/>
          <w:szCs w:val="24"/>
        </w:rPr>
      </w:pPr>
    </w:p>
    <w:p w14:paraId="3B22479A" w14:textId="5913C2F3" w:rsidR="003D7E0A" w:rsidRDefault="003D7E0A" w:rsidP="00D5299E">
      <w:pPr>
        <w:pStyle w:val="Caption"/>
        <w:rPr>
          <w:b/>
          <w:bCs/>
          <w:i w:val="0"/>
          <w:iCs w:val="0"/>
          <w:color w:val="auto"/>
          <w:sz w:val="24"/>
          <w:szCs w:val="24"/>
        </w:rPr>
      </w:pPr>
    </w:p>
    <w:p w14:paraId="7F84822A" w14:textId="5FAF7D35" w:rsidR="003D7E0A" w:rsidRDefault="003D7E0A" w:rsidP="00D5299E">
      <w:pPr>
        <w:pStyle w:val="Caption"/>
        <w:rPr>
          <w:b/>
          <w:bCs/>
          <w:i w:val="0"/>
          <w:iCs w:val="0"/>
          <w:color w:val="auto"/>
          <w:sz w:val="24"/>
          <w:szCs w:val="24"/>
        </w:rPr>
      </w:pPr>
    </w:p>
    <w:p w14:paraId="40242795" w14:textId="39023307" w:rsidR="003D7E0A" w:rsidRDefault="003D7E0A" w:rsidP="00D5299E">
      <w:pPr>
        <w:pStyle w:val="Caption"/>
        <w:rPr>
          <w:b/>
          <w:bCs/>
          <w:i w:val="0"/>
          <w:iCs w:val="0"/>
          <w:color w:val="auto"/>
          <w:sz w:val="24"/>
          <w:szCs w:val="24"/>
        </w:rPr>
      </w:pPr>
    </w:p>
    <w:p w14:paraId="54342684" w14:textId="77777777" w:rsidR="003D7E0A" w:rsidRDefault="003D7E0A" w:rsidP="00D5299E">
      <w:pPr>
        <w:pStyle w:val="Caption"/>
        <w:rPr>
          <w:b/>
          <w:bCs/>
          <w:i w:val="0"/>
          <w:iCs w:val="0"/>
          <w:color w:val="auto"/>
          <w:sz w:val="24"/>
          <w:szCs w:val="24"/>
        </w:rPr>
      </w:pPr>
    </w:p>
    <w:p w14:paraId="482A4B0B" w14:textId="5BC8A0DD" w:rsidR="003D7E0A" w:rsidRDefault="003D7E0A" w:rsidP="00D5299E">
      <w:pPr>
        <w:pStyle w:val="Caption"/>
        <w:rPr>
          <w:b/>
          <w:bCs/>
          <w:i w:val="0"/>
          <w:iCs w:val="0"/>
          <w:color w:val="auto"/>
          <w:sz w:val="24"/>
          <w:szCs w:val="24"/>
        </w:rPr>
      </w:pPr>
    </w:p>
    <w:p w14:paraId="6D8E6D08" w14:textId="77777777" w:rsidR="003D7E0A" w:rsidRDefault="003D7E0A" w:rsidP="00D5299E">
      <w:pPr>
        <w:pStyle w:val="Caption"/>
        <w:rPr>
          <w:b/>
          <w:bCs/>
          <w:i w:val="0"/>
          <w:iCs w:val="0"/>
          <w:color w:val="auto"/>
          <w:sz w:val="24"/>
          <w:szCs w:val="24"/>
        </w:rPr>
      </w:pPr>
    </w:p>
    <w:p w14:paraId="0912602E" w14:textId="323DADE4" w:rsidR="003D7E0A" w:rsidRDefault="003D7E0A" w:rsidP="00D5299E">
      <w:pPr>
        <w:pStyle w:val="Caption"/>
        <w:rPr>
          <w:b/>
          <w:bCs/>
          <w:i w:val="0"/>
          <w:iCs w:val="0"/>
          <w:color w:val="auto"/>
          <w:sz w:val="24"/>
          <w:szCs w:val="24"/>
        </w:rPr>
      </w:pPr>
    </w:p>
    <w:p w14:paraId="2C45E1A2" w14:textId="260FDB97" w:rsidR="003D7E0A" w:rsidRDefault="003D7E0A" w:rsidP="00D5299E">
      <w:pPr>
        <w:pStyle w:val="Caption"/>
        <w:rPr>
          <w:b/>
          <w:bCs/>
          <w:i w:val="0"/>
          <w:iCs w:val="0"/>
          <w:color w:val="auto"/>
          <w:sz w:val="24"/>
          <w:szCs w:val="24"/>
        </w:rPr>
      </w:pPr>
    </w:p>
    <w:p w14:paraId="00000181" w14:textId="358E7C1B" w:rsidR="00E420E3" w:rsidRDefault="00C55E38" w:rsidP="00D5299E">
      <w:pPr>
        <w:pStyle w:val="Caption"/>
      </w:pPr>
      <w:r w:rsidRPr="00096BD8">
        <w:rPr>
          <w:b/>
          <w:bCs/>
          <w:i w:val="0"/>
          <w:iCs w:val="0"/>
          <w:color w:val="auto"/>
          <w:sz w:val="24"/>
          <w:szCs w:val="24"/>
        </w:rPr>
        <w:t xml:space="preserve">Figure </w:t>
      </w:r>
      <w:r w:rsidRPr="00096BD8">
        <w:rPr>
          <w:b/>
          <w:bCs/>
          <w:i w:val="0"/>
          <w:iCs w:val="0"/>
          <w:color w:val="auto"/>
          <w:sz w:val="24"/>
          <w:szCs w:val="24"/>
        </w:rPr>
        <w:fldChar w:fldCharType="begin"/>
      </w:r>
      <w:r w:rsidRPr="00096BD8">
        <w:rPr>
          <w:b/>
          <w:bCs/>
          <w:i w:val="0"/>
          <w:iCs w:val="0"/>
          <w:color w:val="auto"/>
          <w:sz w:val="24"/>
          <w:szCs w:val="24"/>
        </w:rPr>
        <w:instrText xml:space="preserve"> SEQ Figure \* ARABIC </w:instrText>
      </w:r>
      <w:r w:rsidRPr="00096BD8">
        <w:rPr>
          <w:b/>
          <w:bCs/>
          <w:i w:val="0"/>
          <w:iCs w:val="0"/>
          <w:color w:val="auto"/>
          <w:sz w:val="24"/>
          <w:szCs w:val="24"/>
        </w:rPr>
        <w:fldChar w:fldCharType="separate"/>
      </w:r>
      <w:r w:rsidR="008248B6" w:rsidRPr="00096BD8">
        <w:rPr>
          <w:b/>
          <w:bCs/>
          <w:i w:val="0"/>
          <w:iCs w:val="0"/>
          <w:noProof/>
          <w:color w:val="auto"/>
          <w:sz w:val="24"/>
          <w:szCs w:val="24"/>
        </w:rPr>
        <w:t>5</w:t>
      </w:r>
      <w:r w:rsidRPr="00096BD8">
        <w:rPr>
          <w:b/>
          <w:bCs/>
          <w:i w:val="0"/>
          <w:iCs w:val="0"/>
          <w:color w:val="auto"/>
          <w:sz w:val="24"/>
          <w:szCs w:val="24"/>
        </w:rPr>
        <w:fldChar w:fldCharType="end"/>
      </w:r>
      <w:r w:rsidR="00201466">
        <w:rPr>
          <w:b/>
          <w:bCs/>
          <w:i w:val="0"/>
          <w:iCs w:val="0"/>
          <w:color w:val="auto"/>
          <w:sz w:val="24"/>
          <w:szCs w:val="24"/>
        </w:rPr>
        <w:t>.</w:t>
      </w:r>
      <w:r w:rsidRPr="00096BD8">
        <w:rPr>
          <w:b/>
          <w:bCs/>
          <w:i w:val="0"/>
          <w:iCs w:val="0"/>
          <w:color w:val="auto"/>
          <w:sz w:val="24"/>
          <w:szCs w:val="24"/>
        </w:rPr>
        <w:t xml:space="preserve"> </w:t>
      </w:r>
      <w:r w:rsidRPr="00096BD8">
        <w:rPr>
          <w:i w:val="0"/>
          <w:iCs w:val="0"/>
          <w:color w:val="auto"/>
          <w:sz w:val="24"/>
          <w:szCs w:val="24"/>
        </w:rPr>
        <w:t xml:space="preserve">Experimental cohorts of </w:t>
      </w:r>
      <w:r w:rsidRPr="0070617F">
        <w:rPr>
          <w:color w:val="auto"/>
          <w:sz w:val="24"/>
          <w:szCs w:val="24"/>
        </w:rPr>
        <w:t>M</w:t>
      </w:r>
      <w:r w:rsidR="002053D0">
        <w:rPr>
          <w:color w:val="auto"/>
          <w:sz w:val="24"/>
          <w:szCs w:val="24"/>
        </w:rPr>
        <w:t>.</w:t>
      </w:r>
      <w:r w:rsidRPr="0070617F">
        <w:rPr>
          <w:color w:val="auto"/>
          <w:sz w:val="24"/>
          <w:szCs w:val="24"/>
        </w:rPr>
        <w:t xml:space="preserve"> </w:t>
      </w:r>
      <w:proofErr w:type="spellStart"/>
      <w:r w:rsidRPr="0070617F">
        <w:rPr>
          <w:color w:val="auto"/>
          <w:sz w:val="24"/>
          <w:szCs w:val="24"/>
        </w:rPr>
        <w:t>beccarii</w:t>
      </w:r>
      <w:proofErr w:type="spellEnd"/>
      <w:r w:rsidRPr="00096BD8">
        <w:rPr>
          <w:i w:val="0"/>
          <w:iCs w:val="0"/>
          <w:color w:val="auto"/>
          <w:sz w:val="24"/>
          <w:szCs w:val="24"/>
        </w:rPr>
        <w:t xml:space="preserve"> and </w:t>
      </w:r>
      <w:r w:rsidRPr="0070617F">
        <w:rPr>
          <w:color w:val="auto"/>
          <w:sz w:val="24"/>
          <w:szCs w:val="24"/>
        </w:rPr>
        <w:t>H</w:t>
      </w:r>
      <w:r w:rsidR="002053D0">
        <w:rPr>
          <w:color w:val="auto"/>
          <w:sz w:val="24"/>
          <w:szCs w:val="24"/>
        </w:rPr>
        <w:t>.</w:t>
      </w:r>
      <w:r w:rsidRPr="0070617F">
        <w:rPr>
          <w:color w:val="auto"/>
          <w:sz w:val="24"/>
          <w:szCs w:val="24"/>
        </w:rPr>
        <w:t xml:space="preserve"> </w:t>
      </w:r>
      <w:proofErr w:type="spellStart"/>
      <w:r w:rsidRPr="0070617F">
        <w:rPr>
          <w:color w:val="auto"/>
          <w:sz w:val="24"/>
          <w:szCs w:val="24"/>
        </w:rPr>
        <w:t>moseleyanum</w:t>
      </w:r>
      <w:proofErr w:type="spellEnd"/>
      <w:r w:rsidRPr="00096BD8">
        <w:rPr>
          <w:i w:val="0"/>
          <w:iCs w:val="0"/>
          <w:color w:val="auto"/>
          <w:sz w:val="24"/>
          <w:szCs w:val="24"/>
        </w:rPr>
        <w:t xml:space="preserve"> isolated on water barriers to prevent </w:t>
      </w:r>
      <w:r w:rsidRPr="00D5299E">
        <w:rPr>
          <w:i w:val="0"/>
          <w:iCs w:val="0"/>
          <w:color w:val="auto"/>
          <w:sz w:val="24"/>
          <w:szCs w:val="24"/>
        </w:rPr>
        <w:t>ant access.</w:t>
      </w:r>
      <w:bookmarkEnd w:id="45"/>
      <w:r w:rsidR="00D5299E" w:rsidRPr="00D5299E">
        <w:rPr>
          <w:i w:val="0"/>
          <w:iCs w:val="0"/>
          <w:color w:val="auto"/>
          <w:sz w:val="24"/>
          <w:szCs w:val="24"/>
        </w:rPr>
        <w:t xml:space="preserve"> </w:t>
      </w:r>
      <w:r w:rsidRPr="00D5299E">
        <w:rPr>
          <w:i w:val="0"/>
          <w:iCs w:val="0"/>
          <w:color w:val="auto"/>
          <w:sz w:val="24"/>
          <w:szCs w:val="24"/>
        </w:rPr>
        <w:t xml:space="preserve">(A) Experimental tray consisting primarily of </w:t>
      </w:r>
      <w:r w:rsidRPr="0070617F">
        <w:rPr>
          <w:color w:val="auto"/>
          <w:sz w:val="24"/>
          <w:szCs w:val="24"/>
        </w:rPr>
        <w:t xml:space="preserve">M. </w:t>
      </w:r>
      <w:proofErr w:type="spellStart"/>
      <w:r w:rsidRPr="0070617F">
        <w:rPr>
          <w:color w:val="auto"/>
          <w:sz w:val="24"/>
          <w:szCs w:val="24"/>
        </w:rPr>
        <w:t>beccarii</w:t>
      </w:r>
      <w:proofErr w:type="spellEnd"/>
      <w:r w:rsidRPr="00D5299E">
        <w:rPr>
          <w:i w:val="0"/>
          <w:iCs w:val="0"/>
          <w:color w:val="auto"/>
          <w:sz w:val="24"/>
          <w:szCs w:val="24"/>
        </w:rPr>
        <w:t xml:space="preserve"> specimens, with a single </w:t>
      </w:r>
      <w:r w:rsidRPr="0070617F">
        <w:rPr>
          <w:color w:val="auto"/>
          <w:sz w:val="24"/>
          <w:szCs w:val="24"/>
        </w:rPr>
        <w:t xml:space="preserve">H. </w:t>
      </w:r>
      <w:proofErr w:type="spellStart"/>
      <w:r w:rsidRPr="0070617F">
        <w:rPr>
          <w:color w:val="auto"/>
          <w:sz w:val="24"/>
          <w:szCs w:val="24"/>
        </w:rPr>
        <w:t>moseleyanum</w:t>
      </w:r>
      <w:proofErr w:type="spellEnd"/>
      <w:r w:rsidRPr="00D5299E">
        <w:rPr>
          <w:i w:val="0"/>
          <w:iCs w:val="0"/>
          <w:color w:val="auto"/>
          <w:sz w:val="24"/>
          <w:szCs w:val="24"/>
        </w:rPr>
        <w:t xml:space="preserve"> individual positioned at the rear. The central plant is raised on a multi-tiered plastic pedestal. (B) Cohort comprised entirely of </w:t>
      </w:r>
      <w:r w:rsidRPr="0070617F">
        <w:rPr>
          <w:color w:val="auto"/>
          <w:sz w:val="24"/>
          <w:szCs w:val="24"/>
        </w:rPr>
        <w:t xml:space="preserve">H. </w:t>
      </w:r>
      <w:proofErr w:type="spellStart"/>
      <w:r w:rsidRPr="0070617F">
        <w:rPr>
          <w:color w:val="auto"/>
          <w:sz w:val="24"/>
          <w:szCs w:val="24"/>
        </w:rPr>
        <w:t>moseleyanum</w:t>
      </w:r>
      <w:proofErr w:type="spellEnd"/>
      <w:r w:rsidRPr="00D5299E">
        <w:rPr>
          <w:i w:val="0"/>
          <w:iCs w:val="0"/>
          <w:color w:val="auto"/>
          <w:sz w:val="24"/>
          <w:szCs w:val="24"/>
        </w:rPr>
        <w:t xml:space="preserve"> individuals. In both panels, individual pots are placed on inverted plastic saucers within water-filled trays, creating an artificial island system to exclude foraging ants. All trays are maintained on galvani</w:t>
      </w:r>
      <w:r w:rsidR="00516242" w:rsidRPr="00D5299E">
        <w:rPr>
          <w:i w:val="0"/>
          <w:iCs w:val="0"/>
          <w:color w:val="auto"/>
          <w:sz w:val="24"/>
          <w:szCs w:val="24"/>
        </w:rPr>
        <w:t>s</w:t>
      </w:r>
      <w:r w:rsidRPr="00D5299E">
        <w:rPr>
          <w:i w:val="0"/>
          <w:iCs w:val="0"/>
          <w:color w:val="auto"/>
          <w:sz w:val="24"/>
          <w:szCs w:val="24"/>
        </w:rPr>
        <w:t>ed mesh greenhouse benches.</w:t>
      </w:r>
    </w:p>
    <w:p w14:paraId="4157D94B" w14:textId="129923D5" w:rsidR="007808E4" w:rsidRDefault="007808E4" w:rsidP="00AF530F"/>
    <w:p w14:paraId="39A8CF10" w14:textId="00E79DCD" w:rsidR="007808E4" w:rsidRDefault="007808E4" w:rsidP="00AF530F"/>
    <w:p w14:paraId="08FFF282" w14:textId="717486DE" w:rsidR="007808E4" w:rsidRDefault="007808E4" w:rsidP="00AF530F"/>
    <w:p w14:paraId="53AFC784" w14:textId="49538D5E" w:rsidR="007808E4" w:rsidRDefault="007808E4" w:rsidP="00AF530F"/>
    <w:p w14:paraId="4278124E" w14:textId="677E0207" w:rsidR="007808E4" w:rsidRDefault="007808E4" w:rsidP="00AF530F"/>
    <w:p w14:paraId="5B7FAEB7" w14:textId="6EC02E8F" w:rsidR="007808E4" w:rsidRDefault="007808E4" w:rsidP="00AF530F"/>
    <w:p w14:paraId="632FA0CA" w14:textId="77777777" w:rsidR="007808E4" w:rsidRDefault="007808E4" w:rsidP="00AF530F"/>
    <w:p w14:paraId="4EDD65D4" w14:textId="493AABF1" w:rsidR="007808E4" w:rsidRDefault="007808E4" w:rsidP="00AF530F"/>
    <w:p w14:paraId="00000182" w14:textId="250410DD" w:rsidR="00E420E3" w:rsidRDefault="00E420E3">
      <w:pPr>
        <w:widowControl w:val="0"/>
        <w:pBdr>
          <w:top w:val="nil"/>
          <w:left w:val="nil"/>
          <w:bottom w:val="nil"/>
          <w:right w:val="nil"/>
          <w:between w:val="nil"/>
        </w:pBdr>
        <w:spacing w:before="293" w:line="344" w:lineRule="auto"/>
        <w:ind w:left="1432" w:right="350" w:firstLine="14"/>
        <w:rPr>
          <w:rFonts w:eastAsia="Times New Roman" w:cs="Times New Roman"/>
          <w:szCs w:val="24"/>
        </w:rPr>
      </w:pPr>
    </w:p>
    <w:p w14:paraId="07C6BFF2" w14:textId="77777777" w:rsidR="0070617F" w:rsidRDefault="0070617F">
      <w:pPr>
        <w:widowControl w:val="0"/>
        <w:pBdr>
          <w:top w:val="nil"/>
          <w:left w:val="nil"/>
          <w:bottom w:val="nil"/>
          <w:right w:val="nil"/>
          <w:between w:val="nil"/>
        </w:pBdr>
        <w:spacing w:before="293" w:line="344" w:lineRule="auto"/>
        <w:ind w:left="1432" w:right="350" w:firstLine="14"/>
        <w:rPr>
          <w:rFonts w:eastAsia="Times New Roman" w:cs="Times New Roman"/>
          <w:szCs w:val="24"/>
        </w:rPr>
      </w:pPr>
    </w:p>
    <w:p w14:paraId="74A774EB" w14:textId="2157BAB2" w:rsidR="007808E4" w:rsidRDefault="007808E4">
      <w:pPr>
        <w:widowControl w:val="0"/>
        <w:pBdr>
          <w:top w:val="nil"/>
          <w:left w:val="nil"/>
          <w:bottom w:val="nil"/>
          <w:right w:val="nil"/>
          <w:between w:val="nil"/>
        </w:pBdr>
        <w:spacing w:before="293" w:line="344" w:lineRule="auto"/>
        <w:ind w:left="1432" w:right="350" w:firstLine="14"/>
        <w:rPr>
          <w:rFonts w:eastAsia="Times New Roman" w:cs="Times New Roman"/>
          <w:szCs w:val="24"/>
        </w:rPr>
      </w:pPr>
    </w:p>
    <w:p w14:paraId="6930D9AA" w14:textId="18005781" w:rsidR="007808E4" w:rsidRDefault="003D7E0A">
      <w:pPr>
        <w:widowControl w:val="0"/>
        <w:pBdr>
          <w:top w:val="nil"/>
          <w:left w:val="nil"/>
          <w:bottom w:val="nil"/>
          <w:right w:val="nil"/>
          <w:between w:val="nil"/>
        </w:pBdr>
        <w:spacing w:before="293" w:line="344" w:lineRule="auto"/>
        <w:ind w:left="1432" w:right="350" w:firstLine="14"/>
        <w:rPr>
          <w:rFonts w:eastAsia="Times New Roman" w:cs="Times New Roman"/>
          <w:szCs w:val="24"/>
        </w:rPr>
      </w:pPr>
      <w:r>
        <w:rPr>
          <w:noProof/>
        </w:rPr>
        <w:lastRenderedPageBreak/>
        <w:drawing>
          <wp:anchor distT="0" distB="0" distL="114300" distR="114300" simplePos="0" relativeHeight="251668486" behindDoc="0" locked="0" layoutInCell="1" allowOverlap="1" wp14:anchorId="19C4B3C6" wp14:editId="36AE69E2">
            <wp:simplePos x="0" y="0"/>
            <wp:positionH relativeFrom="margin">
              <wp:posOffset>136525</wp:posOffset>
            </wp:positionH>
            <wp:positionV relativeFrom="paragraph">
              <wp:posOffset>-181610</wp:posOffset>
            </wp:positionV>
            <wp:extent cx="5730875" cy="3428746"/>
            <wp:effectExtent l="0" t="0" r="3175" b="635"/>
            <wp:wrapNone/>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extLst>
                        <a:ext uri="{28A0092B-C50C-407E-A947-70E740481C1C}">
                          <a14:useLocalDpi xmlns:a14="http://schemas.microsoft.com/office/drawing/2010/main" val="0"/>
                        </a:ext>
                      </a:extLst>
                    </a:blip>
                    <a:srcRect/>
                    <a:stretch>
                      <a:fillRect/>
                    </a:stretch>
                  </pic:blipFill>
                  <pic:spPr>
                    <a:xfrm>
                      <a:off x="0" y="0"/>
                      <a:ext cx="5730875" cy="3428746"/>
                    </a:xfrm>
                    <a:prstGeom prst="rect">
                      <a:avLst/>
                    </a:prstGeom>
                    <a:ln/>
                  </pic:spPr>
                </pic:pic>
              </a:graphicData>
            </a:graphic>
          </wp:anchor>
        </w:drawing>
      </w:r>
    </w:p>
    <w:p w14:paraId="37BD5E13" w14:textId="5A52B7F8" w:rsidR="007808E4" w:rsidRDefault="007808E4">
      <w:pPr>
        <w:widowControl w:val="0"/>
        <w:pBdr>
          <w:top w:val="nil"/>
          <w:left w:val="nil"/>
          <w:bottom w:val="nil"/>
          <w:right w:val="nil"/>
          <w:between w:val="nil"/>
        </w:pBdr>
        <w:spacing w:before="293" w:line="344" w:lineRule="auto"/>
        <w:ind w:left="1432" w:right="350" w:firstLine="14"/>
        <w:rPr>
          <w:rFonts w:eastAsia="Times New Roman" w:cs="Times New Roman"/>
          <w:szCs w:val="24"/>
        </w:rPr>
      </w:pPr>
    </w:p>
    <w:p w14:paraId="74B1CCFB" w14:textId="77777777" w:rsidR="007808E4" w:rsidRDefault="007808E4">
      <w:pPr>
        <w:widowControl w:val="0"/>
        <w:pBdr>
          <w:top w:val="nil"/>
          <w:left w:val="nil"/>
          <w:bottom w:val="nil"/>
          <w:right w:val="nil"/>
          <w:between w:val="nil"/>
        </w:pBdr>
        <w:spacing w:before="293" w:line="344" w:lineRule="auto"/>
        <w:ind w:left="1432" w:right="350" w:firstLine="14"/>
        <w:rPr>
          <w:rFonts w:eastAsia="Times New Roman" w:cs="Times New Roman"/>
          <w:szCs w:val="24"/>
        </w:rPr>
      </w:pPr>
    </w:p>
    <w:p w14:paraId="34642973" w14:textId="77777777" w:rsidR="007808E4" w:rsidRDefault="007808E4">
      <w:pPr>
        <w:widowControl w:val="0"/>
        <w:pBdr>
          <w:top w:val="nil"/>
          <w:left w:val="nil"/>
          <w:bottom w:val="nil"/>
          <w:right w:val="nil"/>
          <w:between w:val="nil"/>
        </w:pBdr>
        <w:spacing w:before="293" w:line="344" w:lineRule="auto"/>
        <w:ind w:left="1432" w:right="350" w:firstLine="14"/>
        <w:rPr>
          <w:rFonts w:eastAsia="Times New Roman" w:cs="Times New Roman"/>
          <w:szCs w:val="24"/>
        </w:rPr>
      </w:pPr>
    </w:p>
    <w:p w14:paraId="224977BC" w14:textId="77777777" w:rsidR="007808E4" w:rsidRDefault="007808E4">
      <w:pPr>
        <w:widowControl w:val="0"/>
        <w:pBdr>
          <w:top w:val="nil"/>
          <w:left w:val="nil"/>
          <w:bottom w:val="nil"/>
          <w:right w:val="nil"/>
          <w:between w:val="nil"/>
        </w:pBdr>
        <w:spacing w:before="293" w:line="344" w:lineRule="auto"/>
        <w:ind w:left="1432" w:right="350" w:firstLine="14"/>
        <w:rPr>
          <w:rFonts w:eastAsia="Times New Roman" w:cs="Times New Roman"/>
          <w:szCs w:val="24"/>
        </w:rPr>
      </w:pPr>
    </w:p>
    <w:p w14:paraId="7C6A66CE" w14:textId="77777777" w:rsidR="007808E4" w:rsidRDefault="007808E4">
      <w:pPr>
        <w:widowControl w:val="0"/>
        <w:pBdr>
          <w:top w:val="nil"/>
          <w:left w:val="nil"/>
          <w:bottom w:val="nil"/>
          <w:right w:val="nil"/>
          <w:between w:val="nil"/>
        </w:pBdr>
        <w:spacing w:before="293" w:line="344" w:lineRule="auto"/>
        <w:ind w:left="1432" w:right="350" w:firstLine="14"/>
        <w:rPr>
          <w:rFonts w:eastAsia="Times New Roman" w:cs="Times New Roman"/>
          <w:szCs w:val="24"/>
        </w:rPr>
      </w:pPr>
    </w:p>
    <w:p w14:paraId="52247F12" w14:textId="77777777" w:rsidR="007808E4" w:rsidRDefault="007808E4">
      <w:pPr>
        <w:widowControl w:val="0"/>
        <w:pBdr>
          <w:top w:val="nil"/>
          <w:left w:val="nil"/>
          <w:bottom w:val="nil"/>
          <w:right w:val="nil"/>
          <w:between w:val="nil"/>
        </w:pBdr>
        <w:spacing w:before="293" w:line="344" w:lineRule="auto"/>
        <w:ind w:left="1432" w:right="350" w:firstLine="14"/>
        <w:rPr>
          <w:rFonts w:eastAsia="Times New Roman" w:cs="Times New Roman"/>
          <w:szCs w:val="24"/>
        </w:rPr>
      </w:pPr>
    </w:p>
    <w:p w14:paraId="356E87D3" w14:textId="77777777" w:rsidR="005C7825" w:rsidRDefault="005C7825" w:rsidP="007808E4">
      <w:pPr>
        <w:rPr>
          <w:b/>
          <w:bCs/>
        </w:rPr>
      </w:pPr>
    </w:p>
    <w:p w14:paraId="5879623D" w14:textId="77777777" w:rsidR="005C7825" w:rsidRDefault="005C7825" w:rsidP="007808E4">
      <w:pPr>
        <w:rPr>
          <w:b/>
          <w:bCs/>
        </w:rPr>
      </w:pPr>
    </w:p>
    <w:p w14:paraId="00000184" w14:textId="1DC3BB22" w:rsidR="00E420E3" w:rsidRDefault="009E1DFD" w:rsidP="00D5299E">
      <w:pPr>
        <w:pStyle w:val="Caption"/>
      </w:pPr>
      <w:bookmarkStart w:id="46" w:name="_Toc235390728"/>
      <w:r w:rsidRPr="00096BD8">
        <w:rPr>
          <w:b/>
          <w:bCs/>
          <w:i w:val="0"/>
          <w:iCs w:val="0"/>
          <w:color w:val="auto"/>
          <w:sz w:val="24"/>
          <w:szCs w:val="24"/>
        </w:rPr>
        <w:t xml:space="preserve">Figure </w:t>
      </w:r>
      <w:r w:rsidRPr="00096BD8">
        <w:rPr>
          <w:b/>
          <w:bCs/>
          <w:i w:val="0"/>
          <w:iCs w:val="0"/>
          <w:color w:val="auto"/>
          <w:sz w:val="24"/>
          <w:szCs w:val="24"/>
        </w:rPr>
        <w:fldChar w:fldCharType="begin"/>
      </w:r>
      <w:r w:rsidRPr="00096BD8">
        <w:rPr>
          <w:b/>
          <w:bCs/>
          <w:i w:val="0"/>
          <w:iCs w:val="0"/>
          <w:color w:val="auto"/>
          <w:sz w:val="24"/>
          <w:szCs w:val="24"/>
        </w:rPr>
        <w:instrText xml:space="preserve"> SEQ Figure \* ARABIC </w:instrText>
      </w:r>
      <w:r w:rsidRPr="00096BD8">
        <w:rPr>
          <w:b/>
          <w:bCs/>
          <w:i w:val="0"/>
          <w:iCs w:val="0"/>
          <w:color w:val="auto"/>
          <w:sz w:val="24"/>
          <w:szCs w:val="24"/>
        </w:rPr>
        <w:fldChar w:fldCharType="separate"/>
      </w:r>
      <w:r w:rsidR="008248B6" w:rsidRPr="00096BD8">
        <w:rPr>
          <w:b/>
          <w:bCs/>
          <w:i w:val="0"/>
          <w:iCs w:val="0"/>
          <w:noProof/>
          <w:color w:val="auto"/>
          <w:sz w:val="24"/>
          <w:szCs w:val="24"/>
        </w:rPr>
        <w:t>6</w:t>
      </w:r>
      <w:r w:rsidRPr="00096BD8">
        <w:rPr>
          <w:b/>
          <w:bCs/>
          <w:i w:val="0"/>
          <w:iCs w:val="0"/>
          <w:color w:val="auto"/>
          <w:sz w:val="24"/>
          <w:szCs w:val="24"/>
        </w:rPr>
        <w:fldChar w:fldCharType="end"/>
      </w:r>
      <w:r w:rsidR="00201466">
        <w:rPr>
          <w:b/>
          <w:bCs/>
          <w:i w:val="0"/>
          <w:iCs w:val="0"/>
          <w:color w:val="auto"/>
          <w:sz w:val="24"/>
          <w:szCs w:val="24"/>
        </w:rPr>
        <w:t>.</w:t>
      </w:r>
      <w:r w:rsidRPr="00096BD8">
        <w:rPr>
          <w:b/>
          <w:bCs/>
          <w:i w:val="0"/>
          <w:iCs w:val="0"/>
          <w:color w:val="auto"/>
          <w:sz w:val="24"/>
          <w:szCs w:val="24"/>
        </w:rPr>
        <w:t xml:space="preserve"> </w:t>
      </w:r>
      <w:r w:rsidRPr="00096BD8">
        <w:rPr>
          <w:i w:val="0"/>
          <w:iCs w:val="0"/>
          <w:color w:val="auto"/>
          <w:sz w:val="24"/>
          <w:szCs w:val="24"/>
        </w:rPr>
        <w:t xml:space="preserve">Experimental workflow for tracing ant-derived nitrogen into </w:t>
      </w:r>
      <w:proofErr w:type="spellStart"/>
      <w:r w:rsidRPr="00201466">
        <w:rPr>
          <w:color w:val="auto"/>
          <w:sz w:val="24"/>
          <w:szCs w:val="24"/>
        </w:rPr>
        <w:t>Hydnophytinae</w:t>
      </w:r>
      <w:proofErr w:type="spellEnd"/>
      <w:r w:rsidRPr="00096BD8">
        <w:rPr>
          <w:i w:val="0"/>
          <w:iCs w:val="0"/>
          <w:color w:val="auto"/>
          <w:sz w:val="24"/>
          <w:szCs w:val="24"/>
        </w:rPr>
        <w:t xml:space="preserve"> domatium tissues</w:t>
      </w:r>
      <w:r w:rsidRPr="00096BD8">
        <w:rPr>
          <w:color w:val="auto"/>
          <w:sz w:val="24"/>
          <w:szCs w:val="24"/>
        </w:rPr>
        <w:t>.</w:t>
      </w:r>
      <w:bookmarkEnd w:id="46"/>
      <w:r w:rsidR="00D5299E">
        <w:rPr>
          <w:color w:val="auto"/>
          <w:sz w:val="24"/>
          <w:szCs w:val="24"/>
        </w:rPr>
        <w:t xml:space="preserve"> </w:t>
      </w:r>
      <w:r w:rsidRPr="00D5299E">
        <w:rPr>
          <w:i w:val="0"/>
          <w:iCs w:val="0"/>
          <w:color w:val="auto"/>
          <w:sz w:val="24"/>
          <w:szCs w:val="24"/>
        </w:rPr>
        <w:t xml:space="preserve">6 plants, N = 3 </w:t>
      </w:r>
      <w:r w:rsidRPr="00201466">
        <w:rPr>
          <w:color w:val="auto"/>
          <w:sz w:val="24"/>
          <w:szCs w:val="24"/>
        </w:rPr>
        <w:t>H</w:t>
      </w:r>
      <w:r w:rsidR="0066107C">
        <w:rPr>
          <w:color w:val="auto"/>
          <w:sz w:val="24"/>
          <w:szCs w:val="24"/>
        </w:rPr>
        <w:t>.</w:t>
      </w:r>
      <w:r w:rsidRPr="00201466">
        <w:rPr>
          <w:color w:val="auto"/>
          <w:sz w:val="24"/>
          <w:szCs w:val="24"/>
        </w:rPr>
        <w:t xml:space="preserve"> </w:t>
      </w:r>
      <w:proofErr w:type="spellStart"/>
      <w:r w:rsidRPr="00201466">
        <w:rPr>
          <w:color w:val="auto"/>
          <w:sz w:val="24"/>
          <w:szCs w:val="24"/>
        </w:rPr>
        <w:t>moseleyanum</w:t>
      </w:r>
      <w:proofErr w:type="spellEnd"/>
      <w:r w:rsidRPr="00D5299E">
        <w:rPr>
          <w:i w:val="0"/>
          <w:iCs w:val="0"/>
          <w:color w:val="auto"/>
          <w:sz w:val="24"/>
          <w:szCs w:val="24"/>
        </w:rPr>
        <w:t xml:space="preserve"> and N = 3 </w:t>
      </w:r>
      <w:r w:rsidRPr="00201466">
        <w:rPr>
          <w:color w:val="auto"/>
          <w:sz w:val="24"/>
          <w:szCs w:val="24"/>
        </w:rPr>
        <w:t>M</w:t>
      </w:r>
      <w:r w:rsidR="0066107C">
        <w:rPr>
          <w:color w:val="auto"/>
          <w:sz w:val="24"/>
          <w:szCs w:val="24"/>
        </w:rPr>
        <w:t>.</w:t>
      </w:r>
      <w:r w:rsidRPr="00201466">
        <w:rPr>
          <w:color w:val="auto"/>
          <w:sz w:val="24"/>
          <w:szCs w:val="24"/>
        </w:rPr>
        <w:t xml:space="preserve"> </w:t>
      </w:r>
      <w:proofErr w:type="spellStart"/>
      <w:r w:rsidRPr="00201466">
        <w:rPr>
          <w:color w:val="auto"/>
          <w:sz w:val="24"/>
          <w:szCs w:val="24"/>
        </w:rPr>
        <w:t>beccarii</w:t>
      </w:r>
      <w:proofErr w:type="spellEnd"/>
      <w:r w:rsidRPr="00D5299E">
        <w:rPr>
          <w:i w:val="0"/>
          <w:iCs w:val="0"/>
          <w:color w:val="auto"/>
          <w:sz w:val="24"/>
          <w:szCs w:val="24"/>
        </w:rPr>
        <w:t xml:space="preserve"> were used for each treatment, namely plants with ghost ants (</w:t>
      </w:r>
      <w:r w:rsidRPr="00201466">
        <w:rPr>
          <w:color w:val="auto"/>
          <w:sz w:val="24"/>
          <w:szCs w:val="24"/>
        </w:rPr>
        <w:t xml:space="preserve">Tapinoma </w:t>
      </w:r>
      <w:proofErr w:type="spellStart"/>
      <w:r w:rsidRPr="00201466">
        <w:rPr>
          <w:color w:val="auto"/>
          <w:sz w:val="24"/>
          <w:szCs w:val="24"/>
        </w:rPr>
        <w:t>melanocephalum</w:t>
      </w:r>
      <w:proofErr w:type="spellEnd"/>
      <w:r w:rsidRPr="00D5299E">
        <w:rPr>
          <w:i w:val="0"/>
          <w:iCs w:val="0"/>
          <w:color w:val="auto"/>
          <w:sz w:val="24"/>
          <w:szCs w:val="24"/>
        </w:rPr>
        <w:t>) and without ants. Ants were fed with a sugar solution containing ¹⁵N-labelled lysine ([U-¹³C</w:t>
      </w:r>
      <w:proofErr w:type="gramStart"/>
      <w:r w:rsidRPr="00D5299E">
        <w:rPr>
          <w:i w:val="0"/>
          <w:iCs w:val="0"/>
          <w:color w:val="auto"/>
          <w:sz w:val="24"/>
          <w:szCs w:val="24"/>
        </w:rPr>
        <w:t>₆,¹</w:t>
      </w:r>
      <w:proofErr w:type="gramEnd"/>
      <w:r w:rsidRPr="00D5299E">
        <w:rPr>
          <w:i w:val="0"/>
          <w:iCs w:val="0"/>
          <w:color w:val="auto"/>
          <w:sz w:val="24"/>
          <w:szCs w:val="24"/>
        </w:rPr>
        <w:t>⁵N₂]-L-lysine·2HCl) for 7 days. On the 8</w:t>
      </w:r>
      <w:r w:rsidRPr="00D5299E">
        <w:rPr>
          <w:i w:val="0"/>
          <w:iCs w:val="0"/>
          <w:color w:val="auto"/>
          <w:sz w:val="24"/>
          <w:szCs w:val="24"/>
          <w:vertAlign w:val="superscript"/>
        </w:rPr>
        <w:t>th</w:t>
      </w:r>
      <w:r w:rsidRPr="00D5299E">
        <w:rPr>
          <w:i w:val="0"/>
          <w:iCs w:val="0"/>
          <w:color w:val="auto"/>
          <w:sz w:val="24"/>
          <w:szCs w:val="24"/>
        </w:rPr>
        <w:t xml:space="preserve"> day, four tissues (smooth/smooth-like, warty/warty-like and tuber in the domatium and leaves) were harvested and subjected to isotope-ratio mass spectrometry.</w:t>
      </w:r>
    </w:p>
    <w:p w14:paraId="00000185" w14:textId="77777777" w:rsidR="00E420E3" w:rsidRDefault="008E5528" w:rsidP="00DA681C">
      <w:pPr>
        <w:pStyle w:val="Heading4"/>
      </w:pPr>
      <w:bookmarkStart w:id="47" w:name="_Toc235392990"/>
      <w:r>
        <w:t>3.3.2 Testing whether the symbioses with ghost ants are mutualistic</w:t>
      </w:r>
      <w:bookmarkEnd w:id="47"/>
    </w:p>
    <w:p w14:paraId="00000186" w14:textId="30914FB9" w:rsidR="00E420E3" w:rsidRPr="00687012" w:rsidRDefault="008E5528" w:rsidP="00687012">
      <w:r>
        <w:rPr>
          <w:szCs w:val="24"/>
        </w:rPr>
        <w:t xml:space="preserve">The experimental system </w:t>
      </w:r>
      <w:r w:rsidRPr="00DA681C">
        <w:t xml:space="preserve">therefore originally contained </w:t>
      </w:r>
      <w:proofErr w:type="spellStart"/>
      <w:r w:rsidRPr="00DA681C">
        <w:rPr>
          <w:i/>
          <w:iCs/>
        </w:rPr>
        <w:t>Hydnophytum</w:t>
      </w:r>
      <w:proofErr w:type="spellEnd"/>
      <w:r w:rsidRPr="00DA681C">
        <w:rPr>
          <w:i/>
          <w:iCs/>
        </w:rPr>
        <w:t xml:space="preserve"> </w:t>
      </w:r>
      <w:proofErr w:type="spellStart"/>
      <w:r w:rsidRPr="00DA681C">
        <w:rPr>
          <w:i/>
          <w:iCs/>
        </w:rPr>
        <w:t>moseleyanum</w:t>
      </w:r>
      <w:proofErr w:type="spellEnd"/>
      <w:r w:rsidRPr="00DA681C">
        <w:t xml:space="preserve"> and </w:t>
      </w:r>
      <w:proofErr w:type="spellStart"/>
      <w:r w:rsidRPr="00DA681C">
        <w:rPr>
          <w:i/>
          <w:iCs/>
        </w:rPr>
        <w:t>Myrmecodia</w:t>
      </w:r>
      <w:proofErr w:type="spellEnd"/>
      <w:r w:rsidRPr="00DA681C">
        <w:rPr>
          <w:i/>
          <w:iCs/>
        </w:rPr>
        <w:t xml:space="preserve"> </w:t>
      </w:r>
      <w:proofErr w:type="spellStart"/>
      <w:r w:rsidRPr="00DA681C">
        <w:rPr>
          <w:i/>
          <w:iCs/>
        </w:rPr>
        <w:t>beccarii</w:t>
      </w:r>
      <w:proofErr w:type="spellEnd"/>
      <w:r w:rsidRPr="00DA681C">
        <w:t xml:space="preserve"> plants forming symbioses with ghost ants. To test whether these symbioses were indeed nutritional mutualisms, feeding experiments with ¹⁵N isotope were designed. This involved feeding the ants with a solution of 30% sucrose in distilled water in which Deuterated L-Lysine dihydrochloride (4,4,5,5-D₄) Isotope [U-¹³C</w:t>
      </w:r>
      <w:proofErr w:type="gramStart"/>
      <w:r w:rsidRPr="00DA681C">
        <w:t>₆,¹</w:t>
      </w:r>
      <w:proofErr w:type="gramEnd"/>
      <w:r w:rsidRPr="00DA681C">
        <w:t xml:space="preserve">⁵N₂]-L-lysine·2HCl </w:t>
      </w:r>
      <w:r>
        <w:t>(Cambridge Isotope Laboratories, Inc) was dissolved at 1 mg/</w:t>
      </w:r>
      <w:proofErr w:type="spellStart"/>
      <w:r>
        <w:t>mL.</w:t>
      </w:r>
      <w:proofErr w:type="spellEnd"/>
      <w:r>
        <w:t xml:space="preserve"> Ants were fed the labelled sugar solution using 1.5 ml Eppendorf tubes sealed with cotton wicks to prevent the ants from drowning. Four feeding stations were placed at equal distance of 7 cm and 3 cm away from the tray edge for </w:t>
      </w:r>
      <w:proofErr w:type="spellStart"/>
      <w:r>
        <w:rPr>
          <w:i/>
          <w:iCs/>
        </w:rPr>
        <w:t>Hydnophytum</w:t>
      </w:r>
      <w:proofErr w:type="spellEnd"/>
      <w:r>
        <w:rPr>
          <w:i/>
          <w:iCs/>
        </w:rPr>
        <w:t xml:space="preserve"> </w:t>
      </w:r>
      <w:proofErr w:type="spellStart"/>
      <w:r>
        <w:rPr>
          <w:i/>
          <w:iCs/>
        </w:rPr>
        <w:t>moseleyanum</w:t>
      </w:r>
      <w:proofErr w:type="spellEnd"/>
      <w:r>
        <w:t xml:space="preserve"> and </w:t>
      </w:r>
      <w:proofErr w:type="spellStart"/>
      <w:r>
        <w:rPr>
          <w:i/>
          <w:iCs/>
        </w:rPr>
        <w:t>Myrmecodia</w:t>
      </w:r>
      <w:proofErr w:type="spellEnd"/>
      <w:r>
        <w:rPr>
          <w:i/>
          <w:iCs/>
        </w:rPr>
        <w:t xml:space="preserve"> </w:t>
      </w:r>
      <w:proofErr w:type="spellStart"/>
      <w:r>
        <w:rPr>
          <w:i/>
          <w:iCs/>
        </w:rPr>
        <w:t>beccarii</w:t>
      </w:r>
      <w:proofErr w:type="spellEnd"/>
      <w:r>
        <w:t xml:space="preserve"> plants. Feeding was maintained for 7 days with fresh solutions provided every 24 hours to ensure continuous isotope intake by ghost ants</w:t>
      </w:r>
      <w:r w:rsidR="00F667E3">
        <w:t xml:space="preserve"> (Fig. 4)</w:t>
      </w:r>
      <w:r w:rsidRPr="00687012">
        <w:t>. On the 8th day, the feeding tubes were removed and the four plant tissue types (warty, smooth, tuber, and leaf) were harvested for isotope analysis.</w:t>
      </w:r>
    </w:p>
    <w:p w14:paraId="00000187" w14:textId="100017D9" w:rsidR="00E420E3" w:rsidRDefault="008E5528" w:rsidP="00687012">
      <w:pPr>
        <w:pStyle w:val="Heading4"/>
      </w:pPr>
      <w:bookmarkStart w:id="48" w:name="_Toc235392991"/>
      <w:r>
        <w:lastRenderedPageBreak/>
        <w:t>3.3.3 Tissue sampling and preparation for isotope analysis</w:t>
      </w:r>
      <w:bookmarkEnd w:id="48"/>
    </w:p>
    <w:p w14:paraId="5C382BDC" w14:textId="0C5DA6DA" w:rsidR="00176303" w:rsidRDefault="008E5528" w:rsidP="007808E4">
      <w:r>
        <w:rPr>
          <w:szCs w:val="24"/>
        </w:rPr>
        <w:t xml:space="preserve">We sampled four tissues for </w:t>
      </w:r>
      <w:r w:rsidRPr="00687012">
        <w:t xml:space="preserve">Isotope-Ratio Mass Spectrometry </w:t>
      </w:r>
      <w:r>
        <w:t>(</w:t>
      </w:r>
      <w:r w:rsidRPr="00FE06DE">
        <w:t>IR-MS</w:t>
      </w:r>
      <w:r>
        <w:t>): leaves, and three domatium inner tissues namely warty (</w:t>
      </w:r>
      <w:proofErr w:type="spellStart"/>
      <w:r>
        <w:rPr>
          <w:i/>
          <w:iCs/>
        </w:rPr>
        <w:t>Myrmecodia</w:t>
      </w:r>
      <w:proofErr w:type="spellEnd"/>
      <w:r>
        <w:rPr>
          <w:i/>
          <w:iCs/>
        </w:rPr>
        <w:t xml:space="preserve"> </w:t>
      </w:r>
      <w:proofErr w:type="spellStart"/>
      <w:r>
        <w:rPr>
          <w:i/>
          <w:iCs/>
        </w:rPr>
        <w:t>beccarii</w:t>
      </w:r>
      <w:proofErr w:type="spellEnd"/>
      <w:r>
        <w:t>) or warty-like surfaces (</w:t>
      </w:r>
      <w:proofErr w:type="spellStart"/>
      <w:r>
        <w:rPr>
          <w:i/>
          <w:iCs/>
        </w:rPr>
        <w:t>Hydnophytum</w:t>
      </w:r>
      <w:proofErr w:type="spellEnd"/>
      <w:r>
        <w:rPr>
          <w:i/>
          <w:iCs/>
        </w:rPr>
        <w:t xml:space="preserve"> </w:t>
      </w:r>
      <w:proofErr w:type="spellStart"/>
      <w:r>
        <w:rPr>
          <w:i/>
          <w:iCs/>
        </w:rPr>
        <w:t>moseleyanum</w:t>
      </w:r>
      <w:proofErr w:type="spellEnd"/>
      <w:r>
        <w:t>), smooth (</w:t>
      </w:r>
      <w:proofErr w:type="spellStart"/>
      <w:r>
        <w:rPr>
          <w:i/>
          <w:iCs/>
        </w:rPr>
        <w:t>Myrmecodia</w:t>
      </w:r>
      <w:proofErr w:type="spellEnd"/>
      <w:r>
        <w:rPr>
          <w:i/>
          <w:iCs/>
        </w:rPr>
        <w:t xml:space="preserve"> </w:t>
      </w:r>
      <w:proofErr w:type="spellStart"/>
      <w:r>
        <w:rPr>
          <w:i/>
          <w:iCs/>
        </w:rPr>
        <w:t>beccarii</w:t>
      </w:r>
      <w:proofErr w:type="spellEnd"/>
      <w:r>
        <w:t>) or smooth-like surfaces (</w:t>
      </w:r>
      <w:proofErr w:type="spellStart"/>
      <w:r>
        <w:rPr>
          <w:i/>
          <w:iCs/>
        </w:rPr>
        <w:t>Hydnophytum</w:t>
      </w:r>
      <w:proofErr w:type="spellEnd"/>
      <w:r>
        <w:rPr>
          <w:i/>
          <w:iCs/>
        </w:rPr>
        <w:t xml:space="preserve"> </w:t>
      </w:r>
      <w:proofErr w:type="spellStart"/>
      <w:r>
        <w:rPr>
          <w:i/>
          <w:iCs/>
        </w:rPr>
        <w:t>moseleyanum</w:t>
      </w:r>
      <w:proofErr w:type="spellEnd"/>
      <w:r>
        <w:t>), and tuber tissue</w:t>
      </w:r>
      <w:r w:rsidR="0070617F">
        <w:t xml:space="preserve"> (Fig. 6)</w:t>
      </w:r>
      <w:r>
        <w:t>. Tuber tissue is the fleshy body that connects these surfaces (i.e. the tissue inside the domatium, excluding surfaces) (</w:t>
      </w:r>
      <w:r w:rsidR="00FE06DE" w:rsidRPr="00FE06DE">
        <w:t>Fig. 1</w:t>
      </w:r>
      <w:r w:rsidRPr="00FE06DE">
        <w:t xml:space="preserve">). Tissues were selected based on their physiological roles and their interaction with ants, including tuber, warty and smooth tissues, and leaves (Chomicki et al., 2019; Pu et al., 2021). For the inner surface tissues, we dissected ~1 mm-thick tissue slices of approximately [150 mm²] surface area immediately beneath the chamber surface using a scalpel: for </w:t>
      </w:r>
      <w:r w:rsidRPr="00FE06DE">
        <w:rPr>
          <w:i/>
          <w:iCs/>
        </w:rPr>
        <w:t xml:space="preserve">M. </w:t>
      </w:r>
      <w:proofErr w:type="spellStart"/>
      <w:r w:rsidRPr="00FE06DE">
        <w:rPr>
          <w:i/>
          <w:iCs/>
        </w:rPr>
        <w:t>beccarii</w:t>
      </w:r>
      <w:proofErr w:type="spellEnd"/>
      <w:r w:rsidRPr="00FE06DE">
        <w:t xml:space="preserve">, from both warty and smooth chambers; and for </w:t>
      </w:r>
      <w:r w:rsidRPr="00FE06DE">
        <w:rPr>
          <w:i/>
          <w:iCs/>
        </w:rPr>
        <w:t xml:space="preserve">H. </w:t>
      </w:r>
      <w:proofErr w:type="spellStart"/>
      <w:r w:rsidRPr="00FE06DE">
        <w:rPr>
          <w:i/>
          <w:iCs/>
        </w:rPr>
        <w:t>moseleyanum</w:t>
      </w:r>
      <w:proofErr w:type="spellEnd"/>
      <w:r w:rsidRPr="00FE06DE">
        <w:t xml:space="preserve">, from warty-like and smooth-like chambers. </w:t>
      </w:r>
    </w:p>
    <w:p w14:paraId="00000188" w14:textId="3012CC66" w:rsidR="00E420E3" w:rsidRPr="00FE06DE" w:rsidRDefault="008E5528" w:rsidP="007808E4">
      <w:r w:rsidRPr="00FE06DE">
        <w:t>All samples were placed into small paper envelopes. They were then dried in an oven at 45°C for 24 hours. To prevent cross-contamination, each sample was processed in a new individual 2 ml grinding tube with fresh beads. After drying, samples were ground to a fine powder using a bead beater (FastPrep-24, MP Biomedicals, Santa Ana, USA).</w:t>
      </w:r>
    </w:p>
    <w:p w14:paraId="00000189" w14:textId="77777777" w:rsidR="00E420E3" w:rsidRDefault="008E5528" w:rsidP="00FE06DE">
      <w:pPr>
        <w:pStyle w:val="Heading4"/>
      </w:pPr>
      <w:bookmarkStart w:id="49" w:name="_Toc235392992"/>
      <w:r>
        <w:t>3.3.4 Isotope-Ratio Mass Spectrometry (IR-MS)</w:t>
      </w:r>
      <w:bookmarkEnd w:id="49"/>
    </w:p>
    <w:p w14:paraId="406AEF72" w14:textId="5041D273" w:rsidR="00176303" w:rsidRDefault="008E5528" w:rsidP="007808E4">
      <w:r w:rsidRPr="00FE06DE">
        <w:rPr>
          <w:szCs w:val="24"/>
        </w:rPr>
        <w:t>The powdered samples (</w:t>
      </w:r>
      <w:r w:rsidRPr="00FE06DE">
        <w:t xml:space="preserve">approximately [3g], weighed to 1 decimal </w:t>
      </w:r>
      <w:r w:rsidR="00AB36EE" w:rsidRPr="00FE06DE">
        <w:t>place</w:t>
      </w:r>
      <w:r w:rsidRPr="00FE06DE">
        <w:t xml:space="preserve"> using a Kern ABS/ABJ Analytical balance) were loaded into tin capsules and dropped into a furnace at 1000 °C whilst in an atmosphere of oxygen. The tin ignites and burns exothermically, causing the temperature to rise to about 1800 °C, and oxidises the sample. Complete combustion is guaranteed, by passing the combustion products through a bed of chromium oxide at 1000 °C, using a helium carrier gas. A 15 cm layer of copper oxide followed by a layer of silver wool completes the combustion and removes any sulphur. The products are then passed through a second furnace containing copper at 600 °C where excess oxygen is absorbed, and nitrogen oxides are reduced to elemental nitrogen. </w:t>
      </w:r>
    </w:p>
    <w:p w14:paraId="13A5680C" w14:textId="5D926B1A" w:rsidR="008A611F" w:rsidRDefault="008E5528" w:rsidP="007808E4">
      <w:r w:rsidRPr="00FE06DE">
        <w:t xml:space="preserve">Water is removed by a trap containing anhydrous magnesium perchlorate. As this study measured nitrogen isotopes only, CO₂ was removed prior to GC separation using a </w:t>
      </w:r>
      <w:proofErr w:type="spellStart"/>
      <w:r w:rsidRPr="00FE06DE">
        <w:t>Carbosorb</w:t>
      </w:r>
      <w:proofErr w:type="spellEnd"/>
      <w:r w:rsidRPr="00FE06DE">
        <w:t xml:space="preserve"> trap. The gas stream then passed into a gas chromatograph (GC) where N₂ was separated and passed into a mass spectrometer where the isotopic species (i.e. ²⁸N₂ and ²⁹N₂) were ionised and separated by mass using a magnetic field, allowing calculation of the ¹⁵N/¹⁴N ratio. The </w:t>
      </w:r>
      <w:r>
        <w:t xml:space="preserve">isotope species are detected separately, and from the ratio, the level of ¹⁵N is calculated. Calibration of </w:t>
      </w:r>
      <w:r>
        <w:lastRenderedPageBreak/>
        <w:t>the system is made using known standards from Heather Walker (Department of Biosciences, University of Sheffield allowing both total nitrogen and ¹⁵N content to be obtained from each sample. The instrument used in Biosciences, University of Sheffield, UK is an ANCA GSL 20-20 Mass Spectrometer (</w:t>
      </w:r>
      <w:proofErr w:type="spellStart"/>
      <w:r>
        <w:t>Sercon</w:t>
      </w:r>
      <w:proofErr w:type="spellEnd"/>
      <w:r>
        <w:t>, Cheshire).</w:t>
      </w:r>
      <w:r w:rsidR="008A611F">
        <w:t xml:space="preserve"> The </w:t>
      </w:r>
      <w:proofErr w:type="spellStart"/>
      <w:r w:rsidR="008A611F">
        <w:t>istotopic</w:t>
      </w:r>
      <w:proofErr w:type="spellEnd"/>
      <w:r w:rsidR="008A611F">
        <w:t xml:space="preserve"> composition of nitrogen is expressed as </w:t>
      </w:r>
      <w:r w:rsidR="008A611F" w:rsidRPr="00FE06DE">
        <w:rPr>
          <w:rFonts w:eastAsia="Cardo" w:cs="Times New Roman"/>
        </w:rPr>
        <w:t>δ¹⁵N (delta notation), defined as δ¹⁵N (‰) = [(</w:t>
      </w:r>
      <w:proofErr w:type="spellStart"/>
      <w:r w:rsidR="008A611F" w:rsidRPr="00FE06DE">
        <w:rPr>
          <w:rFonts w:eastAsia="Cardo" w:cs="Times New Roman"/>
        </w:rPr>
        <w:t>Rsample</w:t>
      </w:r>
      <w:proofErr w:type="spellEnd"/>
      <w:r w:rsidR="008A611F" w:rsidRPr="00FE06DE">
        <w:rPr>
          <w:rFonts w:eastAsia="Cardo" w:cs="Times New Roman"/>
        </w:rPr>
        <w:t xml:space="preserve"> / </w:t>
      </w:r>
      <w:proofErr w:type="spellStart"/>
      <w:r w:rsidR="008A611F" w:rsidRPr="00FE06DE">
        <w:rPr>
          <w:rFonts w:eastAsia="Cardo" w:cs="Times New Roman"/>
        </w:rPr>
        <w:t>Rstandard</w:t>
      </w:r>
      <w:proofErr w:type="spellEnd"/>
      <w:r w:rsidR="008A611F" w:rsidRPr="00FE06DE">
        <w:rPr>
          <w:rFonts w:eastAsia="Cardo" w:cs="Times New Roman"/>
        </w:rPr>
        <w:t>) − 1] × 1000, where R = ¹⁵N/¹⁴N.</w:t>
      </w:r>
      <w:r w:rsidR="008A611F">
        <w:rPr>
          <w:rFonts w:eastAsia="Cardo" w:cs="Times New Roman"/>
        </w:rPr>
        <w:t xml:space="preserve"> </w:t>
      </w:r>
      <w:r w:rsidR="008A611F" w:rsidRPr="00FE06DE">
        <w:rPr>
          <w:rFonts w:eastAsia="Cardo" w:cs="Times New Roman"/>
        </w:rPr>
        <w:t>Values are reported relative to atmospheric N₂ (AIR) as the international standard</w:t>
      </w:r>
      <w:r w:rsidR="008A611F">
        <w:rPr>
          <w:rFonts w:eastAsia="Cardo" w:cs="Times New Roman"/>
        </w:rPr>
        <w:t>.</w:t>
      </w:r>
    </w:p>
    <w:p w14:paraId="0000018A" w14:textId="224A1F31" w:rsidR="00E420E3" w:rsidRPr="00FE06DE" w:rsidRDefault="008E5528" w:rsidP="007808E4">
      <w:pPr>
        <w:rPr>
          <w:rFonts w:cs="Times New Roman"/>
        </w:rPr>
      </w:pPr>
      <w:r w:rsidRPr="00FE06DE">
        <w:rPr>
          <w:rFonts w:cs="Times New Roman"/>
        </w:rPr>
        <w:t>In this study, enrichment refers to an increase in δ¹⁵N values in ant-colonised plant tissues relative to ant-free controls of the same tissue type. A positive δ¹⁵N value indicates that the tissue contains more ¹⁵N than atmospheric N₂, which in this experimental context reflects the incorporation of ant-derived ¹⁵N-labelled nitrogen into plant tissue. A negative δ¹⁵N value indicates ¹⁵N depletion relative to the atmospheric standard, which is expected in ant-free tissues that have not been exposed to the labelled nitrogen source. The magnitude of δ¹⁵N enrichment therefore serves as a proxy for the quantity of ant-derived nitrogen deposited in and absorbed by each tissue type.</w:t>
      </w:r>
    </w:p>
    <w:p w14:paraId="0000018B" w14:textId="77777777" w:rsidR="00E420E3" w:rsidRDefault="008E5528" w:rsidP="00AF5911">
      <w:pPr>
        <w:pStyle w:val="Heading4"/>
        <w:rPr>
          <w:color w:val="00B050"/>
        </w:rPr>
      </w:pPr>
      <w:bookmarkStart w:id="50" w:name="_Toc235392993"/>
      <w:r>
        <w:t>3.3.5 Statistical analyses and visualisation</w:t>
      </w:r>
      <w:bookmarkEnd w:id="50"/>
    </w:p>
    <w:p w14:paraId="5617FB88" w14:textId="77777777" w:rsidR="006858AD" w:rsidRDefault="008E5528" w:rsidP="007808E4">
      <w:r w:rsidRPr="00AF5911">
        <w:t xml:space="preserve">A total of 48 tissue samples (2 plant species × 2 treatments × 3 replicates × 4 tissues) were collected for stable isotope analysis. To test whether ghost ant presence leads to enhanced nitrogen uptake, and whether this differs by tissue type or mutualism strategy (generalist vs. specialist), we analysed δ¹⁵N values using a three-way factorial ANOVA. </w:t>
      </w:r>
    </w:p>
    <w:p w14:paraId="7AE7B832" w14:textId="77777777" w:rsidR="006858AD" w:rsidRDefault="008E5528" w:rsidP="007808E4">
      <w:r w:rsidRPr="00AF5911">
        <w:t xml:space="preserve">The δ¹⁵N ratio values were obtained from IR-MS and imported into R version 4.2.2 (R Core Team, 2024), run in RStudio (Posit Team, 2024), via </w:t>
      </w:r>
      <w:r>
        <w:t xml:space="preserve">the </w:t>
      </w:r>
      <w:proofErr w:type="spellStart"/>
      <w:r>
        <w:t>readxl</w:t>
      </w:r>
      <w:proofErr w:type="spellEnd"/>
      <w:r>
        <w:t xml:space="preserve"> package (Wickham et al., 2024a; Wickham et al., 2024b). To test how plant species, treatment (ghost ants presence or absence) and the tissue influence the δ¹⁵N value, we relied on a three way factorial analysis of variance (ANOVA), using the base R '</w:t>
      </w:r>
      <w:proofErr w:type="spellStart"/>
      <w:r>
        <w:t>aov</w:t>
      </w:r>
      <w:proofErr w:type="spellEnd"/>
      <w:r>
        <w:t xml:space="preserve">' function to test the main effects of Species (2 levels), Treatment (2 levels), and Tissue (4 levels), as well as their two- and three-way interactions, using the following function: </w:t>
      </w:r>
      <w:proofErr w:type="spellStart"/>
      <w:r>
        <w:t>aov_model</w:t>
      </w:r>
      <w:proofErr w:type="spellEnd"/>
      <w:r>
        <w:t xml:space="preserve"> &lt;- </w:t>
      </w:r>
      <w:proofErr w:type="spellStart"/>
      <w:r>
        <w:t>aov</w:t>
      </w:r>
      <w:proofErr w:type="spellEnd"/>
      <w:r>
        <w:t xml:space="preserve"> (d15N ~ Species * Treatment * Tissue, data = </w:t>
      </w:r>
      <w:proofErr w:type="spellStart"/>
      <w:r>
        <w:t>df</w:t>
      </w:r>
      <w:proofErr w:type="spellEnd"/>
      <w:r>
        <w:t xml:space="preserve">), </w:t>
      </w:r>
      <w:r w:rsidRPr="00AF5911">
        <w:t xml:space="preserve">where </w:t>
      </w:r>
      <w:proofErr w:type="spellStart"/>
      <w:r w:rsidRPr="00AF5911">
        <w:t>df</w:t>
      </w:r>
      <w:proofErr w:type="spellEnd"/>
      <w:r w:rsidRPr="00AF5911">
        <w:t xml:space="preserve"> is the dataset containing all δ¹⁵N measurements, species identity, treatment group, and tissue type. </w:t>
      </w:r>
    </w:p>
    <w:p w14:paraId="630388F8" w14:textId="788BB9D7" w:rsidR="007C1F6D" w:rsidRDefault="008E5528" w:rsidP="007808E4">
      <w:r w:rsidRPr="00AF5911">
        <w:t xml:space="preserve">Model fit and assumptions (normality of residuals, homoscedasticity) </w:t>
      </w:r>
      <w:r>
        <w:t xml:space="preserve">were evaluated through residual and QQ plots. Where significant effects or interactions were detected, pairwise contrasts among factor combinations were calculated via the </w:t>
      </w:r>
      <w:proofErr w:type="spellStart"/>
      <w:r>
        <w:t>emmeans</w:t>
      </w:r>
      <w:proofErr w:type="spellEnd"/>
      <w:r>
        <w:t xml:space="preserve"> package (Lenth, 2024), applying Tukey's adjustment for multiple testing. Results for δ¹⁵N means ± Standard error of </w:t>
      </w:r>
      <w:r>
        <w:lastRenderedPageBreak/>
        <w:t xml:space="preserve">the mean (SEM) were presented in a bar plot generated with ggplot2 (Wickham, 2016). </w:t>
      </w:r>
      <w:r w:rsidRPr="00AF5911">
        <w:t xml:space="preserve">By quantifying δ¹⁵N enrichment relative to ant-free controls, we can determine where within the domatium ant-derived nitrogen is preferentially deposited and whether these deposition patterns vary across tissue types and between facultative and obligate species. </w:t>
      </w:r>
    </w:p>
    <w:p w14:paraId="0000018C" w14:textId="5B22D99F" w:rsidR="00E420E3" w:rsidRPr="00AF5911" w:rsidRDefault="008E5528" w:rsidP="007808E4">
      <w:r w:rsidRPr="00AF5911">
        <w:t>Specifically, the three-way ANOVA tests three hypotheses: (</w:t>
      </w:r>
      <w:proofErr w:type="spellStart"/>
      <w:r w:rsidRPr="00AF5911">
        <w:t>i</w:t>
      </w:r>
      <w:proofErr w:type="spellEnd"/>
      <w:r w:rsidRPr="00AF5911">
        <w:t xml:space="preserve">) that ghost ant presence significantly increases δ¹⁵N values in plant tissues (main effect of Treatment), which would validate the symbiosis as nutritional; (ii) that δ¹⁵N enrichment differs across tissue types (main effect of Tissue), which would reveal the preferential sites of nitrogen deposition within the domatium; and (iii) that enrichment patterns differ between </w:t>
      </w:r>
      <w:r w:rsidRPr="00AF5911">
        <w:rPr>
          <w:i/>
          <w:iCs/>
        </w:rPr>
        <w:t xml:space="preserve">H. </w:t>
      </w:r>
      <w:proofErr w:type="spellStart"/>
      <w:r w:rsidRPr="00AF5911">
        <w:rPr>
          <w:i/>
          <w:iCs/>
        </w:rPr>
        <w:t>moseleyanum</w:t>
      </w:r>
      <w:proofErr w:type="spellEnd"/>
      <w:r w:rsidRPr="00AF5911">
        <w:t xml:space="preserve"> and </w:t>
      </w:r>
      <w:r w:rsidRPr="00AF5911">
        <w:rPr>
          <w:i/>
          <w:iCs/>
        </w:rPr>
        <w:t xml:space="preserve">M. </w:t>
      </w:r>
      <w:proofErr w:type="spellStart"/>
      <w:r w:rsidRPr="00AF5911">
        <w:rPr>
          <w:i/>
          <w:iCs/>
        </w:rPr>
        <w:t>beccarii</w:t>
      </w:r>
      <w:proofErr w:type="spellEnd"/>
      <w:r w:rsidRPr="00AF5911">
        <w:t xml:space="preserve"> (main effect of Species and Species × Treatment interaction), which would indicate that facultative and obligate mutualism strategies produce distinct nitrogen uptake patterns. Rejection of the null hypothesis in each case that ant presence, tissue type, and species have no effect on δ¹⁵N would support the hypothesis that ant-derived nitrogen deposition is both nutritionally significant and structured by mutualism strategy.</w:t>
      </w:r>
    </w:p>
    <w:p w14:paraId="0000018F" w14:textId="77777777" w:rsidR="00E420E3" w:rsidRDefault="008E5528" w:rsidP="00AF5911">
      <w:pPr>
        <w:pStyle w:val="Heading3"/>
      </w:pPr>
      <w:bookmarkStart w:id="51" w:name="_Toc235392994"/>
      <w:r>
        <w:t>3.4 Results</w:t>
      </w:r>
      <w:bookmarkEnd w:id="51"/>
      <w:r>
        <w:t xml:space="preserve"> </w:t>
      </w:r>
    </w:p>
    <w:p w14:paraId="00000190" w14:textId="77777777" w:rsidR="00E420E3" w:rsidRDefault="008E5528" w:rsidP="00AF5911">
      <w:pPr>
        <w:pStyle w:val="Heading4"/>
      </w:pPr>
      <w:bookmarkStart w:id="52" w:name="_Toc235392995"/>
      <w:r>
        <w:t xml:space="preserve">3.4.1 Ghost ants enrich domatium tissues in δ¹⁵N in both H. </w:t>
      </w:r>
      <w:proofErr w:type="spellStart"/>
      <w:r>
        <w:t>moseleyanum</w:t>
      </w:r>
      <w:proofErr w:type="spellEnd"/>
      <w:r>
        <w:t xml:space="preserve"> and M. </w:t>
      </w:r>
      <w:proofErr w:type="spellStart"/>
      <w:r>
        <w:t>beccarii</w:t>
      </w:r>
      <w:bookmarkEnd w:id="52"/>
      <w:proofErr w:type="spellEnd"/>
      <w:r>
        <w:t xml:space="preserve"> </w:t>
      </w:r>
    </w:p>
    <w:p w14:paraId="5FAF0028" w14:textId="79FB4BE3" w:rsidR="0074111C" w:rsidRDefault="008E5528" w:rsidP="007808E4">
      <w:r w:rsidRPr="008D10CA">
        <w:rPr>
          <w:szCs w:val="24"/>
        </w:rPr>
        <w:t xml:space="preserve">Non-inhabited plant individuals of both </w:t>
      </w:r>
      <w:proofErr w:type="spellStart"/>
      <w:r w:rsidRPr="008D10CA">
        <w:rPr>
          <w:i/>
          <w:iCs/>
          <w:szCs w:val="24"/>
        </w:rPr>
        <w:t>Hydnophytum</w:t>
      </w:r>
      <w:proofErr w:type="spellEnd"/>
      <w:r w:rsidRPr="008D10CA">
        <w:rPr>
          <w:i/>
          <w:iCs/>
          <w:szCs w:val="24"/>
        </w:rPr>
        <w:t xml:space="preserve"> </w:t>
      </w:r>
      <w:proofErr w:type="spellStart"/>
      <w:r w:rsidRPr="008D10CA">
        <w:rPr>
          <w:i/>
          <w:iCs/>
          <w:szCs w:val="24"/>
        </w:rPr>
        <w:t>moseleyanum</w:t>
      </w:r>
      <w:proofErr w:type="spellEnd"/>
      <w:r w:rsidRPr="008D10CA">
        <w:rPr>
          <w:szCs w:val="24"/>
        </w:rPr>
        <w:t xml:space="preserve"> and </w:t>
      </w:r>
      <w:proofErr w:type="spellStart"/>
      <w:r w:rsidRPr="008D10CA">
        <w:rPr>
          <w:i/>
          <w:iCs/>
          <w:szCs w:val="24"/>
        </w:rPr>
        <w:t>Myrmecodia</w:t>
      </w:r>
      <w:proofErr w:type="spellEnd"/>
      <w:r w:rsidRPr="008D10CA">
        <w:rPr>
          <w:i/>
          <w:iCs/>
          <w:szCs w:val="24"/>
        </w:rPr>
        <w:t xml:space="preserve"> </w:t>
      </w:r>
      <w:proofErr w:type="spellStart"/>
      <w:r w:rsidRPr="008D10CA">
        <w:rPr>
          <w:i/>
          <w:iCs/>
          <w:szCs w:val="24"/>
        </w:rPr>
        <w:t>beccarii</w:t>
      </w:r>
      <w:proofErr w:type="spellEnd"/>
      <w:r w:rsidRPr="008D10CA">
        <w:rPr>
          <w:szCs w:val="24"/>
        </w:rPr>
        <w:t xml:space="preserve"> became inhabited by ghost ants with an estimation of 1 week due to </w:t>
      </w:r>
      <w:r w:rsidR="00AB2B7A" w:rsidRPr="001D1550">
        <w:rPr>
          <w:szCs w:val="24"/>
        </w:rPr>
        <w:t>empirical</w:t>
      </w:r>
      <w:r w:rsidRPr="008D10CA">
        <w:rPr>
          <w:szCs w:val="24"/>
        </w:rPr>
        <w:t xml:space="preserve"> observations. Each plant had a reproductive colony with its own brood, however determining how many various colonies colonised a plant was not determinable. </w:t>
      </w:r>
      <w:r w:rsidRPr="008D10CA">
        <w:t xml:space="preserve">Contrary to other non-domatium bearing plants invaded in the greenhouse, of the non-domatium plants observed (Coffea arabica - </w:t>
      </w:r>
      <w:proofErr w:type="spellStart"/>
      <w:r w:rsidRPr="008D10CA">
        <w:t>Rubiaceae</w:t>
      </w:r>
      <w:proofErr w:type="spellEnd"/>
      <w:r w:rsidRPr="008D10CA">
        <w:t xml:space="preserve">), 0% showed visible scale insect infestations and 0% showed leaf deformities or dryness attributable to ghost ant activity (Fig. </w:t>
      </w:r>
      <w:r w:rsidR="002060CB" w:rsidRPr="008D10CA">
        <w:t>7</w:t>
      </w:r>
      <w:r w:rsidRPr="008D10CA">
        <w:t xml:space="preserve">). </w:t>
      </w:r>
    </w:p>
    <w:p w14:paraId="144199F5" w14:textId="77777777" w:rsidR="0074111C" w:rsidRDefault="008E5528" w:rsidP="007808E4">
      <w:r w:rsidRPr="008D10CA">
        <w:t xml:space="preserve">Neither </w:t>
      </w:r>
      <w:r w:rsidRPr="008D10CA">
        <w:rPr>
          <w:i/>
          <w:iCs/>
        </w:rPr>
        <w:t xml:space="preserve">H. </w:t>
      </w:r>
      <w:proofErr w:type="spellStart"/>
      <w:r w:rsidRPr="008D10CA">
        <w:rPr>
          <w:i/>
          <w:iCs/>
        </w:rPr>
        <w:t>moseleyanum</w:t>
      </w:r>
      <w:proofErr w:type="spellEnd"/>
      <w:r w:rsidRPr="008D10CA">
        <w:t xml:space="preserve"> nor </w:t>
      </w:r>
      <w:r w:rsidRPr="008D10CA">
        <w:rPr>
          <w:i/>
          <w:iCs/>
        </w:rPr>
        <w:t xml:space="preserve">M. </w:t>
      </w:r>
      <w:proofErr w:type="spellStart"/>
      <w:r w:rsidRPr="008D10CA">
        <w:rPr>
          <w:i/>
          <w:iCs/>
        </w:rPr>
        <w:t>beccarii</w:t>
      </w:r>
      <w:proofErr w:type="spellEnd"/>
      <w:r w:rsidRPr="008D10CA">
        <w:t xml:space="preserve"> showed any of these symptoms, with no evidence of scale insect cultivation nor any visible plant growth deformities (Fig. </w:t>
      </w:r>
      <w:r w:rsidR="002060CB" w:rsidRPr="008D10CA">
        <w:t>7</w:t>
      </w:r>
      <w:r w:rsidRPr="008D10CA">
        <w:t xml:space="preserve">). None of this can be statistically proven but only recorded based on limited images of the relevant greenhouse-based plants. δ¹⁵N values are reported relative to atmospheric N₂ (AIR), where a value of 0‰ represents the atmospheric standard. Positive values indicate ¹⁵N enrichment above this baseline, while negative values indicate ¹⁵N depletion relative to air. </w:t>
      </w:r>
    </w:p>
    <w:p w14:paraId="00000192" w14:textId="15F1D1C5" w:rsidR="00E420E3" w:rsidRPr="008D10CA" w:rsidRDefault="005C7825" w:rsidP="007808E4">
      <w:r>
        <w:rPr>
          <w:noProof/>
        </w:rPr>
        <w:lastRenderedPageBreak/>
        <w:drawing>
          <wp:anchor distT="0" distB="0" distL="114300" distR="114300" simplePos="0" relativeHeight="251669510" behindDoc="0" locked="0" layoutInCell="1" allowOverlap="1" wp14:anchorId="433580D5" wp14:editId="79092810">
            <wp:simplePos x="0" y="0"/>
            <wp:positionH relativeFrom="margin">
              <wp:align>right</wp:align>
            </wp:positionH>
            <wp:positionV relativeFrom="paragraph">
              <wp:posOffset>833120</wp:posOffset>
            </wp:positionV>
            <wp:extent cx="5478145" cy="3951605"/>
            <wp:effectExtent l="0" t="0" r="8255" b="0"/>
            <wp:wrapNone/>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2">
                      <a:extLst>
                        <a:ext uri="{28A0092B-C50C-407E-A947-70E740481C1C}">
                          <a14:useLocalDpi xmlns:a14="http://schemas.microsoft.com/office/drawing/2010/main" val="0"/>
                        </a:ext>
                      </a:extLst>
                    </a:blip>
                    <a:srcRect/>
                    <a:stretch>
                      <a:fillRect/>
                    </a:stretch>
                  </pic:blipFill>
                  <pic:spPr>
                    <a:xfrm>
                      <a:off x="0" y="0"/>
                      <a:ext cx="5478145" cy="3951605"/>
                    </a:xfrm>
                    <a:prstGeom prst="rect">
                      <a:avLst/>
                    </a:prstGeom>
                    <a:ln/>
                  </pic:spPr>
                </pic:pic>
              </a:graphicData>
            </a:graphic>
            <wp14:sizeRelH relativeFrom="margin">
              <wp14:pctWidth>0</wp14:pctWidth>
            </wp14:sizeRelH>
            <wp14:sizeRelV relativeFrom="margin">
              <wp14:pctHeight>0</wp14:pctHeight>
            </wp14:sizeRelV>
          </wp:anchor>
        </w:drawing>
      </w:r>
      <w:r w:rsidRPr="008D10CA">
        <w:t>In ant-free control plants, domatium tissues can show slightly negative values, reflecting natural discrimination against the heavier isotope during nitrogen metabolism. The key comparison is therefore between ant-colonised and ant-free plants of the same tissue type.</w:t>
      </w:r>
    </w:p>
    <w:p w14:paraId="2BCB09AF" w14:textId="7AA2CE63" w:rsidR="0074111C" w:rsidRDefault="0074111C" w:rsidP="0074111C"/>
    <w:p w14:paraId="42BCDCDD" w14:textId="33BDDDC6" w:rsidR="0074111C" w:rsidRDefault="0074111C" w:rsidP="0074111C"/>
    <w:p w14:paraId="35DF3F4A" w14:textId="77777777" w:rsidR="0074111C" w:rsidRDefault="0074111C" w:rsidP="0074111C"/>
    <w:p w14:paraId="1B805D56" w14:textId="77777777" w:rsidR="0074111C" w:rsidRDefault="0074111C" w:rsidP="0074111C"/>
    <w:p w14:paraId="7FA2A215" w14:textId="77777777" w:rsidR="0074111C" w:rsidRDefault="0074111C" w:rsidP="0074111C"/>
    <w:p w14:paraId="45665B83" w14:textId="77777777" w:rsidR="0074111C" w:rsidRDefault="0074111C" w:rsidP="0074111C"/>
    <w:p w14:paraId="3E72F035" w14:textId="6DC60BD5" w:rsidR="0074111C" w:rsidRDefault="0074111C" w:rsidP="0074111C"/>
    <w:p w14:paraId="7A851805" w14:textId="77777777" w:rsidR="0074111C" w:rsidRDefault="0074111C" w:rsidP="0074111C"/>
    <w:p w14:paraId="00000193" w14:textId="5076902A" w:rsidR="00E420E3" w:rsidRDefault="00E420E3" w:rsidP="0074111C"/>
    <w:p w14:paraId="0CAC8DD7" w14:textId="77777777" w:rsidR="0074111C" w:rsidRDefault="0074111C" w:rsidP="0074111C"/>
    <w:p w14:paraId="2E2CADD9" w14:textId="77777777" w:rsidR="0074111C" w:rsidRDefault="0074111C" w:rsidP="0074111C"/>
    <w:p w14:paraId="00000194" w14:textId="7D75FB29" w:rsidR="00E420E3" w:rsidRDefault="009E1DFD" w:rsidP="0018209E">
      <w:pPr>
        <w:pStyle w:val="Caption"/>
        <w:rPr>
          <w:i w:val="0"/>
          <w:iCs w:val="0"/>
          <w:color w:val="auto"/>
          <w:sz w:val="24"/>
          <w:szCs w:val="24"/>
        </w:rPr>
      </w:pPr>
      <w:bookmarkStart w:id="53" w:name="_Toc235390729"/>
      <w:r w:rsidRPr="00096BD8">
        <w:rPr>
          <w:b/>
          <w:bCs/>
          <w:i w:val="0"/>
          <w:iCs w:val="0"/>
          <w:color w:val="auto"/>
          <w:sz w:val="24"/>
          <w:szCs w:val="24"/>
        </w:rPr>
        <w:t xml:space="preserve">Figure </w:t>
      </w:r>
      <w:r w:rsidRPr="00096BD8">
        <w:rPr>
          <w:b/>
          <w:bCs/>
          <w:i w:val="0"/>
          <w:iCs w:val="0"/>
          <w:color w:val="auto"/>
          <w:sz w:val="24"/>
          <w:szCs w:val="24"/>
        </w:rPr>
        <w:fldChar w:fldCharType="begin"/>
      </w:r>
      <w:r w:rsidRPr="00096BD8">
        <w:rPr>
          <w:b/>
          <w:bCs/>
          <w:i w:val="0"/>
          <w:iCs w:val="0"/>
          <w:color w:val="auto"/>
          <w:sz w:val="24"/>
          <w:szCs w:val="24"/>
        </w:rPr>
        <w:instrText xml:space="preserve"> SEQ Figure \* ARABIC </w:instrText>
      </w:r>
      <w:r w:rsidRPr="00096BD8">
        <w:rPr>
          <w:b/>
          <w:bCs/>
          <w:i w:val="0"/>
          <w:iCs w:val="0"/>
          <w:color w:val="auto"/>
          <w:sz w:val="24"/>
          <w:szCs w:val="24"/>
        </w:rPr>
        <w:fldChar w:fldCharType="separate"/>
      </w:r>
      <w:r w:rsidR="008248B6" w:rsidRPr="00096BD8">
        <w:rPr>
          <w:b/>
          <w:bCs/>
          <w:i w:val="0"/>
          <w:iCs w:val="0"/>
          <w:noProof/>
          <w:color w:val="auto"/>
          <w:sz w:val="24"/>
          <w:szCs w:val="24"/>
        </w:rPr>
        <w:t>7</w:t>
      </w:r>
      <w:r w:rsidRPr="00096BD8">
        <w:rPr>
          <w:b/>
          <w:bCs/>
          <w:i w:val="0"/>
          <w:iCs w:val="0"/>
          <w:color w:val="auto"/>
          <w:sz w:val="24"/>
          <w:szCs w:val="24"/>
        </w:rPr>
        <w:fldChar w:fldCharType="end"/>
      </w:r>
      <w:r w:rsidR="00201466">
        <w:rPr>
          <w:b/>
          <w:bCs/>
          <w:i w:val="0"/>
          <w:iCs w:val="0"/>
          <w:color w:val="auto"/>
          <w:sz w:val="24"/>
          <w:szCs w:val="24"/>
        </w:rPr>
        <w:t>.</w:t>
      </w:r>
      <w:r w:rsidRPr="00096BD8">
        <w:rPr>
          <w:b/>
          <w:bCs/>
          <w:i w:val="0"/>
          <w:iCs w:val="0"/>
          <w:color w:val="auto"/>
          <w:sz w:val="24"/>
          <w:szCs w:val="24"/>
        </w:rPr>
        <w:t xml:space="preserve"> </w:t>
      </w:r>
      <w:r w:rsidRPr="00096BD8">
        <w:rPr>
          <w:i w:val="0"/>
          <w:iCs w:val="0"/>
          <w:color w:val="auto"/>
          <w:sz w:val="24"/>
          <w:szCs w:val="24"/>
        </w:rPr>
        <w:t>Co</w:t>
      </w:r>
      <w:r w:rsidR="00201466">
        <w:rPr>
          <w:i w:val="0"/>
          <w:iCs w:val="0"/>
          <w:color w:val="auto"/>
          <w:sz w:val="24"/>
          <w:szCs w:val="24"/>
        </w:rPr>
        <w:t>n</w:t>
      </w:r>
      <w:r w:rsidRPr="00096BD8">
        <w:rPr>
          <w:i w:val="0"/>
          <w:iCs w:val="0"/>
          <w:color w:val="auto"/>
          <w:sz w:val="24"/>
          <w:szCs w:val="24"/>
        </w:rPr>
        <w:t>trasting plant health between a domatium-bearing and a non-domatium-bearing plant.</w:t>
      </w:r>
      <w:bookmarkEnd w:id="53"/>
      <w:r w:rsidR="0018209E">
        <w:rPr>
          <w:i w:val="0"/>
          <w:iCs w:val="0"/>
          <w:color w:val="auto"/>
          <w:sz w:val="24"/>
          <w:szCs w:val="24"/>
        </w:rPr>
        <w:t xml:space="preserve"> </w:t>
      </w:r>
      <w:r w:rsidRPr="0018209E">
        <w:rPr>
          <w:i w:val="0"/>
          <w:iCs w:val="0"/>
          <w:color w:val="auto"/>
          <w:sz w:val="24"/>
          <w:szCs w:val="24"/>
        </w:rPr>
        <w:t xml:space="preserve">(A) </w:t>
      </w:r>
      <w:r w:rsidRPr="0018209E">
        <w:rPr>
          <w:color w:val="auto"/>
          <w:sz w:val="24"/>
          <w:szCs w:val="24"/>
        </w:rPr>
        <w:t>M</w:t>
      </w:r>
      <w:r w:rsidR="0066107C">
        <w:rPr>
          <w:color w:val="auto"/>
          <w:sz w:val="24"/>
          <w:szCs w:val="24"/>
        </w:rPr>
        <w:t>.</w:t>
      </w:r>
      <w:r w:rsidRPr="0018209E">
        <w:rPr>
          <w:color w:val="auto"/>
          <w:sz w:val="24"/>
          <w:szCs w:val="24"/>
        </w:rPr>
        <w:t xml:space="preserve"> </w:t>
      </w:r>
      <w:proofErr w:type="spellStart"/>
      <w:r w:rsidRPr="0018209E">
        <w:rPr>
          <w:color w:val="auto"/>
          <w:sz w:val="24"/>
          <w:szCs w:val="24"/>
        </w:rPr>
        <w:t>beccarii</w:t>
      </w:r>
      <w:proofErr w:type="spellEnd"/>
      <w:r w:rsidRPr="0018209E">
        <w:rPr>
          <w:i w:val="0"/>
          <w:iCs w:val="0"/>
          <w:color w:val="auto"/>
          <w:sz w:val="24"/>
          <w:szCs w:val="24"/>
        </w:rPr>
        <w:t xml:space="preserve"> colonised by ghost ants (</w:t>
      </w:r>
      <w:r w:rsidRPr="0018209E">
        <w:rPr>
          <w:color w:val="auto"/>
          <w:sz w:val="24"/>
          <w:szCs w:val="24"/>
        </w:rPr>
        <w:t xml:space="preserve">Tapinoma </w:t>
      </w:r>
      <w:proofErr w:type="spellStart"/>
      <w:r w:rsidRPr="0018209E">
        <w:rPr>
          <w:color w:val="auto"/>
          <w:sz w:val="24"/>
          <w:szCs w:val="24"/>
        </w:rPr>
        <w:t>melanocephalum</w:t>
      </w:r>
      <w:proofErr w:type="spellEnd"/>
      <w:r w:rsidRPr="0018209E">
        <w:rPr>
          <w:i w:val="0"/>
          <w:iCs w:val="0"/>
          <w:color w:val="auto"/>
          <w:sz w:val="24"/>
          <w:szCs w:val="24"/>
        </w:rPr>
        <w:t xml:space="preserve">) showing no visible signs of stress, with healthy leaves and an intact domatium housing a reproductive ant colony. (B) A non-domatium-bearing plant showing leaf deformity and desiccation. No scale insect infestations were observed on any </w:t>
      </w:r>
      <w:proofErr w:type="spellStart"/>
      <w:r w:rsidRPr="0018209E">
        <w:rPr>
          <w:color w:val="auto"/>
          <w:sz w:val="24"/>
          <w:szCs w:val="24"/>
        </w:rPr>
        <w:t>Hydnophytinae</w:t>
      </w:r>
      <w:proofErr w:type="spellEnd"/>
      <w:r w:rsidRPr="0018209E">
        <w:rPr>
          <w:color w:val="auto"/>
          <w:sz w:val="24"/>
          <w:szCs w:val="24"/>
        </w:rPr>
        <w:t xml:space="preserve"> </w:t>
      </w:r>
      <w:r w:rsidRPr="0018209E">
        <w:rPr>
          <w:i w:val="0"/>
          <w:iCs w:val="0"/>
          <w:color w:val="auto"/>
          <w:sz w:val="24"/>
          <w:szCs w:val="24"/>
        </w:rPr>
        <w:t>plants throughout the study.</w:t>
      </w:r>
    </w:p>
    <w:p w14:paraId="3E01B084" w14:textId="77777777" w:rsidR="0018209E" w:rsidRPr="0018209E" w:rsidRDefault="0018209E" w:rsidP="0018209E"/>
    <w:p w14:paraId="12E78D1B" w14:textId="77777777" w:rsidR="00A4432F" w:rsidRDefault="008E5528" w:rsidP="0030413A">
      <w:r>
        <w:t xml:space="preserve">In this study, enrichment is defined as a significantly higher δ¹⁵N value in ant-colonised tissues relative to ant-free controls of the same tissue type and species, as tested by the statistical models described in Section 3.3.5. δ¹⁵N values are reported relative to atmospheric N₂ (AIR), where a value of 0‰ represents the atmospheric standard. Positive values indicate ¹⁵N enrichment above this baseline, while negative values indicate ¹⁵N depletion relative to air. In ant-free control plants, domatium tissues can show slightly negative values, reflecting natural discrimination against the heavier isotope during nitrogen metabolism. </w:t>
      </w:r>
    </w:p>
    <w:p w14:paraId="0F9FB18C" w14:textId="77777777" w:rsidR="00A4432F" w:rsidRDefault="008E5528" w:rsidP="0030413A">
      <w:pPr>
        <w:rPr>
          <w:szCs w:val="24"/>
        </w:rPr>
      </w:pPr>
      <w:r>
        <w:t>The key comparison is therefore between ant-colonised and ant-free plants of the same tissue type. Full results of all statistical tests supporting the statements below are presented in</w:t>
      </w:r>
      <w:r>
        <w:rPr>
          <w:szCs w:val="24"/>
        </w:rPr>
        <w:t>.</w:t>
      </w:r>
      <w:r w:rsidR="00A4432F">
        <w:rPr>
          <w:szCs w:val="24"/>
        </w:rPr>
        <w:t xml:space="preserve"> </w:t>
      </w:r>
      <w:r w:rsidRPr="00F450D5">
        <w:rPr>
          <w:szCs w:val="24"/>
        </w:rPr>
        <w:t xml:space="preserve">In </w:t>
      </w:r>
      <w:proofErr w:type="spellStart"/>
      <w:r w:rsidRPr="00F450D5">
        <w:rPr>
          <w:i/>
          <w:iCs/>
          <w:szCs w:val="24"/>
        </w:rPr>
        <w:lastRenderedPageBreak/>
        <w:t>Hydnophytum</w:t>
      </w:r>
      <w:proofErr w:type="spellEnd"/>
      <w:r w:rsidRPr="00F450D5">
        <w:rPr>
          <w:i/>
          <w:iCs/>
          <w:szCs w:val="24"/>
        </w:rPr>
        <w:t xml:space="preserve"> </w:t>
      </w:r>
      <w:proofErr w:type="spellStart"/>
      <w:r w:rsidRPr="00F450D5">
        <w:rPr>
          <w:i/>
          <w:iCs/>
          <w:szCs w:val="24"/>
        </w:rPr>
        <w:t>moseleyanum</w:t>
      </w:r>
      <w:proofErr w:type="spellEnd"/>
      <w:r w:rsidRPr="00F450D5">
        <w:rPr>
          <w:szCs w:val="24"/>
        </w:rPr>
        <w:t>, the presence of ghost ants compared to no ants significantly increased δ¹⁵N values overall (two-way ANOVA, Treatment effect: F</w:t>
      </w:r>
      <w:proofErr w:type="gramStart"/>
      <w:r w:rsidRPr="00F450D5">
        <w:rPr>
          <w:szCs w:val="24"/>
        </w:rPr>
        <w:t>₁,₁</w:t>
      </w:r>
      <w:proofErr w:type="gramEnd"/>
      <w:r w:rsidRPr="00F450D5">
        <w:rPr>
          <w:szCs w:val="24"/>
        </w:rPr>
        <w:t>₆ = 11.76, P = 0.003), with no significant effect of tissue type (F</w:t>
      </w:r>
      <w:proofErr w:type="gramStart"/>
      <w:r w:rsidRPr="00F450D5">
        <w:rPr>
          <w:szCs w:val="24"/>
        </w:rPr>
        <w:t>₃,₁</w:t>
      </w:r>
      <w:proofErr w:type="gramEnd"/>
      <w:r w:rsidRPr="00F450D5">
        <w:rPr>
          <w:szCs w:val="24"/>
        </w:rPr>
        <w:t>₆ = 0.28, P = 0.837) and no significant Treatment × Tissue interaction (F</w:t>
      </w:r>
      <w:proofErr w:type="gramStart"/>
      <w:r w:rsidRPr="00F450D5">
        <w:rPr>
          <w:szCs w:val="24"/>
        </w:rPr>
        <w:t>₃,₁</w:t>
      </w:r>
      <w:proofErr w:type="gramEnd"/>
      <w:r w:rsidRPr="00F450D5">
        <w:rPr>
          <w:szCs w:val="24"/>
        </w:rPr>
        <w:t xml:space="preserve">₆ = 1.50, P = 0.252). Tissue-specific Welch t-tests comparing ant-present and ant-free plants showed that this enrichment was significant only in warty-like domatium tissue (t = -7.54, </w:t>
      </w:r>
      <w:proofErr w:type="spellStart"/>
      <w:r w:rsidRPr="00F450D5">
        <w:rPr>
          <w:szCs w:val="24"/>
        </w:rPr>
        <w:t>df</w:t>
      </w:r>
      <w:proofErr w:type="spellEnd"/>
      <w:r w:rsidRPr="00F450D5">
        <w:rPr>
          <w:szCs w:val="24"/>
        </w:rPr>
        <w:t xml:space="preserve"> = 2.13, P = 0.014); tuber (t = -2.65, </w:t>
      </w:r>
      <w:proofErr w:type="spellStart"/>
      <w:r w:rsidRPr="00F450D5">
        <w:rPr>
          <w:szCs w:val="24"/>
        </w:rPr>
        <w:t>df</w:t>
      </w:r>
      <w:proofErr w:type="spellEnd"/>
      <w:r w:rsidRPr="00F450D5">
        <w:rPr>
          <w:szCs w:val="24"/>
        </w:rPr>
        <w:t xml:space="preserve"> = 2.14, P = 0.110) and smooth-like tissue (t = -1.36, </w:t>
      </w:r>
      <w:proofErr w:type="spellStart"/>
      <w:r w:rsidRPr="00F450D5">
        <w:rPr>
          <w:szCs w:val="24"/>
        </w:rPr>
        <w:t>df</w:t>
      </w:r>
      <w:proofErr w:type="spellEnd"/>
      <w:r w:rsidRPr="00F450D5">
        <w:rPr>
          <w:szCs w:val="24"/>
        </w:rPr>
        <w:t xml:space="preserve"> = 2.00, P = 0.307) showed enrichment in the same direction but did not reach significance, likely reflecting the limited statistical power of small sample sizes (n = 3 per group). </w:t>
      </w:r>
    </w:p>
    <w:p w14:paraId="00000196" w14:textId="757E76C7" w:rsidR="00E420E3" w:rsidRPr="00F450D5" w:rsidRDefault="008E5528" w:rsidP="0030413A">
      <w:r w:rsidRPr="00F450D5">
        <w:rPr>
          <w:szCs w:val="24"/>
        </w:rPr>
        <w:t xml:space="preserve">Leaves showed no significant difference between treatments (t = 1.55, </w:t>
      </w:r>
      <w:proofErr w:type="spellStart"/>
      <w:r w:rsidRPr="00F450D5">
        <w:rPr>
          <w:szCs w:val="24"/>
        </w:rPr>
        <w:t>df</w:t>
      </w:r>
      <w:proofErr w:type="spellEnd"/>
      <w:r w:rsidRPr="00F450D5">
        <w:rPr>
          <w:szCs w:val="24"/>
        </w:rPr>
        <w:t xml:space="preserve"> = 3.99, P = 0.195), confirming that, despite the lack of a significant Tissue or interaction effect in the overall model, the enrichment response was concentrated in domatium tissue rather than leaves. Mean δ¹⁵N enrichment across all domatium tissues of ant-present plants was 8.31‰ (range: 0.69–22.61‰) (Fig. </w:t>
      </w:r>
      <w:r w:rsidR="00427759">
        <w:rPr>
          <w:szCs w:val="24"/>
        </w:rPr>
        <w:t>8</w:t>
      </w:r>
      <w:r w:rsidRPr="00F450D5">
        <w:rPr>
          <w:szCs w:val="24"/>
        </w:rPr>
        <w:t xml:space="preserve">).  </w:t>
      </w:r>
      <w:r w:rsidRPr="00F450D5">
        <w:t>In the ant-free plants, the highest δ¹⁵N value was found in the leaves (1.52–2.04), while all domatium tissues had values in the range of -3.51 to -0.01 δ¹⁵N.</w:t>
      </w:r>
    </w:p>
    <w:p w14:paraId="31218DEE" w14:textId="77777777" w:rsidR="00A4432F" w:rsidRDefault="008E5528" w:rsidP="0030413A">
      <w:pPr>
        <w:rPr>
          <w:szCs w:val="24"/>
        </w:rPr>
      </w:pPr>
      <w:r w:rsidRPr="00F450D5">
        <w:t xml:space="preserve">In </w:t>
      </w:r>
      <w:proofErr w:type="spellStart"/>
      <w:r w:rsidRPr="00F450D5">
        <w:rPr>
          <w:i/>
          <w:iCs/>
          <w:szCs w:val="24"/>
        </w:rPr>
        <w:t>Myrmecodia</w:t>
      </w:r>
      <w:proofErr w:type="spellEnd"/>
      <w:r w:rsidRPr="00F450D5">
        <w:rPr>
          <w:i/>
          <w:iCs/>
          <w:szCs w:val="24"/>
        </w:rPr>
        <w:t xml:space="preserve"> </w:t>
      </w:r>
      <w:proofErr w:type="spellStart"/>
      <w:r w:rsidRPr="00F450D5">
        <w:rPr>
          <w:i/>
          <w:iCs/>
          <w:szCs w:val="24"/>
        </w:rPr>
        <w:t>beccarii</w:t>
      </w:r>
      <w:proofErr w:type="spellEnd"/>
      <w:r w:rsidRPr="00F450D5">
        <w:rPr>
          <w:szCs w:val="24"/>
        </w:rPr>
        <w:t>, the presence of ghost ants significantly increased δ¹⁵N values compared to ant-free controls (two-way ANOVA, F</w:t>
      </w:r>
      <w:proofErr w:type="gramStart"/>
      <w:r w:rsidRPr="00F450D5">
        <w:rPr>
          <w:szCs w:val="24"/>
        </w:rPr>
        <w:t>₁,₁</w:t>
      </w:r>
      <w:proofErr w:type="gramEnd"/>
      <w:r w:rsidRPr="00F450D5">
        <w:rPr>
          <w:szCs w:val="24"/>
        </w:rPr>
        <w:t>₆ = 6.93, P = 0.018), with no significant effect of tissue type (F</w:t>
      </w:r>
      <w:proofErr w:type="gramStart"/>
      <w:r w:rsidRPr="00F450D5">
        <w:rPr>
          <w:szCs w:val="24"/>
        </w:rPr>
        <w:t>₃,₁</w:t>
      </w:r>
      <w:proofErr w:type="gramEnd"/>
      <w:r w:rsidRPr="00F450D5">
        <w:rPr>
          <w:szCs w:val="24"/>
        </w:rPr>
        <w:t>₆ = 1.69, P = 0.209) and no significant Treatment × Tissue interaction (F</w:t>
      </w:r>
      <w:proofErr w:type="gramStart"/>
      <w:r w:rsidRPr="00F450D5">
        <w:rPr>
          <w:szCs w:val="24"/>
        </w:rPr>
        <w:t>₃,₁</w:t>
      </w:r>
      <w:proofErr w:type="gramEnd"/>
      <w:r w:rsidRPr="00F450D5">
        <w:rPr>
          <w:szCs w:val="24"/>
        </w:rPr>
        <w:t xml:space="preserve">₆ = 1.70, P = 0.206), indicating that all tissues responded similarly to ant colonisation. Mean δ¹⁵N enrichment across all domatium tissues of ant-present plants was 45.35 ‰ (range: 10.43–177.40 ‰), representing a 5.94-fold greater enrichment compared to </w:t>
      </w:r>
      <w:r w:rsidRPr="00F450D5">
        <w:rPr>
          <w:i/>
          <w:iCs/>
          <w:szCs w:val="24"/>
        </w:rPr>
        <w:t xml:space="preserve">H. </w:t>
      </w:r>
      <w:proofErr w:type="spellStart"/>
      <w:r w:rsidRPr="00F450D5">
        <w:rPr>
          <w:i/>
          <w:iCs/>
          <w:szCs w:val="24"/>
        </w:rPr>
        <w:t>moseleyanum</w:t>
      </w:r>
      <w:proofErr w:type="spellEnd"/>
      <w:r w:rsidRPr="00F450D5">
        <w:rPr>
          <w:szCs w:val="24"/>
        </w:rPr>
        <w:t xml:space="preserve"> (8.31 ‰). Tissue-specific Welch t-tests comparing ants to ant free, revealed that this enrichment was only individually significant in smooth domatium tissue (Welch t-test: t = -12.45, </w:t>
      </w:r>
      <w:proofErr w:type="spellStart"/>
      <w:r w:rsidRPr="00F450D5">
        <w:rPr>
          <w:szCs w:val="24"/>
        </w:rPr>
        <w:t>df</w:t>
      </w:r>
      <w:proofErr w:type="spellEnd"/>
      <w:r w:rsidRPr="00F450D5">
        <w:rPr>
          <w:szCs w:val="24"/>
        </w:rPr>
        <w:t xml:space="preserve"> = 1.08, P-value = 0.042), while tuber (t = -3.13, </w:t>
      </w:r>
      <w:proofErr w:type="spellStart"/>
      <w:r w:rsidRPr="00F450D5">
        <w:rPr>
          <w:szCs w:val="24"/>
        </w:rPr>
        <w:t>df</w:t>
      </w:r>
      <w:proofErr w:type="spellEnd"/>
      <w:r w:rsidRPr="00F450D5">
        <w:rPr>
          <w:szCs w:val="24"/>
        </w:rPr>
        <w:t xml:space="preserve"> = 2.00, P = 0.088) and warty tissue (t = -1.57, </w:t>
      </w:r>
      <w:proofErr w:type="spellStart"/>
      <w:r w:rsidRPr="00F450D5">
        <w:rPr>
          <w:szCs w:val="24"/>
        </w:rPr>
        <w:t>df</w:t>
      </w:r>
      <w:proofErr w:type="spellEnd"/>
      <w:r w:rsidRPr="00F450D5">
        <w:rPr>
          <w:szCs w:val="24"/>
        </w:rPr>
        <w:t xml:space="preserve"> = 2.00, P = 0.257) showed enrichment in the same direction but did not reach significance, likely reflecting high inter-plant variability. </w:t>
      </w:r>
    </w:p>
    <w:p w14:paraId="00000197" w14:textId="7C6B0812" w:rsidR="00E420E3" w:rsidRDefault="008E5528" w:rsidP="0030413A">
      <w:pPr>
        <w:rPr>
          <w:szCs w:val="24"/>
        </w:rPr>
      </w:pPr>
      <w:r w:rsidRPr="00F450D5">
        <w:rPr>
          <w:szCs w:val="24"/>
        </w:rPr>
        <w:t xml:space="preserve">Leaves showed no significant difference between treatments (t = -0.10, </w:t>
      </w:r>
      <w:proofErr w:type="spellStart"/>
      <w:r w:rsidRPr="00F450D5">
        <w:rPr>
          <w:szCs w:val="24"/>
        </w:rPr>
        <w:t>df</w:t>
      </w:r>
      <w:proofErr w:type="spellEnd"/>
      <w:r w:rsidRPr="00F450D5">
        <w:rPr>
          <w:szCs w:val="24"/>
        </w:rPr>
        <w:t xml:space="preserve"> = 3.18, P = 0.925), confirming that enrichment was specific to domatium tissue. Overall, </w:t>
      </w:r>
      <w:r w:rsidRPr="00F450D5">
        <w:t xml:space="preserve">In </w:t>
      </w:r>
      <w:r w:rsidRPr="00F450D5">
        <w:rPr>
          <w:i/>
          <w:iCs/>
        </w:rPr>
        <w:t>M</w:t>
      </w:r>
      <w:r w:rsidR="00F450D5">
        <w:rPr>
          <w:i/>
          <w:iCs/>
        </w:rPr>
        <w:t>.</w:t>
      </w:r>
      <w:r w:rsidRPr="00F450D5">
        <w:rPr>
          <w:i/>
          <w:iCs/>
        </w:rPr>
        <w:t xml:space="preserve"> </w:t>
      </w:r>
      <w:proofErr w:type="spellStart"/>
      <w:r w:rsidRPr="00F450D5">
        <w:rPr>
          <w:i/>
          <w:iCs/>
        </w:rPr>
        <w:t>beccarii</w:t>
      </w:r>
      <w:proofErr w:type="spellEnd"/>
      <w:r w:rsidRPr="00F450D5">
        <w:t xml:space="preserve">, a mean δ¹⁵N enrichment of [45.35 ‰] (range: [10.43–177.4] ‰) was </w:t>
      </w:r>
      <w:r>
        <w:t xml:space="preserve">found in the domatium tissues, but not in leaves, and as for </w:t>
      </w:r>
      <w:r>
        <w:rPr>
          <w:i/>
          <w:iCs/>
        </w:rPr>
        <w:t xml:space="preserve">H. </w:t>
      </w:r>
      <w:proofErr w:type="spellStart"/>
      <w:r>
        <w:rPr>
          <w:i/>
          <w:iCs/>
        </w:rPr>
        <w:t>moseleyanum</w:t>
      </w:r>
      <w:proofErr w:type="spellEnd"/>
      <w:r>
        <w:t xml:space="preserve">, the presence of ghost ants significantly increased δ¹⁵N values (ANOVA, F = 6.94, P = 0.018; Fig. </w:t>
      </w:r>
      <w:r w:rsidR="00DA0846">
        <w:t>9</w:t>
      </w:r>
      <w:r>
        <w:t xml:space="preserve">). </w:t>
      </w:r>
    </w:p>
    <w:p w14:paraId="00000198" w14:textId="2C533A97" w:rsidR="00E420E3" w:rsidRDefault="001867AC" w:rsidP="0030413A">
      <w:r>
        <w:rPr>
          <w:szCs w:val="24"/>
        </w:rPr>
        <w:lastRenderedPageBreak/>
        <w:t xml:space="preserve">However, there were substantial differences between the domatium tissues, with smooth surfaces having the lowest δ¹⁵N enrichment and warty surfaces having the highest, albeit these were non-significant. We next ran an ANOVA analysis using the full dataset including both plants and tissues. This revealed a significant higher enrichment in </w:t>
      </w:r>
      <w:r>
        <w:rPr>
          <w:i/>
          <w:iCs/>
        </w:rPr>
        <w:t>M</w:t>
      </w:r>
      <w:r w:rsidR="00F450D5">
        <w:rPr>
          <w:i/>
          <w:iCs/>
        </w:rPr>
        <w:t>.</w:t>
      </w:r>
      <w:r>
        <w:rPr>
          <w:i/>
          <w:iCs/>
        </w:rPr>
        <w:t xml:space="preserve"> </w:t>
      </w:r>
      <w:proofErr w:type="spellStart"/>
      <w:r>
        <w:rPr>
          <w:i/>
          <w:iCs/>
        </w:rPr>
        <w:t>beccarii</w:t>
      </w:r>
      <w:proofErr w:type="spellEnd"/>
      <w:r>
        <w:t xml:space="preserve"> as compared to </w:t>
      </w:r>
      <w:r w:rsidR="00F2207A">
        <w:rPr>
          <w:i/>
          <w:iCs/>
        </w:rPr>
        <w:t xml:space="preserve">H. </w:t>
      </w:r>
      <w:proofErr w:type="spellStart"/>
      <w:r w:rsidR="00F2207A">
        <w:rPr>
          <w:i/>
          <w:iCs/>
        </w:rPr>
        <w:t>moseleyanum</w:t>
      </w:r>
      <w:proofErr w:type="spellEnd"/>
      <w:r>
        <w:t xml:space="preserve"> (F = 4.38, P = 0.04), reflecting the overall enrichment of domatium tissues being nearly 6-fold greater (5.94×) in </w:t>
      </w:r>
      <w:r>
        <w:rPr>
          <w:i/>
          <w:iCs/>
        </w:rPr>
        <w:t>M</w:t>
      </w:r>
      <w:r w:rsidR="00F450D5">
        <w:rPr>
          <w:i/>
          <w:iCs/>
        </w:rPr>
        <w:t>.</w:t>
      </w:r>
      <w:r>
        <w:rPr>
          <w:i/>
          <w:iCs/>
        </w:rPr>
        <w:t xml:space="preserve"> </w:t>
      </w:r>
      <w:proofErr w:type="spellStart"/>
      <w:r>
        <w:rPr>
          <w:i/>
          <w:iCs/>
        </w:rPr>
        <w:t>beccarii</w:t>
      </w:r>
      <w:proofErr w:type="spellEnd"/>
      <w:r>
        <w:t xml:space="preserve"> as compared to </w:t>
      </w:r>
      <w:r w:rsidR="00F2207A">
        <w:rPr>
          <w:i/>
          <w:iCs/>
        </w:rPr>
        <w:t xml:space="preserve">H. </w:t>
      </w:r>
      <w:proofErr w:type="spellStart"/>
      <w:r w:rsidR="00F2207A">
        <w:rPr>
          <w:i/>
          <w:iCs/>
        </w:rPr>
        <w:t>moseleyanum</w:t>
      </w:r>
      <w:proofErr w:type="spellEnd"/>
      <w:r>
        <w:t xml:space="preserve"> in the presence of ghost ants. This ANOVA analysis of all data confirmed the importance of ghost ant presence leading to significantly higher δ¹⁵N values (F = 9.88, P = 0.003). The Species × Treatment interaction was also significant (F = 4.59, P = 0.04). </w:t>
      </w:r>
    </w:p>
    <w:p w14:paraId="25DA6D47" w14:textId="73191524" w:rsidR="003D7E0A" w:rsidRDefault="003D7E0A" w:rsidP="0030413A"/>
    <w:p w14:paraId="39ECBC4A" w14:textId="0FFB7BB0" w:rsidR="003D7E0A" w:rsidRDefault="003D7E0A" w:rsidP="0030413A">
      <w:r>
        <w:rPr>
          <w:rFonts w:eastAsia="Times New Roman" w:cs="Times New Roman"/>
          <w:noProof/>
          <w:color w:val="000000"/>
          <w:szCs w:val="24"/>
        </w:rPr>
        <w:drawing>
          <wp:anchor distT="0" distB="0" distL="114300" distR="114300" simplePos="0" relativeHeight="251670534" behindDoc="0" locked="0" layoutInCell="1" allowOverlap="1" wp14:anchorId="66A1E9C9" wp14:editId="3DC4D7B1">
            <wp:simplePos x="0" y="0"/>
            <wp:positionH relativeFrom="margin">
              <wp:align>center</wp:align>
            </wp:positionH>
            <wp:positionV relativeFrom="paragraph">
              <wp:posOffset>10160</wp:posOffset>
            </wp:positionV>
            <wp:extent cx="4230094" cy="4882101"/>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extLst>
                        <a:ext uri="{28A0092B-C50C-407E-A947-70E740481C1C}">
                          <a14:useLocalDpi xmlns:a14="http://schemas.microsoft.com/office/drawing/2010/main" val="0"/>
                        </a:ext>
                      </a:extLst>
                    </a:blip>
                    <a:srcRect/>
                    <a:stretch>
                      <a:fillRect/>
                    </a:stretch>
                  </pic:blipFill>
                  <pic:spPr>
                    <a:xfrm>
                      <a:off x="0" y="0"/>
                      <a:ext cx="4230094" cy="4882101"/>
                    </a:xfrm>
                    <a:prstGeom prst="rect">
                      <a:avLst/>
                    </a:prstGeom>
                    <a:ln/>
                  </pic:spPr>
                </pic:pic>
              </a:graphicData>
            </a:graphic>
            <wp14:sizeRelH relativeFrom="margin">
              <wp14:pctWidth>0</wp14:pctWidth>
            </wp14:sizeRelH>
            <wp14:sizeRelV relativeFrom="margin">
              <wp14:pctHeight>0</wp14:pctHeight>
            </wp14:sizeRelV>
          </wp:anchor>
        </w:drawing>
      </w:r>
    </w:p>
    <w:p w14:paraId="00000199" w14:textId="427DC304" w:rsidR="00E420E3" w:rsidRDefault="00E420E3">
      <w:pPr>
        <w:widowControl w:val="0"/>
        <w:pBdr>
          <w:top w:val="nil"/>
          <w:left w:val="nil"/>
          <w:bottom w:val="nil"/>
          <w:right w:val="nil"/>
          <w:between w:val="nil"/>
        </w:pBdr>
        <w:spacing w:before="375" w:line="344" w:lineRule="auto"/>
        <w:ind w:left="1437" w:right="353" w:hanging="1"/>
        <w:rPr>
          <w:rFonts w:eastAsia="Times New Roman" w:cs="Times New Roman"/>
        </w:rPr>
      </w:pPr>
    </w:p>
    <w:p w14:paraId="39E048DF" w14:textId="637CA839" w:rsidR="00A357DC" w:rsidRDefault="00A357DC">
      <w:pPr>
        <w:widowControl w:val="0"/>
        <w:pBdr>
          <w:top w:val="nil"/>
          <w:left w:val="nil"/>
          <w:bottom w:val="nil"/>
          <w:right w:val="nil"/>
          <w:between w:val="nil"/>
        </w:pBdr>
        <w:spacing w:before="375" w:line="344" w:lineRule="auto"/>
        <w:ind w:left="1437" w:right="353" w:hanging="1"/>
        <w:rPr>
          <w:rFonts w:eastAsia="Times New Roman" w:cs="Times New Roman"/>
        </w:rPr>
      </w:pPr>
    </w:p>
    <w:p w14:paraId="18296F4D" w14:textId="420CE882" w:rsidR="00A357DC" w:rsidRDefault="00A357DC">
      <w:pPr>
        <w:widowControl w:val="0"/>
        <w:pBdr>
          <w:top w:val="nil"/>
          <w:left w:val="nil"/>
          <w:bottom w:val="nil"/>
          <w:right w:val="nil"/>
          <w:between w:val="nil"/>
        </w:pBdr>
        <w:spacing w:before="375" w:line="344" w:lineRule="auto"/>
        <w:ind w:left="1437" w:right="353" w:hanging="1"/>
        <w:rPr>
          <w:rFonts w:eastAsia="Times New Roman" w:cs="Times New Roman"/>
        </w:rPr>
      </w:pPr>
    </w:p>
    <w:p w14:paraId="6CAEDADC" w14:textId="3BC144C9" w:rsidR="00A357DC" w:rsidRDefault="00A357DC">
      <w:pPr>
        <w:widowControl w:val="0"/>
        <w:pBdr>
          <w:top w:val="nil"/>
          <w:left w:val="nil"/>
          <w:bottom w:val="nil"/>
          <w:right w:val="nil"/>
          <w:between w:val="nil"/>
        </w:pBdr>
        <w:spacing w:before="375" w:line="344" w:lineRule="auto"/>
        <w:ind w:left="1437" w:right="353" w:hanging="1"/>
        <w:rPr>
          <w:rFonts w:eastAsia="Times New Roman" w:cs="Times New Roman"/>
        </w:rPr>
      </w:pPr>
    </w:p>
    <w:p w14:paraId="5EE429FA" w14:textId="77777777" w:rsidR="00A357DC" w:rsidRDefault="00A357DC">
      <w:pPr>
        <w:widowControl w:val="0"/>
        <w:pBdr>
          <w:top w:val="nil"/>
          <w:left w:val="nil"/>
          <w:bottom w:val="nil"/>
          <w:right w:val="nil"/>
          <w:between w:val="nil"/>
        </w:pBdr>
        <w:spacing w:before="375" w:line="344" w:lineRule="auto"/>
        <w:ind w:left="1437" w:right="353" w:hanging="1"/>
        <w:rPr>
          <w:rFonts w:eastAsia="Times New Roman" w:cs="Times New Roman"/>
        </w:rPr>
      </w:pPr>
    </w:p>
    <w:p w14:paraId="68233D64" w14:textId="77777777" w:rsidR="00A357DC" w:rsidRDefault="00A357DC">
      <w:pPr>
        <w:widowControl w:val="0"/>
        <w:pBdr>
          <w:top w:val="nil"/>
          <w:left w:val="nil"/>
          <w:bottom w:val="nil"/>
          <w:right w:val="nil"/>
          <w:between w:val="nil"/>
        </w:pBdr>
        <w:spacing w:before="375" w:line="344" w:lineRule="auto"/>
        <w:ind w:left="1437" w:right="353" w:hanging="1"/>
        <w:rPr>
          <w:rFonts w:eastAsia="Times New Roman" w:cs="Times New Roman"/>
        </w:rPr>
      </w:pPr>
    </w:p>
    <w:p w14:paraId="65A3C7FD" w14:textId="77777777" w:rsidR="00A357DC" w:rsidRDefault="00A357DC">
      <w:pPr>
        <w:widowControl w:val="0"/>
        <w:pBdr>
          <w:top w:val="nil"/>
          <w:left w:val="nil"/>
          <w:bottom w:val="nil"/>
          <w:right w:val="nil"/>
          <w:between w:val="nil"/>
        </w:pBdr>
        <w:spacing w:before="375" w:line="344" w:lineRule="auto"/>
        <w:ind w:left="1437" w:right="353" w:hanging="1"/>
        <w:rPr>
          <w:rFonts w:eastAsia="Times New Roman" w:cs="Times New Roman"/>
        </w:rPr>
      </w:pPr>
    </w:p>
    <w:p w14:paraId="39E00174" w14:textId="77777777" w:rsidR="00A357DC" w:rsidRDefault="00A357DC">
      <w:pPr>
        <w:widowControl w:val="0"/>
        <w:pBdr>
          <w:top w:val="nil"/>
          <w:left w:val="nil"/>
          <w:bottom w:val="nil"/>
          <w:right w:val="nil"/>
          <w:between w:val="nil"/>
        </w:pBdr>
        <w:spacing w:before="375" w:line="344" w:lineRule="auto"/>
        <w:ind w:left="1437" w:right="353" w:hanging="1"/>
        <w:rPr>
          <w:rFonts w:eastAsia="Times New Roman" w:cs="Times New Roman"/>
        </w:rPr>
      </w:pPr>
    </w:p>
    <w:p w14:paraId="7F7A0A4A" w14:textId="77777777" w:rsidR="00A357DC" w:rsidRDefault="00A357DC">
      <w:pPr>
        <w:widowControl w:val="0"/>
        <w:pBdr>
          <w:top w:val="nil"/>
          <w:left w:val="nil"/>
          <w:bottom w:val="nil"/>
          <w:right w:val="nil"/>
          <w:between w:val="nil"/>
        </w:pBdr>
        <w:spacing w:before="375" w:line="344" w:lineRule="auto"/>
        <w:ind w:left="1437" w:right="353" w:hanging="1"/>
        <w:rPr>
          <w:rFonts w:eastAsia="Times New Roman" w:cs="Times New Roman"/>
        </w:rPr>
      </w:pPr>
    </w:p>
    <w:p w14:paraId="0000019A" w14:textId="57E404BE" w:rsidR="00E420E3" w:rsidRDefault="00E420E3">
      <w:pPr>
        <w:widowControl w:val="0"/>
        <w:pBdr>
          <w:top w:val="nil"/>
          <w:left w:val="nil"/>
          <w:bottom w:val="nil"/>
          <w:right w:val="nil"/>
          <w:between w:val="nil"/>
        </w:pBdr>
        <w:spacing w:before="375" w:line="344" w:lineRule="auto"/>
        <w:ind w:left="1437" w:right="353" w:hanging="1"/>
        <w:rPr>
          <w:rFonts w:eastAsia="Times New Roman" w:cs="Times New Roman"/>
          <w:szCs w:val="24"/>
        </w:rPr>
      </w:pPr>
    </w:p>
    <w:p w14:paraId="4B054FE8" w14:textId="2A7C88EF" w:rsidR="00A357DC" w:rsidRPr="00096BD8" w:rsidRDefault="001867AC" w:rsidP="001867AC">
      <w:pPr>
        <w:pStyle w:val="Caption"/>
        <w:rPr>
          <w:b/>
          <w:bCs/>
          <w:i w:val="0"/>
          <w:iCs w:val="0"/>
          <w:color w:val="auto"/>
          <w:sz w:val="24"/>
          <w:szCs w:val="24"/>
        </w:rPr>
      </w:pPr>
      <w:bookmarkStart w:id="54" w:name="_Toc235390730"/>
      <w:r w:rsidRPr="00096BD8">
        <w:rPr>
          <w:b/>
          <w:bCs/>
          <w:i w:val="0"/>
          <w:iCs w:val="0"/>
          <w:color w:val="auto"/>
          <w:sz w:val="24"/>
          <w:szCs w:val="24"/>
        </w:rPr>
        <w:t xml:space="preserve">Figure </w:t>
      </w:r>
      <w:r w:rsidRPr="00096BD8">
        <w:rPr>
          <w:b/>
          <w:bCs/>
          <w:i w:val="0"/>
          <w:iCs w:val="0"/>
          <w:color w:val="auto"/>
          <w:sz w:val="24"/>
          <w:szCs w:val="24"/>
        </w:rPr>
        <w:fldChar w:fldCharType="begin"/>
      </w:r>
      <w:r w:rsidRPr="00096BD8">
        <w:rPr>
          <w:b/>
          <w:bCs/>
          <w:i w:val="0"/>
          <w:iCs w:val="0"/>
          <w:color w:val="auto"/>
          <w:sz w:val="24"/>
          <w:szCs w:val="24"/>
        </w:rPr>
        <w:instrText xml:space="preserve"> SEQ Figure \* ARABIC </w:instrText>
      </w:r>
      <w:r w:rsidRPr="00096BD8">
        <w:rPr>
          <w:b/>
          <w:bCs/>
          <w:i w:val="0"/>
          <w:iCs w:val="0"/>
          <w:color w:val="auto"/>
          <w:sz w:val="24"/>
          <w:szCs w:val="24"/>
        </w:rPr>
        <w:fldChar w:fldCharType="separate"/>
      </w:r>
      <w:r w:rsidR="008248B6" w:rsidRPr="00096BD8">
        <w:rPr>
          <w:b/>
          <w:bCs/>
          <w:i w:val="0"/>
          <w:iCs w:val="0"/>
          <w:noProof/>
          <w:color w:val="auto"/>
          <w:sz w:val="24"/>
          <w:szCs w:val="24"/>
        </w:rPr>
        <w:t>8</w:t>
      </w:r>
      <w:r w:rsidRPr="00096BD8">
        <w:rPr>
          <w:b/>
          <w:bCs/>
          <w:i w:val="0"/>
          <w:iCs w:val="0"/>
          <w:color w:val="auto"/>
          <w:sz w:val="24"/>
          <w:szCs w:val="24"/>
        </w:rPr>
        <w:fldChar w:fldCharType="end"/>
      </w:r>
      <w:r w:rsidR="00201466">
        <w:rPr>
          <w:b/>
          <w:bCs/>
          <w:i w:val="0"/>
          <w:iCs w:val="0"/>
          <w:color w:val="auto"/>
          <w:sz w:val="24"/>
          <w:szCs w:val="24"/>
        </w:rPr>
        <w:t>.</w:t>
      </w:r>
      <w:r w:rsidRPr="00096BD8">
        <w:rPr>
          <w:b/>
          <w:bCs/>
          <w:i w:val="0"/>
          <w:iCs w:val="0"/>
          <w:color w:val="auto"/>
          <w:sz w:val="24"/>
          <w:szCs w:val="24"/>
        </w:rPr>
        <w:t xml:space="preserve"> </w:t>
      </w:r>
      <w:r w:rsidRPr="00096BD8">
        <w:rPr>
          <w:i w:val="0"/>
          <w:iCs w:val="0"/>
          <w:color w:val="auto"/>
          <w:sz w:val="24"/>
          <w:szCs w:val="24"/>
        </w:rPr>
        <w:t xml:space="preserve">Mean δ¹⁵N values in without ants and with </w:t>
      </w:r>
      <w:proofErr w:type="gramStart"/>
      <w:r w:rsidRPr="00096BD8">
        <w:rPr>
          <w:i w:val="0"/>
          <w:iCs w:val="0"/>
          <w:color w:val="auto"/>
          <w:sz w:val="24"/>
          <w:szCs w:val="24"/>
        </w:rPr>
        <w:t>ants</w:t>
      </w:r>
      <w:proofErr w:type="gramEnd"/>
      <w:r w:rsidRPr="00096BD8">
        <w:rPr>
          <w:i w:val="0"/>
          <w:iCs w:val="0"/>
          <w:color w:val="auto"/>
          <w:sz w:val="24"/>
          <w:szCs w:val="24"/>
        </w:rPr>
        <w:t xml:space="preserve"> treatments in </w:t>
      </w:r>
      <w:r w:rsidRPr="00F533D3">
        <w:rPr>
          <w:color w:val="auto"/>
          <w:sz w:val="24"/>
          <w:szCs w:val="24"/>
        </w:rPr>
        <w:t>H</w:t>
      </w:r>
      <w:r w:rsidR="0066107C">
        <w:rPr>
          <w:color w:val="auto"/>
          <w:sz w:val="24"/>
          <w:szCs w:val="24"/>
        </w:rPr>
        <w:t>.</w:t>
      </w:r>
      <w:r w:rsidRPr="00F533D3">
        <w:rPr>
          <w:color w:val="auto"/>
          <w:sz w:val="24"/>
          <w:szCs w:val="24"/>
        </w:rPr>
        <w:t xml:space="preserve"> </w:t>
      </w:r>
      <w:proofErr w:type="spellStart"/>
      <w:r w:rsidRPr="00F533D3">
        <w:rPr>
          <w:color w:val="auto"/>
          <w:sz w:val="24"/>
          <w:szCs w:val="24"/>
        </w:rPr>
        <w:t>moseleyanum</w:t>
      </w:r>
      <w:proofErr w:type="spellEnd"/>
      <w:r w:rsidRPr="00096BD8">
        <w:rPr>
          <w:i w:val="0"/>
          <w:iCs w:val="0"/>
          <w:color w:val="auto"/>
          <w:sz w:val="24"/>
          <w:szCs w:val="24"/>
        </w:rPr>
        <w:t>, shown by tissue type, with error bars representing ± SEM.</w:t>
      </w:r>
      <w:bookmarkEnd w:id="54"/>
    </w:p>
    <w:p w14:paraId="3252BA31" w14:textId="772E8026" w:rsidR="001867AC" w:rsidRDefault="001867AC" w:rsidP="00A357DC"/>
    <w:p w14:paraId="6808F131" w14:textId="082E59B6" w:rsidR="00A357DC" w:rsidRDefault="003D7E0A" w:rsidP="00A357DC">
      <w:r>
        <w:rPr>
          <w:noProof/>
          <w:color w:val="000000"/>
        </w:rPr>
        <w:lastRenderedPageBreak/>
        <w:drawing>
          <wp:anchor distT="0" distB="0" distL="114300" distR="114300" simplePos="0" relativeHeight="251671558" behindDoc="0" locked="0" layoutInCell="1" allowOverlap="1" wp14:anchorId="53D52385" wp14:editId="3DD9E2A4">
            <wp:simplePos x="0" y="0"/>
            <wp:positionH relativeFrom="margin">
              <wp:align>center</wp:align>
            </wp:positionH>
            <wp:positionV relativeFrom="paragraph">
              <wp:posOffset>-5080</wp:posOffset>
            </wp:positionV>
            <wp:extent cx="4276725" cy="5553075"/>
            <wp:effectExtent l="0" t="0" r="9525" b="9525"/>
            <wp:wrapNone/>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extLst>
                        <a:ext uri="{28A0092B-C50C-407E-A947-70E740481C1C}">
                          <a14:useLocalDpi xmlns:a14="http://schemas.microsoft.com/office/drawing/2010/main" val="0"/>
                        </a:ext>
                      </a:extLst>
                    </a:blip>
                    <a:srcRect/>
                    <a:stretch>
                      <a:fillRect/>
                    </a:stretch>
                  </pic:blipFill>
                  <pic:spPr>
                    <a:xfrm>
                      <a:off x="0" y="0"/>
                      <a:ext cx="4276725" cy="5553075"/>
                    </a:xfrm>
                    <a:prstGeom prst="rect">
                      <a:avLst/>
                    </a:prstGeom>
                    <a:ln/>
                  </pic:spPr>
                </pic:pic>
              </a:graphicData>
            </a:graphic>
          </wp:anchor>
        </w:drawing>
      </w:r>
    </w:p>
    <w:p w14:paraId="0DD23048" w14:textId="30C142FE" w:rsidR="00A357DC" w:rsidRDefault="00A357DC" w:rsidP="00A357DC"/>
    <w:p w14:paraId="46B8F144" w14:textId="7616386F" w:rsidR="00A357DC" w:rsidRDefault="00A357DC" w:rsidP="00A357DC"/>
    <w:p w14:paraId="3CD1102C" w14:textId="77777777" w:rsidR="00A357DC" w:rsidRDefault="00A357DC" w:rsidP="00A357DC"/>
    <w:p w14:paraId="59CD71CB" w14:textId="313CE51D" w:rsidR="00A357DC" w:rsidRDefault="00A357DC" w:rsidP="00A357DC"/>
    <w:p w14:paraId="74C3175A" w14:textId="77777777" w:rsidR="003D7E0A" w:rsidRDefault="003D7E0A" w:rsidP="00A357DC"/>
    <w:p w14:paraId="6572038A" w14:textId="77777777" w:rsidR="00A357DC" w:rsidRDefault="00A357DC" w:rsidP="00A357DC"/>
    <w:p w14:paraId="032225BB" w14:textId="3C40D3AF" w:rsidR="00A357DC" w:rsidRDefault="00A357DC" w:rsidP="00A357DC"/>
    <w:p w14:paraId="4CDF3467" w14:textId="77777777" w:rsidR="00A357DC" w:rsidRDefault="00A357DC" w:rsidP="00A357DC"/>
    <w:p w14:paraId="16C5FAF0" w14:textId="6BC5FAB2" w:rsidR="00A357DC" w:rsidRDefault="00A357DC" w:rsidP="00A357DC"/>
    <w:p w14:paraId="472FEAA0" w14:textId="77777777" w:rsidR="00A357DC" w:rsidRDefault="00A357DC" w:rsidP="00A357DC"/>
    <w:p w14:paraId="4B4D7EFE" w14:textId="6DD25E1A" w:rsidR="00A357DC" w:rsidRDefault="00A357DC" w:rsidP="00A357DC"/>
    <w:p w14:paraId="664C1620" w14:textId="77777777" w:rsidR="00A357DC" w:rsidRDefault="00A357DC" w:rsidP="00A357DC"/>
    <w:p w14:paraId="771D9C9B" w14:textId="77777777" w:rsidR="00A357DC" w:rsidRDefault="00A357DC" w:rsidP="00A357DC"/>
    <w:p w14:paraId="1DD28708" w14:textId="50C731AC" w:rsidR="00A357DC" w:rsidRDefault="00A357DC" w:rsidP="00A357DC"/>
    <w:p w14:paraId="0FAAB522" w14:textId="49A7DAC9" w:rsidR="00A357DC" w:rsidRDefault="00A357DC" w:rsidP="00A357DC"/>
    <w:p w14:paraId="508CBB81" w14:textId="191683F1" w:rsidR="001867AC" w:rsidRPr="00096BD8" w:rsidRDefault="001867AC" w:rsidP="001867AC">
      <w:pPr>
        <w:pStyle w:val="Caption"/>
        <w:rPr>
          <w:rFonts w:eastAsia="Times New Roman" w:cs="Times New Roman"/>
          <w:i w:val="0"/>
          <w:iCs w:val="0"/>
          <w:color w:val="auto"/>
          <w:sz w:val="24"/>
          <w:szCs w:val="24"/>
        </w:rPr>
      </w:pPr>
      <w:bookmarkStart w:id="55" w:name="_Toc235390731"/>
      <w:r w:rsidRPr="00096BD8">
        <w:rPr>
          <w:b/>
          <w:bCs/>
          <w:i w:val="0"/>
          <w:iCs w:val="0"/>
          <w:color w:val="auto"/>
          <w:sz w:val="24"/>
          <w:szCs w:val="24"/>
        </w:rPr>
        <w:t xml:space="preserve">Figure </w:t>
      </w:r>
      <w:r w:rsidRPr="00096BD8">
        <w:rPr>
          <w:b/>
          <w:bCs/>
          <w:i w:val="0"/>
          <w:iCs w:val="0"/>
          <w:color w:val="auto"/>
          <w:sz w:val="24"/>
          <w:szCs w:val="24"/>
        </w:rPr>
        <w:fldChar w:fldCharType="begin"/>
      </w:r>
      <w:r w:rsidRPr="00096BD8">
        <w:rPr>
          <w:b/>
          <w:bCs/>
          <w:i w:val="0"/>
          <w:iCs w:val="0"/>
          <w:color w:val="auto"/>
          <w:sz w:val="24"/>
          <w:szCs w:val="24"/>
        </w:rPr>
        <w:instrText xml:space="preserve"> SEQ Figure \* ARABIC </w:instrText>
      </w:r>
      <w:r w:rsidRPr="00096BD8">
        <w:rPr>
          <w:b/>
          <w:bCs/>
          <w:i w:val="0"/>
          <w:iCs w:val="0"/>
          <w:color w:val="auto"/>
          <w:sz w:val="24"/>
          <w:szCs w:val="24"/>
        </w:rPr>
        <w:fldChar w:fldCharType="separate"/>
      </w:r>
      <w:r w:rsidR="008248B6" w:rsidRPr="00096BD8">
        <w:rPr>
          <w:b/>
          <w:bCs/>
          <w:i w:val="0"/>
          <w:iCs w:val="0"/>
          <w:noProof/>
          <w:color w:val="auto"/>
          <w:sz w:val="24"/>
          <w:szCs w:val="24"/>
        </w:rPr>
        <w:t>9</w:t>
      </w:r>
      <w:r w:rsidRPr="00096BD8">
        <w:rPr>
          <w:b/>
          <w:bCs/>
          <w:i w:val="0"/>
          <w:iCs w:val="0"/>
          <w:color w:val="auto"/>
          <w:sz w:val="24"/>
          <w:szCs w:val="24"/>
        </w:rPr>
        <w:fldChar w:fldCharType="end"/>
      </w:r>
      <w:r w:rsidR="00201466">
        <w:rPr>
          <w:b/>
          <w:bCs/>
          <w:i w:val="0"/>
          <w:iCs w:val="0"/>
          <w:color w:val="auto"/>
          <w:sz w:val="24"/>
          <w:szCs w:val="24"/>
        </w:rPr>
        <w:t>.</w:t>
      </w:r>
      <w:r w:rsidRPr="00096BD8">
        <w:rPr>
          <w:b/>
          <w:bCs/>
          <w:i w:val="0"/>
          <w:iCs w:val="0"/>
          <w:color w:val="auto"/>
          <w:sz w:val="24"/>
          <w:szCs w:val="24"/>
        </w:rPr>
        <w:t xml:space="preserve"> </w:t>
      </w:r>
      <w:r w:rsidRPr="00096BD8">
        <w:rPr>
          <w:i w:val="0"/>
          <w:iCs w:val="0"/>
          <w:color w:val="auto"/>
          <w:sz w:val="24"/>
          <w:szCs w:val="24"/>
        </w:rPr>
        <w:t xml:space="preserve">Mean δ¹⁵N values in without ants and with </w:t>
      </w:r>
      <w:proofErr w:type="gramStart"/>
      <w:r w:rsidRPr="00096BD8">
        <w:rPr>
          <w:i w:val="0"/>
          <w:iCs w:val="0"/>
          <w:color w:val="auto"/>
          <w:sz w:val="24"/>
          <w:szCs w:val="24"/>
        </w:rPr>
        <w:t>ants</w:t>
      </w:r>
      <w:proofErr w:type="gramEnd"/>
      <w:r w:rsidRPr="00096BD8">
        <w:rPr>
          <w:i w:val="0"/>
          <w:iCs w:val="0"/>
          <w:color w:val="auto"/>
          <w:sz w:val="24"/>
          <w:szCs w:val="24"/>
        </w:rPr>
        <w:t xml:space="preserve"> treatments in </w:t>
      </w:r>
      <w:r w:rsidRPr="00EF011E">
        <w:rPr>
          <w:color w:val="auto"/>
          <w:sz w:val="24"/>
          <w:szCs w:val="24"/>
        </w:rPr>
        <w:t>M</w:t>
      </w:r>
      <w:r w:rsidR="0066107C">
        <w:rPr>
          <w:color w:val="auto"/>
          <w:sz w:val="24"/>
          <w:szCs w:val="24"/>
        </w:rPr>
        <w:t>.</w:t>
      </w:r>
      <w:r w:rsidRPr="00EF011E">
        <w:rPr>
          <w:color w:val="auto"/>
          <w:sz w:val="24"/>
          <w:szCs w:val="24"/>
        </w:rPr>
        <w:t xml:space="preserve"> </w:t>
      </w:r>
      <w:proofErr w:type="spellStart"/>
      <w:r w:rsidRPr="00EF011E">
        <w:rPr>
          <w:color w:val="auto"/>
          <w:sz w:val="24"/>
          <w:szCs w:val="24"/>
        </w:rPr>
        <w:t>beccarii</w:t>
      </w:r>
      <w:proofErr w:type="spellEnd"/>
      <w:r w:rsidRPr="00096BD8">
        <w:rPr>
          <w:i w:val="0"/>
          <w:iCs w:val="0"/>
          <w:color w:val="auto"/>
          <w:sz w:val="24"/>
          <w:szCs w:val="24"/>
        </w:rPr>
        <w:t>, shown by tissue type, with error bars representing ± SEM.</w:t>
      </w:r>
      <w:bookmarkEnd w:id="55"/>
    </w:p>
    <w:p w14:paraId="000001A2" w14:textId="77777777" w:rsidR="00E420E3" w:rsidRDefault="008E5528" w:rsidP="00E34A61">
      <w:pPr>
        <w:pStyle w:val="Heading3"/>
      </w:pPr>
      <w:bookmarkStart w:id="56" w:name="_Toc235392996"/>
      <w:r>
        <w:t>3.5 Discussion</w:t>
      </w:r>
      <w:bookmarkEnd w:id="56"/>
      <w:r>
        <w:t xml:space="preserve"> </w:t>
      </w:r>
    </w:p>
    <w:p w14:paraId="000001A3" w14:textId="12CE5F16" w:rsidR="00E420E3" w:rsidRDefault="008E5528" w:rsidP="00E34A61">
      <w:pPr>
        <w:pStyle w:val="Heading4"/>
      </w:pPr>
      <w:bookmarkStart w:id="57" w:name="_Toc235392997"/>
      <w:r>
        <w:t xml:space="preserve">3.5.1 Developing experimental symbioses in the </w:t>
      </w:r>
      <w:proofErr w:type="spellStart"/>
      <w:r>
        <w:t>Hydnophytinae</w:t>
      </w:r>
      <w:bookmarkEnd w:id="57"/>
      <w:proofErr w:type="spellEnd"/>
      <w:r>
        <w:t xml:space="preserve"> </w:t>
      </w:r>
    </w:p>
    <w:p w14:paraId="000001A4" w14:textId="77777777" w:rsidR="00E420E3" w:rsidRPr="00E34A61" w:rsidRDefault="008E5528" w:rsidP="00A357DC">
      <w:r w:rsidRPr="00E34A61">
        <w:t xml:space="preserve">The central hypothesis of this chapter was that nitrogen deposition from ants induces nutritional dependency in ant-plants. The results support this: ghost ant colonisation led to significant δ¹⁵N enrichment in domatium tissues of both </w:t>
      </w:r>
      <w:proofErr w:type="spellStart"/>
      <w:r w:rsidRPr="00E34A61">
        <w:rPr>
          <w:i/>
          <w:iCs/>
        </w:rPr>
        <w:t>Hydnophytum</w:t>
      </w:r>
      <w:proofErr w:type="spellEnd"/>
      <w:r w:rsidRPr="00E34A61">
        <w:rPr>
          <w:i/>
          <w:iCs/>
        </w:rPr>
        <w:t xml:space="preserve"> </w:t>
      </w:r>
      <w:proofErr w:type="spellStart"/>
      <w:r w:rsidRPr="00E34A61">
        <w:rPr>
          <w:i/>
          <w:iCs/>
        </w:rPr>
        <w:t>moseleyanum</w:t>
      </w:r>
      <w:proofErr w:type="spellEnd"/>
      <w:r w:rsidRPr="00E34A61">
        <w:t xml:space="preserve"> (facultative) and </w:t>
      </w:r>
      <w:proofErr w:type="spellStart"/>
      <w:r w:rsidRPr="00E34A61">
        <w:rPr>
          <w:i/>
          <w:iCs/>
        </w:rPr>
        <w:t>Myrmecodia</w:t>
      </w:r>
      <w:proofErr w:type="spellEnd"/>
      <w:r w:rsidRPr="00E34A61">
        <w:rPr>
          <w:i/>
          <w:iCs/>
        </w:rPr>
        <w:t xml:space="preserve"> </w:t>
      </w:r>
      <w:proofErr w:type="spellStart"/>
      <w:r w:rsidRPr="00E34A61">
        <w:rPr>
          <w:i/>
          <w:iCs/>
        </w:rPr>
        <w:t>beccarii</w:t>
      </w:r>
      <w:proofErr w:type="spellEnd"/>
      <w:r w:rsidRPr="00E34A61">
        <w:t xml:space="preserve"> (obligate), with no equivalent enrichment in leaves or without </w:t>
      </w:r>
      <w:proofErr w:type="gramStart"/>
      <w:r w:rsidRPr="00E34A61">
        <w:t>ants</w:t>
      </w:r>
      <w:proofErr w:type="gramEnd"/>
      <w:r w:rsidRPr="00E34A61">
        <w:t xml:space="preserve"> controls. However, two caveats apply: first, the experimental ant partner (ghost ants) is non-native; second, sample sizes were small (N = 3 per treatment). The discussion below addresses both points.</w:t>
      </w:r>
    </w:p>
    <w:p w14:paraId="000001A5" w14:textId="77777777" w:rsidR="00E420E3" w:rsidRDefault="008E5528" w:rsidP="004D4AFB">
      <w:pPr>
        <w:pStyle w:val="Heading4"/>
      </w:pPr>
      <w:bookmarkStart w:id="58" w:name="_Toc235392998"/>
      <w:r>
        <w:lastRenderedPageBreak/>
        <w:t xml:space="preserve">3.5.1 Developing experimental symbioses in the </w:t>
      </w:r>
      <w:proofErr w:type="spellStart"/>
      <w:r>
        <w:t>Hydnophytinae</w:t>
      </w:r>
      <w:bookmarkEnd w:id="58"/>
      <w:proofErr w:type="spellEnd"/>
    </w:p>
    <w:p w14:paraId="46CB5C21" w14:textId="77777777" w:rsidR="004D4AFB" w:rsidRDefault="008E5528" w:rsidP="00A357DC">
      <w:r>
        <w:t xml:space="preserve">My experiments show that two </w:t>
      </w:r>
      <w:proofErr w:type="spellStart"/>
      <w:r>
        <w:t>Hydnophytinae</w:t>
      </w:r>
      <w:proofErr w:type="spellEnd"/>
      <w:r>
        <w:t xml:space="preserve"> ant-plants: the facultative </w:t>
      </w:r>
      <w:proofErr w:type="spellStart"/>
      <w:r>
        <w:rPr>
          <w:i/>
          <w:iCs/>
        </w:rPr>
        <w:t>Hydnophytum</w:t>
      </w:r>
      <w:proofErr w:type="spellEnd"/>
      <w:r>
        <w:rPr>
          <w:i/>
          <w:iCs/>
        </w:rPr>
        <w:t xml:space="preserve"> </w:t>
      </w:r>
      <w:proofErr w:type="spellStart"/>
      <w:r>
        <w:rPr>
          <w:i/>
          <w:iCs/>
        </w:rPr>
        <w:t>moseleyanum</w:t>
      </w:r>
      <w:proofErr w:type="spellEnd"/>
      <w:r>
        <w:t xml:space="preserve">, which form facultative relationships with arboreal ants (Maeyama and Matsumoto, 2000) and </w:t>
      </w:r>
      <w:proofErr w:type="spellStart"/>
      <w:r>
        <w:rPr>
          <w:i/>
          <w:iCs/>
        </w:rPr>
        <w:t>Myrmecodia</w:t>
      </w:r>
      <w:proofErr w:type="spellEnd"/>
      <w:r>
        <w:rPr>
          <w:i/>
          <w:iCs/>
        </w:rPr>
        <w:t xml:space="preserve"> </w:t>
      </w:r>
      <w:proofErr w:type="spellStart"/>
      <w:r>
        <w:rPr>
          <w:i/>
          <w:iCs/>
        </w:rPr>
        <w:t>beccarii</w:t>
      </w:r>
      <w:proofErr w:type="spellEnd"/>
      <w:r>
        <w:t xml:space="preserve"> which forms an obligate symbiosis with the Dolichoderinae ant </w:t>
      </w:r>
      <w:proofErr w:type="spellStart"/>
      <w:r>
        <w:rPr>
          <w:i/>
          <w:iCs/>
        </w:rPr>
        <w:t>Philidris</w:t>
      </w:r>
      <w:proofErr w:type="spellEnd"/>
      <w:r>
        <w:rPr>
          <w:i/>
          <w:iCs/>
        </w:rPr>
        <w:t xml:space="preserve"> cordata</w:t>
      </w:r>
      <w:r>
        <w:t xml:space="preserve"> (Huxley, 1978; Chomicki and Renner, 2017; Greenfield, 2022), can be reproducibly colonised by ghost ants (</w:t>
      </w:r>
      <w:r>
        <w:rPr>
          <w:i/>
          <w:iCs/>
        </w:rPr>
        <w:t xml:space="preserve">Tapinoma </w:t>
      </w:r>
      <w:proofErr w:type="spellStart"/>
      <w:r>
        <w:rPr>
          <w:i/>
          <w:iCs/>
        </w:rPr>
        <w:t>melanocephalum</w:t>
      </w:r>
      <w:proofErr w:type="spellEnd"/>
      <w:r>
        <w:t xml:space="preserve">) and form nutritional mutualisms in greenhouse conditions. To our knowledge, this is the first reconstitution of plant/ant domatium symbioses under controlled greenhouse conditions outside the tropics. </w:t>
      </w:r>
    </w:p>
    <w:p w14:paraId="000001A6" w14:textId="316690BC" w:rsidR="00E420E3" w:rsidRPr="004D4AFB" w:rsidRDefault="008E5528" w:rsidP="00A357DC">
      <w:r w:rsidRPr="004D4AFB">
        <w:t xml:space="preserve">The ease with which </w:t>
      </w:r>
      <w:r w:rsidRPr="004D4AFB">
        <w:rPr>
          <w:i/>
          <w:iCs/>
        </w:rPr>
        <w:t xml:space="preserve">M. </w:t>
      </w:r>
      <w:proofErr w:type="spellStart"/>
      <w:r w:rsidRPr="004D4AFB">
        <w:rPr>
          <w:i/>
          <w:iCs/>
        </w:rPr>
        <w:t>beccarii</w:t>
      </w:r>
      <w:proofErr w:type="spellEnd"/>
      <w:r w:rsidRPr="004D4AFB">
        <w:t xml:space="preserve"> was colonised by ghost ants might appear to contradict its classification as obligate. However, obligate here refers to the plant's dependence on ant-derived nutrients for healthy growth and reproduction in nature, not to a physical inability to be colonised by other ants. Indeed, </w:t>
      </w:r>
      <w:r w:rsidRPr="004D4AFB">
        <w:rPr>
          <w:i/>
          <w:iCs/>
        </w:rPr>
        <w:t xml:space="preserve">M. </w:t>
      </w:r>
      <w:proofErr w:type="spellStart"/>
      <w:r w:rsidRPr="004D4AFB">
        <w:rPr>
          <w:i/>
          <w:iCs/>
        </w:rPr>
        <w:t>beccarii</w:t>
      </w:r>
      <w:proofErr w:type="spellEnd"/>
      <w:r w:rsidRPr="004D4AFB">
        <w:t xml:space="preserve"> can be colonised by non-native ants both in the field (Volp and Lach, 2019) and in greenhouse conditions (this study), yet in the absence of any ant partner it shows reduced growth and fitness (Chomicki and Renner, 2017). The term obligate therefore describes ecological dependency on ant partners as a functional class, not exclusivity to a single ant species.</w:t>
      </w:r>
    </w:p>
    <w:p w14:paraId="144BC9BE" w14:textId="05C9D437" w:rsidR="00F20776" w:rsidRDefault="008E5528" w:rsidP="00A357DC">
      <w:r w:rsidRPr="00F20776">
        <w:t xml:space="preserve">The establishment of these experimental </w:t>
      </w:r>
      <w:r w:rsidR="009F23E6">
        <w:t>ant-plant</w:t>
      </w:r>
      <w:r w:rsidRPr="00F20776">
        <w:t xml:space="preserve"> symbioses contrasts starkly with the existing literature: unlike all classic </w:t>
      </w:r>
      <w:r w:rsidR="009F23E6">
        <w:t>ant-plant</w:t>
      </w:r>
      <w:r w:rsidRPr="00F20776">
        <w:t xml:space="preserve"> systems, which have been studied exclusively under field conditions, my study creates these symbioses under controlled greenhouse conditions. Previous </w:t>
      </w:r>
      <w:r>
        <w:t xml:space="preserve">work has covered both terrestrial and epiphytic systems. Terrestrial examples include the </w:t>
      </w:r>
      <w:r>
        <w:rPr>
          <w:i/>
          <w:iCs/>
        </w:rPr>
        <w:t>Acacia</w:t>
      </w:r>
      <w:r>
        <w:t xml:space="preserve"> plant and </w:t>
      </w:r>
      <w:proofErr w:type="spellStart"/>
      <w:r>
        <w:rPr>
          <w:i/>
          <w:iCs/>
        </w:rPr>
        <w:t>Pseudomyrmex</w:t>
      </w:r>
      <w:proofErr w:type="spellEnd"/>
      <w:r>
        <w:t xml:space="preserve"> ant symbiosis (Heil et al., 2009), the </w:t>
      </w:r>
      <w:r>
        <w:rPr>
          <w:i/>
          <w:iCs/>
        </w:rPr>
        <w:t>Vachellia</w:t>
      </w:r>
      <w:r>
        <w:t xml:space="preserve"> plant and </w:t>
      </w:r>
      <w:proofErr w:type="spellStart"/>
      <w:r>
        <w:rPr>
          <w:i/>
          <w:iCs/>
        </w:rPr>
        <w:t>Crematogaster</w:t>
      </w:r>
      <w:proofErr w:type="spellEnd"/>
      <w:r>
        <w:t xml:space="preserve"> ant symbiosis (Palmer et al., 2008), the </w:t>
      </w:r>
      <w:r>
        <w:rPr>
          <w:i/>
          <w:iCs/>
        </w:rPr>
        <w:t>Macaranga</w:t>
      </w:r>
      <w:r>
        <w:t xml:space="preserve"> plant and </w:t>
      </w:r>
      <w:proofErr w:type="spellStart"/>
      <w:r>
        <w:rPr>
          <w:i/>
          <w:iCs/>
        </w:rPr>
        <w:t>Crematogaster</w:t>
      </w:r>
      <w:proofErr w:type="spellEnd"/>
      <w:r>
        <w:t xml:space="preserve"> ant symbiosis (Quek et al., 2004), and the </w:t>
      </w:r>
      <w:r>
        <w:rPr>
          <w:i/>
          <w:iCs/>
        </w:rPr>
        <w:t>Piper</w:t>
      </w:r>
      <w:r>
        <w:t xml:space="preserve"> plant and </w:t>
      </w:r>
      <w:r>
        <w:rPr>
          <w:i/>
          <w:iCs/>
        </w:rPr>
        <w:t>Pheidole</w:t>
      </w:r>
      <w:r>
        <w:t xml:space="preserve"> ant symbiosis (Fischer et al., 2003). Epiphytic systems include the </w:t>
      </w:r>
      <w:proofErr w:type="spellStart"/>
      <w:r>
        <w:rPr>
          <w:i/>
          <w:iCs/>
        </w:rPr>
        <w:t>Dischidia</w:t>
      </w:r>
      <w:proofErr w:type="spellEnd"/>
      <w:r>
        <w:t xml:space="preserve"> plant and </w:t>
      </w:r>
      <w:proofErr w:type="spellStart"/>
      <w:r>
        <w:rPr>
          <w:i/>
          <w:iCs/>
        </w:rPr>
        <w:t>Philidris</w:t>
      </w:r>
      <w:proofErr w:type="spellEnd"/>
      <w:r>
        <w:t xml:space="preserve"> ant symbiosis (Treseder et al., 1995), the </w:t>
      </w:r>
      <w:proofErr w:type="spellStart"/>
      <w:r>
        <w:rPr>
          <w:i/>
          <w:iCs/>
        </w:rPr>
        <w:t>Caularthron</w:t>
      </w:r>
      <w:proofErr w:type="spellEnd"/>
      <w:r>
        <w:t xml:space="preserve"> orchid and </w:t>
      </w:r>
      <w:r w:rsidRPr="00F20776">
        <w:rPr>
          <w:i/>
          <w:iCs/>
        </w:rPr>
        <w:t>Azteca</w:t>
      </w:r>
      <w:r>
        <w:t xml:space="preserve"> ant symbiosis (</w:t>
      </w:r>
      <w:proofErr w:type="spellStart"/>
      <w:r>
        <w:t>Gegenbauer</w:t>
      </w:r>
      <w:proofErr w:type="spellEnd"/>
      <w:r>
        <w:t xml:space="preserve"> et al., 2012), and </w:t>
      </w:r>
      <w:proofErr w:type="spellStart"/>
      <w:r>
        <w:t>Hydnophytinae</w:t>
      </w:r>
      <w:proofErr w:type="spellEnd"/>
      <w:r>
        <w:t xml:space="preserve"> ant-plants (Chomicki and Renner, 2016b; Chomicki and Renner, 2019; Chomicki et al., 2020), all of which have been characterised exclusively under natural field conditions. Establishing these experimental </w:t>
      </w:r>
      <w:r w:rsidR="009F23E6">
        <w:t>ant-plant</w:t>
      </w:r>
      <w:r>
        <w:t xml:space="preserve"> symbioses offers two key advances. </w:t>
      </w:r>
    </w:p>
    <w:p w14:paraId="000001A7" w14:textId="697A4F94" w:rsidR="00E420E3" w:rsidRDefault="008E5528" w:rsidP="00A357DC">
      <w:pPr>
        <w:rPr>
          <w:b/>
          <w:bCs/>
          <w:color w:val="00B050"/>
        </w:rPr>
      </w:pPr>
      <w:r>
        <w:t xml:space="preserve">First, it means key variables such as partner identity, ant presence/absence, or nutrient levels can be manipulated while holding all environmental variables (both abiotic: e.g. climate and biotic: e.g. herbivory) constant, something that is logistically difficult in natural settings in the </w:t>
      </w:r>
      <w:r>
        <w:lastRenderedPageBreak/>
        <w:t>tropics. Second, this experimental approach allows us to perform analyses on experimental plants that are highly sensitive, such as RNA sequencing; this would be extremely challenging to conduct in the field in the tropics as RNA is very unstable and requires access to a laboratory.</w:t>
      </w:r>
    </w:p>
    <w:p w14:paraId="3B71EC58" w14:textId="77777777" w:rsidR="00656E30" w:rsidRDefault="008E5528" w:rsidP="00A357DC">
      <w:r w:rsidRPr="00F20776">
        <w:t>Our findings that ghost ants</w:t>
      </w:r>
      <w:r w:rsidR="00F20776">
        <w:t>,</w:t>
      </w:r>
      <w:r w:rsidRPr="00F20776">
        <w:t xml:space="preserve"> a non-native, generalist species</w:t>
      </w:r>
      <w:r w:rsidR="00F20776">
        <w:t>,</w:t>
      </w:r>
      <w:r w:rsidRPr="00F20776">
        <w:t xml:space="preserve"> can successfully colonise </w:t>
      </w:r>
      <w:r w:rsidRPr="00F20776">
        <w:rPr>
          <w:i/>
          <w:iCs/>
        </w:rPr>
        <w:t xml:space="preserve">M. </w:t>
      </w:r>
      <w:proofErr w:type="spellStart"/>
      <w:r w:rsidRPr="00F20776">
        <w:rPr>
          <w:i/>
          <w:iCs/>
        </w:rPr>
        <w:t>beccarii</w:t>
      </w:r>
      <w:proofErr w:type="spellEnd"/>
      <w:r w:rsidRPr="00F20776">
        <w:t xml:space="preserve"> and form nutritional mutualisms with it</w:t>
      </w:r>
      <w:r w:rsidR="00F20776">
        <w:t>,</w:t>
      </w:r>
      <w:r w:rsidRPr="00F20776">
        <w:t xml:space="preserve"> suggests that the domatium itself is not physically restricted to </w:t>
      </w:r>
      <w:proofErr w:type="spellStart"/>
      <w:r w:rsidRPr="00F20776">
        <w:rPr>
          <w:i/>
          <w:iCs/>
        </w:rPr>
        <w:t>Philidris</w:t>
      </w:r>
      <w:proofErr w:type="spellEnd"/>
      <w:r w:rsidRPr="00F20776">
        <w:rPr>
          <w:i/>
          <w:iCs/>
        </w:rPr>
        <w:t xml:space="preserve"> cordata</w:t>
      </w:r>
      <w:r w:rsidRPr="00F20776">
        <w:t xml:space="preserve">. This points toward the second explanation: that the obligate dependency may be driven by a specific benefit that </w:t>
      </w:r>
      <w:r w:rsidRPr="00F20776">
        <w:rPr>
          <w:i/>
          <w:iCs/>
        </w:rPr>
        <w:t xml:space="preserve">M. </w:t>
      </w:r>
      <w:proofErr w:type="spellStart"/>
      <w:r w:rsidRPr="00F20776">
        <w:rPr>
          <w:i/>
          <w:iCs/>
        </w:rPr>
        <w:t>beccarii</w:t>
      </w:r>
      <w:proofErr w:type="spellEnd"/>
      <w:r w:rsidRPr="00F20776">
        <w:t xml:space="preserve"> provides to </w:t>
      </w:r>
      <w:proofErr w:type="spellStart"/>
      <w:r w:rsidRPr="00F20776">
        <w:rPr>
          <w:i/>
          <w:iCs/>
        </w:rPr>
        <w:t>Philidris</w:t>
      </w:r>
      <w:proofErr w:type="spellEnd"/>
      <w:r w:rsidRPr="00F20776">
        <w:rPr>
          <w:i/>
          <w:iCs/>
        </w:rPr>
        <w:t xml:space="preserve"> cordata</w:t>
      </w:r>
      <w:r w:rsidRPr="00F20776">
        <w:t xml:space="preserve">, rather than by competitive exclusion. The establishment of experimental </w:t>
      </w:r>
      <w:proofErr w:type="spellStart"/>
      <w:r w:rsidRPr="00F20776">
        <w:t>Hydnophytinae</w:t>
      </w:r>
      <w:proofErr w:type="spellEnd"/>
      <w:r w:rsidRPr="00F20776">
        <w:t xml:space="preserve">/ant symbioses therefore provides a novel platform to test these competing hypotheses directly, for instance by comparing colony fitness of </w:t>
      </w:r>
      <w:proofErr w:type="spellStart"/>
      <w:r w:rsidRPr="00F20776">
        <w:rPr>
          <w:i/>
          <w:iCs/>
        </w:rPr>
        <w:t>Philidris</w:t>
      </w:r>
      <w:proofErr w:type="spellEnd"/>
      <w:r w:rsidRPr="00F20776">
        <w:rPr>
          <w:i/>
          <w:iCs/>
        </w:rPr>
        <w:t xml:space="preserve"> cordata</w:t>
      </w:r>
      <w:r w:rsidRPr="00F20776">
        <w:t xml:space="preserve"> versus ghost ants when inhabiting </w:t>
      </w:r>
      <w:r w:rsidRPr="00F20776">
        <w:rPr>
          <w:i/>
          <w:iCs/>
        </w:rPr>
        <w:t xml:space="preserve">M. </w:t>
      </w:r>
      <w:proofErr w:type="spellStart"/>
      <w:r w:rsidRPr="00F20776">
        <w:rPr>
          <w:i/>
          <w:iCs/>
        </w:rPr>
        <w:t>beccarii</w:t>
      </w:r>
      <w:proofErr w:type="spellEnd"/>
      <w:r w:rsidRPr="00F20776">
        <w:t xml:space="preserve"> under controlled conditions. </w:t>
      </w:r>
    </w:p>
    <w:p w14:paraId="0BCF96CA" w14:textId="77777777" w:rsidR="008A17D7" w:rsidRDefault="008E5528" w:rsidP="00A357DC">
      <w:r w:rsidRPr="00F20776">
        <w:t>The squid/Vibrio system refers to the symbiosis between the Hawaiian bobtail squid (</w:t>
      </w:r>
      <w:proofErr w:type="spellStart"/>
      <w:r w:rsidRPr="00FC7CA4">
        <w:rPr>
          <w:i/>
          <w:iCs/>
        </w:rPr>
        <w:t>Euprymna</w:t>
      </w:r>
      <w:proofErr w:type="spellEnd"/>
      <w:r w:rsidRPr="00FC7CA4">
        <w:rPr>
          <w:i/>
          <w:iCs/>
        </w:rPr>
        <w:t xml:space="preserve"> </w:t>
      </w:r>
      <w:proofErr w:type="spellStart"/>
      <w:r w:rsidRPr="00FC7CA4">
        <w:rPr>
          <w:i/>
          <w:iCs/>
        </w:rPr>
        <w:t>scolopes</w:t>
      </w:r>
      <w:proofErr w:type="spellEnd"/>
      <w:r w:rsidRPr="00F20776">
        <w:t xml:space="preserve">) and the bioluminescent bacterium </w:t>
      </w:r>
      <w:r w:rsidRPr="001D1550">
        <w:rPr>
          <w:i/>
          <w:iCs/>
        </w:rPr>
        <w:t>Vibrio fischeri</w:t>
      </w:r>
      <w:r w:rsidRPr="00F20776">
        <w:t xml:space="preserve">, a classic model organism in symbiosis research. Add a brief clarifying phrase on first mention: 'the squid/Vibrio system (a model symbiosis between the Hawaiian bobtail squid, </w:t>
      </w:r>
      <w:proofErr w:type="spellStart"/>
      <w:r w:rsidRPr="00FC7CA4">
        <w:rPr>
          <w:i/>
          <w:iCs/>
        </w:rPr>
        <w:t>Euprymna</w:t>
      </w:r>
      <w:proofErr w:type="spellEnd"/>
      <w:r w:rsidRPr="00FC7CA4">
        <w:rPr>
          <w:i/>
          <w:iCs/>
        </w:rPr>
        <w:t xml:space="preserve"> </w:t>
      </w:r>
      <w:proofErr w:type="spellStart"/>
      <w:r w:rsidRPr="00FC7CA4">
        <w:rPr>
          <w:i/>
          <w:iCs/>
        </w:rPr>
        <w:t>scolopes</w:t>
      </w:r>
      <w:proofErr w:type="spellEnd"/>
      <w:r w:rsidRPr="00F20776">
        <w:t xml:space="preserve">, and the luminescent bacterium </w:t>
      </w:r>
      <w:r w:rsidRPr="001D1550">
        <w:rPr>
          <w:i/>
          <w:iCs/>
        </w:rPr>
        <w:t>Vibrio fischeri</w:t>
      </w:r>
      <w:r w:rsidRPr="00F20776">
        <w:t xml:space="preserve">) allows single-strain colonisation, removal, and re-introduction to dissect partner choice and host remodelling (Nyholm and McFall-Ngai, 2004; Mandel, 2016; </w:t>
      </w:r>
      <w:proofErr w:type="spellStart"/>
      <w:r w:rsidRPr="00F20776">
        <w:t>Essock</w:t>
      </w:r>
      <w:proofErr w:type="spellEnd"/>
      <w:r w:rsidRPr="00F20776">
        <w:t xml:space="preserve">-Burns et al., 2020), </w:t>
      </w:r>
      <w:r>
        <w:t xml:space="preserve">similarly the </w:t>
      </w:r>
      <w:r>
        <w:rPr>
          <w:i/>
          <w:iCs/>
        </w:rPr>
        <w:t>Aiptasia</w:t>
      </w:r>
      <w:r>
        <w:t>–</w:t>
      </w:r>
      <w:proofErr w:type="spellStart"/>
      <w:r>
        <w:t>Symbiodiniaceae</w:t>
      </w:r>
      <w:proofErr w:type="spellEnd"/>
      <w:r>
        <w:t xml:space="preserve"> model enables </w:t>
      </w:r>
      <w:proofErr w:type="spellStart"/>
      <w:r>
        <w:t>aposymbiotic</w:t>
      </w:r>
      <w:proofErr w:type="spellEnd"/>
      <w:r>
        <w:t xml:space="preserve">/symbiotic contrasts and controlled bleaching or thermal stress (Weis, 2008; Oakley et al., 2016). Likewise, the aquatic symbioses </w:t>
      </w:r>
      <w:r>
        <w:rPr>
          <w:i/>
          <w:iCs/>
        </w:rPr>
        <w:t>Hydra</w:t>
      </w:r>
      <w:r>
        <w:t>/</w:t>
      </w:r>
      <w:r>
        <w:rPr>
          <w:i/>
          <w:iCs/>
        </w:rPr>
        <w:t>Chlorella</w:t>
      </w:r>
      <w:r>
        <w:t xml:space="preserve"> and </w:t>
      </w:r>
      <w:r>
        <w:rPr>
          <w:i/>
          <w:iCs/>
        </w:rPr>
        <w:t xml:space="preserve">Paramecium </w:t>
      </w:r>
      <w:proofErr w:type="spellStart"/>
      <w:r>
        <w:rPr>
          <w:i/>
          <w:iCs/>
        </w:rPr>
        <w:t>bursaria</w:t>
      </w:r>
      <w:proofErr w:type="spellEnd"/>
      <w:r>
        <w:t>/</w:t>
      </w:r>
      <w:r>
        <w:rPr>
          <w:i/>
          <w:iCs/>
        </w:rPr>
        <w:t>Chlorella</w:t>
      </w:r>
      <w:r>
        <w:t xml:space="preserve"> permit de-symbiosis and re-infection to test specificity, metabolism and gene regulation (Hamada et al., 2018; Summerer et al., 2007; Kodama et al., 2014). </w:t>
      </w:r>
    </w:p>
    <w:p w14:paraId="15921559" w14:textId="51B44533" w:rsidR="00F20776" w:rsidRDefault="008E5528" w:rsidP="00A357DC">
      <w:r>
        <w:t>Many plant-microbe symbioses are routinely reconstituted in laboratory settings for over two decades, such as legume-rhizobia N-fixing symbioses (e.g. Kiers et al., 2003), and arbuscular mycorrhizae (e.g. Kiers et al., 2011), enabling causal tests of partner quality and sanctions and sophisticated dissections of the recognition (e.g. Frank et al., 2023) and nutrient trade dynamics (</w:t>
      </w:r>
      <w:proofErr w:type="spellStart"/>
      <w:r>
        <w:t>Oyarte</w:t>
      </w:r>
      <w:proofErr w:type="spellEnd"/>
      <w:r>
        <w:t xml:space="preserve"> Galvez et al., 2025). </w:t>
      </w:r>
    </w:p>
    <w:p w14:paraId="000001A8" w14:textId="0E05F4EE" w:rsidR="00E420E3" w:rsidRDefault="008E5528" w:rsidP="00A357DC">
      <w:r>
        <w:t xml:space="preserve">The overwhelming majority of symbioses established in laboratory involve microbes as symbionts – reconstructing symbioses with 'macro' symbionts, such as insects has been more difficult, since it is hard to both acquire and establish the condition required for these interactions, </w:t>
      </w:r>
      <w:proofErr w:type="gramStart"/>
      <w:r>
        <w:t>in particular when</w:t>
      </w:r>
      <w:proofErr w:type="gramEnd"/>
      <w:r>
        <w:t xml:space="preserve"> they occur in remote tropical areas. Our reconstituted </w:t>
      </w:r>
      <w:proofErr w:type="spellStart"/>
      <w:r>
        <w:lastRenderedPageBreak/>
        <w:t>Hydnophytinae</w:t>
      </w:r>
      <w:proofErr w:type="spellEnd"/>
      <w:r>
        <w:t xml:space="preserve"> symbioses now bring domatium nutritional physiology to that same experimental space, but for a macro-scale plant/animal nutritional mutualism.</w:t>
      </w:r>
    </w:p>
    <w:p w14:paraId="000001A9" w14:textId="77777777" w:rsidR="00E420E3" w:rsidRDefault="008E5528" w:rsidP="00F20776">
      <w:pPr>
        <w:pStyle w:val="Heading4"/>
      </w:pPr>
      <w:bookmarkStart w:id="59" w:name="_Toc235392999"/>
      <w:r>
        <w:t xml:space="preserve">3.5.2 Experimental nutrition between </w:t>
      </w:r>
      <w:proofErr w:type="spellStart"/>
      <w:r>
        <w:t>Hydnophytinae</w:t>
      </w:r>
      <w:proofErr w:type="spellEnd"/>
      <w:r>
        <w:t xml:space="preserve"> and ghost ants recapitulate natural interactions</w:t>
      </w:r>
      <w:bookmarkEnd w:id="59"/>
    </w:p>
    <w:p w14:paraId="443363FE" w14:textId="77777777" w:rsidR="00F20776" w:rsidRDefault="008E5528" w:rsidP="00A357DC">
      <w:r>
        <w:t>A key distinction of our experimentally established symbioses is that they involve a non-native ant partner, ghost ants (</w:t>
      </w:r>
      <w:r>
        <w:rPr>
          <w:i/>
          <w:iCs/>
        </w:rPr>
        <w:t xml:space="preserve">Tapinoma </w:t>
      </w:r>
      <w:proofErr w:type="spellStart"/>
      <w:r>
        <w:rPr>
          <w:i/>
          <w:iCs/>
        </w:rPr>
        <w:t>melanocephalum</w:t>
      </w:r>
      <w:proofErr w:type="spellEnd"/>
      <w:r>
        <w:t xml:space="preserve">). </w:t>
      </w:r>
      <w:r w:rsidRPr="00F20776">
        <w:t>A legitimate question is therefore whether this non-native partner provides comparable nutritional interactions to the natural ant partners. This study does not directly test ghost ants against native ant partners side-by-side; rather, the comparison below is made indirectly, by comparing the δ¹⁵N enrichment patterns observed here with those previously reported in the field for native ant partners (Chomicki et al., 2019).</w:t>
      </w:r>
    </w:p>
    <w:p w14:paraId="7D43F49B" w14:textId="77777777" w:rsidR="00A706C1" w:rsidRDefault="008E5528" w:rsidP="00A357DC">
      <w:r w:rsidRPr="00F20776">
        <w:t xml:space="preserve">The </w:t>
      </w:r>
      <w:r>
        <w:t xml:space="preserve">expectations could in fact be quite different: </w:t>
      </w:r>
      <w:r>
        <w:rPr>
          <w:i/>
          <w:iCs/>
        </w:rPr>
        <w:t>H</w:t>
      </w:r>
      <w:r w:rsidR="00F20776">
        <w:rPr>
          <w:i/>
          <w:iCs/>
        </w:rPr>
        <w:t>.</w:t>
      </w:r>
      <w:r>
        <w:rPr>
          <w:i/>
          <w:iCs/>
        </w:rPr>
        <w:t xml:space="preserve"> </w:t>
      </w:r>
      <w:proofErr w:type="spellStart"/>
      <w:r>
        <w:rPr>
          <w:i/>
          <w:iCs/>
        </w:rPr>
        <w:t>moseleyanum</w:t>
      </w:r>
      <w:proofErr w:type="spellEnd"/>
      <w:r>
        <w:t xml:space="preserve">, form facultative symbioses with a wide range of arboreal ants and the nutritional benefits arise from byproducts of nesting (Maeyama and Matsumoto, 2000; Chomicki and Renner, 2017) – thus one could expect that that symbiosis with a non-native partner could reproduce natural interactions. This was less clear in </w:t>
      </w:r>
      <w:r>
        <w:rPr>
          <w:i/>
          <w:iCs/>
        </w:rPr>
        <w:t>M</w:t>
      </w:r>
      <w:r w:rsidR="00F20776">
        <w:rPr>
          <w:i/>
          <w:iCs/>
        </w:rPr>
        <w:t xml:space="preserve">. </w:t>
      </w:r>
      <w:proofErr w:type="spellStart"/>
      <w:r>
        <w:rPr>
          <w:i/>
          <w:iCs/>
        </w:rPr>
        <w:t>beccarii</w:t>
      </w:r>
      <w:proofErr w:type="spellEnd"/>
      <w:r>
        <w:t xml:space="preserve"> for two reasons. First, because it forms a highly specialised, obligate symbiosis with the single ant species </w:t>
      </w:r>
      <w:proofErr w:type="spellStart"/>
      <w:r>
        <w:rPr>
          <w:i/>
          <w:iCs/>
        </w:rPr>
        <w:t>Philidris</w:t>
      </w:r>
      <w:proofErr w:type="spellEnd"/>
      <w:r>
        <w:rPr>
          <w:i/>
          <w:iCs/>
        </w:rPr>
        <w:t xml:space="preserve"> cordata</w:t>
      </w:r>
      <w:r>
        <w:t xml:space="preserve"> (Huxley, 1978; Chomicki and Renner, 2017; Greenfield, 2022). Second, contrary to </w:t>
      </w:r>
      <w:r>
        <w:rPr>
          <w:i/>
          <w:iCs/>
        </w:rPr>
        <w:t xml:space="preserve">H. </w:t>
      </w:r>
      <w:proofErr w:type="spellStart"/>
      <w:r>
        <w:rPr>
          <w:i/>
          <w:iCs/>
        </w:rPr>
        <w:t>moseleyanum</w:t>
      </w:r>
      <w:proofErr w:type="spellEnd"/>
      <w:r>
        <w:t xml:space="preserve">, </w:t>
      </w:r>
      <w:proofErr w:type="spellStart"/>
      <w:r>
        <w:rPr>
          <w:i/>
          <w:iCs/>
        </w:rPr>
        <w:t>Myrmecodia</w:t>
      </w:r>
      <w:proofErr w:type="spellEnd"/>
      <w:r>
        <w:t xml:space="preserve"> inner domatium surfaces are highly differentiated in warty and smooth surfaces. </w:t>
      </w:r>
      <w:proofErr w:type="spellStart"/>
      <w:r>
        <w:rPr>
          <w:i/>
          <w:iCs/>
        </w:rPr>
        <w:t>Myrmecodia</w:t>
      </w:r>
      <w:proofErr w:type="spellEnd"/>
      <w:r>
        <w:t xml:space="preserve"> inner domatium warts have been studied since the 19</w:t>
      </w:r>
      <w:r>
        <w:rPr>
          <w:vertAlign w:val="superscript"/>
        </w:rPr>
        <w:t>th</w:t>
      </w:r>
      <w:r>
        <w:t xml:space="preserve"> century and were thought to function in aeration (</w:t>
      </w:r>
      <w:proofErr w:type="spellStart"/>
      <w:r>
        <w:t>Treub</w:t>
      </w:r>
      <w:proofErr w:type="spellEnd"/>
      <w:r>
        <w:t xml:space="preserve">, 1888) or nutrient uptake (Beccari, 1884). An early study by (Miehe, 1911) revealed that warty walls in </w:t>
      </w:r>
      <w:proofErr w:type="spellStart"/>
      <w:r>
        <w:rPr>
          <w:i/>
          <w:iCs/>
        </w:rPr>
        <w:t>Myrmecodia</w:t>
      </w:r>
      <w:proofErr w:type="spellEnd"/>
      <w:r>
        <w:t xml:space="preserve"> can absorb water and solutes in warty tissue while smooth walls cannot. Subsequent work revealed that warts are hyper-absorptive and are the sites of targeted fertilisation by </w:t>
      </w:r>
      <w:proofErr w:type="spellStart"/>
      <w:r>
        <w:rPr>
          <w:i/>
          <w:iCs/>
        </w:rPr>
        <w:t>Philidris</w:t>
      </w:r>
      <w:proofErr w:type="spellEnd"/>
      <w:r>
        <w:t xml:space="preserve"> ants which actively and exclusively defecate on these areas, and place detritus there (Huxley, 1978; Chomicki and Renner, 2019). </w:t>
      </w:r>
    </w:p>
    <w:p w14:paraId="000001AA" w14:textId="47936985" w:rsidR="00E420E3" w:rsidRPr="00A706C1" w:rsidRDefault="008E5528" w:rsidP="00A357DC">
      <w:r w:rsidRPr="00A706C1">
        <w:t xml:space="preserve">The term 'targeted defecation' is used here to describe this specific behaviour, whereby ants selectively deposit waste in warty chambers while using smooth chambers exclusively for brood rearing, never defecating there. This behaviour is considered targeted because it is non-random: </w:t>
      </w:r>
      <w:proofErr w:type="spellStart"/>
      <w:r w:rsidRPr="00A706C1">
        <w:rPr>
          <w:i/>
          <w:iCs/>
        </w:rPr>
        <w:t>Philidris</w:t>
      </w:r>
      <w:proofErr w:type="spellEnd"/>
      <w:r w:rsidRPr="00A706C1">
        <w:t xml:space="preserve"> ants consistently choose warty surfaces as defecation sites across individuals and populations, suggesting active discrimination between chamber types rather than indiscriminate waste deposition throughout the domatium (Huxley, 1978; Chomicki and Renner, 2019). In this study, we use δ¹⁵N enrichment patterns across warty and smooth tissues as a proxy to assess whether ghost ants exhibit the same targeted behaviour, or whether a </w:t>
      </w:r>
      <w:r w:rsidRPr="00A706C1">
        <w:lastRenderedPageBreak/>
        <w:t>functionally equivalent outcome arises through differential nutrient absorption by the two surface types.</w:t>
      </w:r>
    </w:p>
    <w:p w14:paraId="47AD50FD" w14:textId="77777777" w:rsidR="00BA3BF6" w:rsidRDefault="008E5528" w:rsidP="00A357DC">
      <w:r w:rsidRPr="00A706C1">
        <w:t xml:space="preserve">One might expect that if ants simply defecate wherever they spend most time, defecation in warty chambers would occur by default in any ant colonising the domatium. However, the critical observation is not merely defecation in warty areas, but the exclusive targeting of warty cavities for defecation, with smooth cavities used only for brood rearing and never fertilised (Huxley, 1978; Chomicki and Renner, 2019). This behavioural partitioning, selectively depositing waste in warty but not smooth chambers is what requires explanation. </w:t>
      </w:r>
    </w:p>
    <w:p w14:paraId="000001AB" w14:textId="19720EC5" w:rsidR="00E420E3" w:rsidRPr="00A706C1" w:rsidRDefault="008E5528" w:rsidP="00A357DC">
      <w:r w:rsidRPr="00A706C1">
        <w:t xml:space="preserve">We initially hypothesised that this targeted behaviour might depend on shared evolutionary history with </w:t>
      </w:r>
      <w:proofErr w:type="spellStart"/>
      <w:r w:rsidRPr="00A706C1">
        <w:t>Hydnophytinae</w:t>
      </w:r>
      <w:proofErr w:type="spellEnd"/>
      <w:r w:rsidRPr="00A706C1">
        <w:t xml:space="preserve">, as the chemical or structural cues guiding defecation site selection could be co-adapted signals between plant and native ant partner. The lack of ¹⁵N enrichment in leaves of both </w:t>
      </w:r>
      <w:r w:rsidRPr="00A706C1">
        <w:rPr>
          <w:i/>
          <w:iCs/>
        </w:rPr>
        <w:t xml:space="preserve">H. </w:t>
      </w:r>
      <w:proofErr w:type="spellStart"/>
      <w:r w:rsidRPr="00A706C1">
        <w:rPr>
          <w:i/>
          <w:iCs/>
        </w:rPr>
        <w:t>moseleyanum</w:t>
      </w:r>
      <w:proofErr w:type="spellEnd"/>
      <w:r w:rsidRPr="00A706C1">
        <w:t xml:space="preserve"> and </w:t>
      </w:r>
      <w:r w:rsidRPr="00A706C1">
        <w:rPr>
          <w:i/>
          <w:iCs/>
        </w:rPr>
        <w:t xml:space="preserve">M. </w:t>
      </w:r>
      <w:proofErr w:type="spellStart"/>
      <w:r w:rsidRPr="00A706C1">
        <w:rPr>
          <w:i/>
          <w:iCs/>
        </w:rPr>
        <w:t>beccarii</w:t>
      </w:r>
      <w:proofErr w:type="spellEnd"/>
      <w:r w:rsidRPr="00A706C1">
        <w:t xml:space="preserve"> likely reflects the short, 7-day timeline of the feeding experiment, which was designed to capture the initial location and extent of ¹⁵N deposition through ant defecation across domatium tissues, before substantial onward transport could occur. A longer feeding and growth period would likely have led to greater homogenisation of ¹⁵N across the plant via vascular transport, including detectable enrichment in leaves, particularly any leaves produced after the start of ¹⁵N feeding (i.e. new growth), since these would be expected to incorporate a higher proportion of recently absorbed nitrogen than mature, pre-existing leaves.</w:t>
      </w:r>
    </w:p>
    <w:p w14:paraId="1573DAB4" w14:textId="77777777" w:rsidR="00CF5C76" w:rsidRDefault="008E5528" w:rsidP="00A357DC">
      <w:r>
        <w:t>The feeding experiments with our new experimental symbioses revealed that (</w:t>
      </w:r>
      <w:proofErr w:type="spellStart"/>
      <w:r>
        <w:t>i</w:t>
      </w:r>
      <w:proofErr w:type="spellEnd"/>
      <w:r>
        <w:t xml:space="preserve">) δ¹⁵N enrichment of smooth and warty walls is very similar in </w:t>
      </w:r>
      <w:r>
        <w:rPr>
          <w:i/>
          <w:iCs/>
        </w:rPr>
        <w:t xml:space="preserve">H. </w:t>
      </w:r>
      <w:proofErr w:type="spellStart"/>
      <w:r>
        <w:rPr>
          <w:i/>
          <w:iCs/>
        </w:rPr>
        <w:t>moseleyanum</w:t>
      </w:r>
      <w:proofErr w:type="spellEnd"/>
      <w:r>
        <w:t xml:space="preserve">, and (ii) δ¹⁵N enrichment is low in smooth walls and high in warty walls in </w:t>
      </w:r>
      <w:r>
        <w:rPr>
          <w:i/>
          <w:iCs/>
        </w:rPr>
        <w:t xml:space="preserve">M. </w:t>
      </w:r>
      <w:proofErr w:type="spellStart"/>
      <w:r>
        <w:rPr>
          <w:i/>
          <w:iCs/>
        </w:rPr>
        <w:t>beccarii</w:t>
      </w:r>
      <w:proofErr w:type="spellEnd"/>
      <w:r>
        <w:t xml:space="preserve"> (Figs. 4, 5). These results directly recapitulate natural nutritional interactions involving natural ant partners in facultative </w:t>
      </w:r>
      <w:proofErr w:type="spellStart"/>
      <w:r>
        <w:t>Hydnophytinae</w:t>
      </w:r>
      <w:proofErr w:type="spellEnd"/>
      <w:r>
        <w:t xml:space="preserve"> forming symbioses with generalist ants and obligate ones forming symbioses with </w:t>
      </w:r>
      <w:proofErr w:type="spellStart"/>
      <w:r>
        <w:rPr>
          <w:i/>
          <w:iCs/>
        </w:rPr>
        <w:t>Philidris</w:t>
      </w:r>
      <w:proofErr w:type="spellEnd"/>
      <w:r>
        <w:t xml:space="preserve"> ants (Chomicki et al., 2019). This recapitulation demonstrates that the experimental ghost ant symbiosis functions like native ant partners in nature, validating this system as a robust model for testing the role of mutualistic dependence. </w:t>
      </w:r>
    </w:p>
    <w:p w14:paraId="63216FA5" w14:textId="77777777" w:rsidR="00CF5C76" w:rsidRDefault="008E5528" w:rsidP="00A357DC">
      <w:r>
        <w:t xml:space="preserve">This finding is significant for three reasons. </w:t>
      </w:r>
      <w:r w:rsidRPr="00CF5C76">
        <w:t>First, it demonstrates that the experimental ghost ant symbioses can be used reliably as a model system, since they reproduce the nitrogen deposition patterns observed with native ant partners in the field. Second</w:t>
      </w:r>
      <w:r>
        <w:t xml:space="preserve">, it allows to more directly compare </w:t>
      </w:r>
      <w:proofErr w:type="spellStart"/>
      <w:r>
        <w:t>Hydnophytinae</w:t>
      </w:r>
      <w:proofErr w:type="spellEnd"/>
      <w:r>
        <w:t xml:space="preserve"> with different levels of mutualistic dependence (Chomicki et al., 2020), without ant species-specific traits as confounding factors. Third, it suggests that the </w:t>
      </w:r>
      <w:r>
        <w:lastRenderedPageBreak/>
        <w:t xml:space="preserve">targeted fertilisation on warty walls but never on smooth walls in highly specialised </w:t>
      </w:r>
      <w:proofErr w:type="spellStart"/>
      <w:r>
        <w:t>Hydnophytinae</w:t>
      </w:r>
      <w:proofErr w:type="spellEnd"/>
      <w:r>
        <w:t xml:space="preserve"> (Huxley, 1978; Chomicki and Renner, 2019) does not involve coevolved traits with </w:t>
      </w:r>
      <w:proofErr w:type="spellStart"/>
      <w:r>
        <w:rPr>
          <w:i/>
          <w:iCs/>
        </w:rPr>
        <w:t>Philidris</w:t>
      </w:r>
      <w:proofErr w:type="spellEnd"/>
      <w:r>
        <w:t xml:space="preserve"> ants. </w:t>
      </w:r>
    </w:p>
    <w:p w14:paraId="637CB9CE" w14:textId="0FF1C396" w:rsidR="00CF5C76" w:rsidRDefault="008E5528" w:rsidP="00A357DC">
      <w:r w:rsidRPr="00CF5C76">
        <w:t xml:space="preserve">The δ¹⁵N enrichment data show that warty tissues are significantly more enriched than smooth tissues in </w:t>
      </w:r>
      <w:r w:rsidRPr="00CF5C76">
        <w:rPr>
          <w:i/>
          <w:iCs/>
        </w:rPr>
        <w:t xml:space="preserve">M. </w:t>
      </w:r>
      <w:proofErr w:type="spellStart"/>
      <w:r w:rsidRPr="00CF5C76">
        <w:rPr>
          <w:i/>
          <w:iCs/>
        </w:rPr>
        <w:t>beccarii</w:t>
      </w:r>
      <w:proofErr w:type="spellEnd"/>
      <w:r w:rsidRPr="00CF5C76">
        <w:t xml:space="preserve"> (Fig. </w:t>
      </w:r>
      <w:r w:rsidR="00DA0846">
        <w:t>9</w:t>
      </w:r>
      <w:r w:rsidRPr="00CF5C76">
        <w:t xml:space="preserve">), mirroring patterns seen with </w:t>
      </w:r>
      <w:proofErr w:type="spellStart"/>
      <w:r w:rsidRPr="00CF5C76">
        <w:rPr>
          <w:i/>
          <w:iCs/>
        </w:rPr>
        <w:t>Philidris</w:t>
      </w:r>
      <w:proofErr w:type="spellEnd"/>
      <w:r w:rsidRPr="00CF5C76">
        <w:rPr>
          <w:i/>
          <w:iCs/>
        </w:rPr>
        <w:t xml:space="preserve"> cordata</w:t>
      </w:r>
      <w:r w:rsidRPr="00CF5C76">
        <w:t xml:space="preserve"> in nature (Chomicki et al., 2019). Two interpretations are possible: (</w:t>
      </w:r>
      <w:proofErr w:type="spellStart"/>
      <w:r w:rsidRPr="00CF5C76">
        <w:t>i</w:t>
      </w:r>
      <w:proofErr w:type="spellEnd"/>
      <w:r w:rsidRPr="00CF5C76">
        <w:t xml:space="preserve">) ghost ants actively and exclusively defecate in warty chambers, as </w:t>
      </w:r>
      <w:proofErr w:type="spellStart"/>
      <w:r w:rsidRPr="00CF5C76">
        <w:t>Philidris</w:t>
      </w:r>
      <w:proofErr w:type="spellEnd"/>
      <w:r w:rsidRPr="00CF5C76">
        <w:t xml:space="preserve"> does; or (ii) ghost ants defecate throughout the domatium, but nutrients are selectively absorbed only from warty surfaces due to their higher absorption capacity. Our isotope data alone cannot distinguish between these scenarios. Future direct observation of ghost ant defecation behaviour, combined with surface permeability assays, would be needed to resolve this. Regardless of the mechanism, the functional outcome preferential nitrogen delivery to warty tissues is the same, and recapitulates the pattern seen in natural symbioses. </w:t>
      </w:r>
    </w:p>
    <w:p w14:paraId="000001AC" w14:textId="14C4F877" w:rsidR="00E420E3" w:rsidRDefault="008E5528" w:rsidP="00A357DC">
      <w:r w:rsidRPr="00CF5C76">
        <w:t xml:space="preserve">It is </w:t>
      </w:r>
      <w:r>
        <w:t xml:space="preserve">worth mentioning that ghost ants belong to the same ant subfamily of ants as their native specialised partners (Dolichoderinae), hence it is plausible that ghost ants share behavioural adaptations with </w:t>
      </w:r>
      <w:proofErr w:type="spellStart"/>
      <w:r>
        <w:rPr>
          <w:i/>
          <w:iCs/>
        </w:rPr>
        <w:t>Philidris</w:t>
      </w:r>
      <w:proofErr w:type="spellEnd"/>
      <w:r>
        <w:t xml:space="preserve"> ants.</w:t>
      </w:r>
    </w:p>
    <w:p w14:paraId="000001AD" w14:textId="77777777" w:rsidR="00E420E3" w:rsidRDefault="008E5528" w:rsidP="00B23228">
      <w:pPr>
        <w:pStyle w:val="Heading4"/>
      </w:pPr>
      <w:bookmarkStart w:id="60" w:name="_Toc235393000"/>
      <w:r>
        <w:t>3.5.3 Invasive ants forming mutualisms with specialised plants</w:t>
      </w:r>
      <w:bookmarkEnd w:id="60"/>
    </w:p>
    <w:p w14:paraId="2DD7B8B1" w14:textId="77777777" w:rsidR="00B23228" w:rsidRDefault="008E5528" w:rsidP="00A357DC">
      <w:r>
        <w:t>Our greenhouse experiments show that non-native ghost ants (</w:t>
      </w:r>
      <w:r>
        <w:rPr>
          <w:i/>
          <w:iCs/>
        </w:rPr>
        <w:t xml:space="preserve">Tapinoma </w:t>
      </w:r>
      <w:proofErr w:type="spellStart"/>
      <w:r>
        <w:rPr>
          <w:i/>
          <w:iCs/>
        </w:rPr>
        <w:t>melanocephalum</w:t>
      </w:r>
      <w:proofErr w:type="spellEnd"/>
      <w:r>
        <w:t xml:space="preserve">) readily colonise domatia of </w:t>
      </w:r>
      <w:r>
        <w:rPr>
          <w:i/>
          <w:iCs/>
        </w:rPr>
        <w:t>M</w:t>
      </w:r>
      <w:r w:rsidR="00B23228">
        <w:rPr>
          <w:i/>
          <w:iCs/>
        </w:rPr>
        <w:t>.</w:t>
      </w:r>
      <w:r>
        <w:rPr>
          <w:i/>
          <w:iCs/>
        </w:rPr>
        <w:t xml:space="preserve"> </w:t>
      </w:r>
      <w:proofErr w:type="spellStart"/>
      <w:r>
        <w:rPr>
          <w:i/>
          <w:iCs/>
        </w:rPr>
        <w:t>beccarii</w:t>
      </w:r>
      <w:proofErr w:type="spellEnd"/>
      <w:r>
        <w:t xml:space="preserve"> and </w:t>
      </w:r>
      <w:r>
        <w:rPr>
          <w:i/>
          <w:iCs/>
        </w:rPr>
        <w:t>H</w:t>
      </w:r>
      <w:r w:rsidR="00B23228">
        <w:rPr>
          <w:i/>
          <w:iCs/>
        </w:rPr>
        <w:t>.</w:t>
      </w:r>
      <w:r>
        <w:rPr>
          <w:i/>
          <w:iCs/>
        </w:rPr>
        <w:t xml:space="preserve"> </w:t>
      </w:r>
      <w:proofErr w:type="spellStart"/>
      <w:r>
        <w:rPr>
          <w:i/>
          <w:iCs/>
        </w:rPr>
        <w:t>moseleyanum</w:t>
      </w:r>
      <w:proofErr w:type="spellEnd"/>
      <w:r>
        <w:t xml:space="preserve"> and form successful nutritional mutualisms with them. These results demonstrate that even an obligate ant plant (</w:t>
      </w:r>
      <w:proofErr w:type="spellStart"/>
      <w:r>
        <w:rPr>
          <w:i/>
          <w:iCs/>
        </w:rPr>
        <w:t>Myrmecodia</w:t>
      </w:r>
      <w:proofErr w:type="spellEnd"/>
      <w:r>
        <w:rPr>
          <w:i/>
          <w:iCs/>
        </w:rPr>
        <w:t xml:space="preserve"> </w:t>
      </w:r>
      <w:proofErr w:type="spellStart"/>
      <w:r>
        <w:rPr>
          <w:i/>
          <w:iCs/>
        </w:rPr>
        <w:t>beccarii</w:t>
      </w:r>
      <w:proofErr w:type="spellEnd"/>
      <w:r>
        <w:t xml:space="preserve">) can obtain nutritional benefits from a non-native, generalist ant under controlled conditions. This echoes field evidence that both native </w:t>
      </w:r>
      <w:proofErr w:type="spellStart"/>
      <w:r>
        <w:rPr>
          <w:i/>
          <w:iCs/>
        </w:rPr>
        <w:t>Philidris</w:t>
      </w:r>
      <w:proofErr w:type="spellEnd"/>
      <w:r>
        <w:rPr>
          <w:i/>
          <w:iCs/>
        </w:rPr>
        <w:t xml:space="preserve"> cordata</w:t>
      </w:r>
      <w:r>
        <w:t xml:space="preserve"> and invasive </w:t>
      </w:r>
      <w:r>
        <w:rPr>
          <w:i/>
          <w:iCs/>
        </w:rPr>
        <w:t>Pheidole megacephala</w:t>
      </w:r>
      <w:r>
        <w:t xml:space="preserve"> can provide nitrogen to </w:t>
      </w:r>
      <w:r>
        <w:rPr>
          <w:i/>
          <w:iCs/>
        </w:rPr>
        <w:t xml:space="preserve">M. </w:t>
      </w:r>
      <w:proofErr w:type="spellStart"/>
      <w:r>
        <w:rPr>
          <w:i/>
          <w:iCs/>
        </w:rPr>
        <w:t>beccarii</w:t>
      </w:r>
      <w:proofErr w:type="spellEnd"/>
      <w:r>
        <w:t xml:space="preserve"> (Volp and Lach, 2019; Volp et al., 2022). </w:t>
      </w:r>
    </w:p>
    <w:p w14:paraId="58FA38B5" w14:textId="456A4776" w:rsidR="00B23228" w:rsidRDefault="008E5528" w:rsidP="00A357DC">
      <w:r>
        <w:t xml:space="preserve">Across </w:t>
      </w:r>
      <w:r w:rsidR="009F23E6">
        <w:t>ant-plant</w:t>
      </w:r>
      <w:r>
        <w:t xml:space="preserve"> symbioses, partner quality varies widely in defence and likely nutritional provisioning, and invaders frequently alter outcomes by displacing higher-quality natives (Lach, 2003; Bruna et al., 2004; Frederickson, 2005; Gaume et al., 2005). Scholars of mutualism distinguish "cheaters", that are derived from mutualistic ancestors from "exploiters", which are ecologically similar but evolved de novo without any prior interaction with the partner (Bronstein, 2001). Theory predicts that impacts of invaders depend on the "tightness" of specialisation and the invader's competitive dominance at the host (Ness and Bronstein, 2004). </w:t>
      </w:r>
    </w:p>
    <w:p w14:paraId="000001AE" w14:textId="48EB54B1" w:rsidR="00E420E3" w:rsidRDefault="008E5528" w:rsidP="00A357DC">
      <w:r>
        <w:lastRenderedPageBreak/>
        <w:t xml:space="preserve">Yet, our findings, and those studying </w:t>
      </w:r>
      <w:r>
        <w:rPr>
          <w:i/>
          <w:iCs/>
        </w:rPr>
        <w:t>M</w:t>
      </w:r>
      <w:r w:rsidR="00B23228">
        <w:rPr>
          <w:i/>
          <w:iCs/>
        </w:rPr>
        <w:t>.</w:t>
      </w:r>
      <w:r>
        <w:rPr>
          <w:i/>
          <w:iCs/>
        </w:rPr>
        <w:t xml:space="preserve"> </w:t>
      </w:r>
      <w:proofErr w:type="spellStart"/>
      <w:r>
        <w:rPr>
          <w:i/>
          <w:iCs/>
        </w:rPr>
        <w:t>beccarii</w:t>
      </w:r>
      <w:proofErr w:type="spellEnd"/>
      <w:r>
        <w:t xml:space="preserve"> symbiosis with ants in the field (Volp and Lach, 2019; Volp et al., 2022) suggests that both invasive ant species (</w:t>
      </w:r>
      <w:r>
        <w:rPr>
          <w:i/>
          <w:iCs/>
        </w:rPr>
        <w:t xml:space="preserve">Tapinoma </w:t>
      </w:r>
      <w:proofErr w:type="spellStart"/>
      <w:r>
        <w:rPr>
          <w:i/>
          <w:iCs/>
        </w:rPr>
        <w:t>melanocephalum</w:t>
      </w:r>
      <w:proofErr w:type="spellEnd"/>
      <w:r>
        <w:t xml:space="preserve">, Dolichoderinae and </w:t>
      </w:r>
      <w:r>
        <w:rPr>
          <w:i/>
          <w:iCs/>
        </w:rPr>
        <w:t>Pheidole megacephala</w:t>
      </w:r>
      <w:r>
        <w:t xml:space="preserve">, Myrmicinae) can be potent mutualists. While long-term data comparing native and invasive partners is lacking, these data </w:t>
      </w:r>
      <w:proofErr w:type="gramStart"/>
      <w:r>
        <w:t>suggests</w:t>
      </w:r>
      <w:proofErr w:type="gramEnd"/>
      <w:r>
        <w:t xml:space="preserve"> that some invasive species can successfully establish mutualism with even specialised species, displacing their native partners, and in turn further increasing their colonisation success.</w:t>
      </w:r>
    </w:p>
    <w:p w14:paraId="000001AF" w14:textId="77777777" w:rsidR="00E420E3" w:rsidRDefault="008E5528" w:rsidP="00B23228">
      <w:pPr>
        <w:pStyle w:val="Heading4"/>
      </w:pPr>
      <w:bookmarkStart w:id="61" w:name="_Toc235393001"/>
      <w:r>
        <w:t>3.5.4 Tuber function in nitrogen retention</w:t>
      </w:r>
      <w:bookmarkEnd w:id="61"/>
    </w:p>
    <w:p w14:paraId="66935D33" w14:textId="77777777" w:rsidR="00B45EFE" w:rsidRDefault="008E5528" w:rsidP="00A357DC">
      <w:r w:rsidRPr="00B23228">
        <w:t xml:space="preserve">Our greenhouse experiments show that ¹⁵N-labelled nitrogen delivered by ants accumulated preferentially in the tuber tissue of the domatium, suggesting the tuber acts as a nitrogen storage organ. </w:t>
      </w:r>
      <w:r>
        <w:t xml:space="preserve">Our greenhouse experiments suggest that the </w:t>
      </w:r>
      <w:proofErr w:type="spellStart"/>
      <w:r>
        <w:t>Hydnophytinae</w:t>
      </w:r>
      <w:proofErr w:type="spellEnd"/>
      <w:r>
        <w:t xml:space="preserve"> tuber acts as a short- to medium-term nitrogen reservoir from which N could later be remobilised to support new shoots or reproductive growth. Comparable storage-and-remobilisation roles of underground storage organs are well documented in other plants: potato tubers store and later export N (Millard, 1986; </w:t>
      </w:r>
      <w:proofErr w:type="spellStart"/>
      <w:r>
        <w:t>Shewry</w:t>
      </w:r>
      <w:proofErr w:type="spellEnd"/>
      <w:r>
        <w:t xml:space="preserve">, 2003), early work on potato already showed radial heterogeneity in N content, with higher N toward the medullary zone, consistent with storage functions (Glynne and Jackson, 1919). </w:t>
      </w:r>
    </w:p>
    <w:p w14:paraId="000001B0" w14:textId="720FE364" w:rsidR="00E420E3" w:rsidRDefault="008E5528" w:rsidP="00A357DC">
      <w:r>
        <w:t xml:space="preserve">Experimental manipulations of the form of nitrogen can alter tuber N metabolism, fresh weight, and biochemical composition in </w:t>
      </w:r>
      <w:proofErr w:type="spellStart"/>
      <w:r>
        <w:rPr>
          <w:i/>
          <w:iCs/>
        </w:rPr>
        <w:t>Pinellia</w:t>
      </w:r>
      <w:proofErr w:type="spellEnd"/>
      <w:r>
        <w:rPr>
          <w:i/>
          <w:iCs/>
        </w:rPr>
        <w:t xml:space="preserve"> </w:t>
      </w:r>
      <w:proofErr w:type="spellStart"/>
      <w:r>
        <w:rPr>
          <w:i/>
          <w:iCs/>
        </w:rPr>
        <w:t>pedatisecta</w:t>
      </w:r>
      <w:proofErr w:type="spellEnd"/>
      <w:r>
        <w:t xml:space="preserve"> and </w:t>
      </w:r>
      <w:proofErr w:type="spellStart"/>
      <w:r>
        <w:t>yacon</w:t>
      </w:r>
      <w:proofErr w:type="spellEnd"/>
      <w:r>
        <w:t xml:space="preserve"> tubers (Wang et al., 2014; Kamp et al., 2019). More generally, plant developmental responses depend on both the quantity and form of N supplied (e.g. ammonium versus nitrate) (Williams and Miller, 2001). Thus, our results, together with existing knowledge on plant tubers, suggest that the domatium tubers are a central hub of nitrogen storage. More work is needed to show if and how ant-derived nitrogen can be retained in the tuber and mobilised for vegetative and reproductive development.</w:t>
      </w:r>
    </w:p>
    <w:p w14:paraId="000001B1" w14:textId="77777777" w:rsidR="00E420E3" w:rsidRDefault="008E5528" w:rsidP="00B45EFE">
      <w:pPr>
        <w:pStyle w:val="Heading3"/>
      </w:pPr>
      <w:bookmarkStart w:id="62" w:name="_Toc235393002"/>
      <w:r>
        <w:t>3.6 Conclusion</w:t>
      </w:r>
      <w:bookmarkEnd w:id="62"/>
    </w:p>
    <w:p w14:paraId="000001B2" w14:textId="6E68AB9F" w:rsidR="00E420E3" w:rsidRDefault="008E5528" w:rsidP="00A357DC">
      <w:r>
        <w:t xml:space="preserve">This chapter establishes new experimental symbioses between two </w:t>
      </w:r>
      <w:proofErr w:type="spellStart"/>
      <w:r>
        <w:t>Hydnophytinae</w:t>
      </w:r>
      <w:proofErr w:type="spellEnd"/>
      <w:r>
        <w:t xml:space="preserve"> species, the facultative and generalist </w:t>
      </w:r>
      <w:proofErr w:type="spellStart"/>
      <w:r>
        <w:rPr>
          <w:i/>
          <w:iCs/>
        </w:rPr>
        <w:t>Hydnophytum</w:t>
      </w:r>
      <w:proofErr w:type="spellEnd"/>
      <w:r>
        <w:rPr>
          <w:i/>
          <w:iCs/>
        </w:rPr>
        <w:t xml:space="preserve"> </w:t>
      </w:r>
      <w:proofErr w:type="spellStart"/>
      <w:r>
        <w:rPr>
          <w:i/>
          <w:iCs/>
        </w:rPr>
        <w:t>moseleyanum</w:t>
      </w:r>
      <w:proofErr w:type="spellEnd"/>
      <w:r>
        <w:t xml:space="preserve"> and the obligate specialist </w:t>
      </w:r>
      <w:proofErr w:type="spellStart"/>
      <w:r>
        <w:rPr>
          <w:i/>
          <w:iCs/>
        </w:rPr>
        <w:t>Myrmecodia</w:t>
      </w:r>
      <w:proofErr w:type="spellEnd"/>
      <w:r>
        <w:rPr>
          <w:i/>
          <w:iCs/>
        </w:rPr>
        <w:t xml:space="preserve"> </w:t>
      </w:r>
      <w:proofErr w:type="spellStart"/>
      <w:r>
        <w:rPr>
          <w:i/>
          <w:iCs/>
        </w:rPr>
        <w:t>beccarii</w:t>
      </w:r>
      <w:proofErr w:type="spellEnd"/>
      <w:r>
        <w:t xml:space="preserve">. These symbioses successfully form nutritional mutualisms that recapitulates natural interactions with native ant partners and thus provides new key resources to study </w:t>
      </w:r>
      <w:r w:rsidR="009F23E6">
        <w:t>ant-plant</w:t>
      </w:r>
      <w:r>
        <w:t xml:space="preserve"> mutualisms. These experimental symbioses allow us to compare the physiological responses of plants with a distinct level of mutualistic dependence on ants, while keeping all climatic </w:t>
      </w:r>
      <w:r>
        <w:lastRenderedPageBreak/>
        <w:t xml:space="preserve">variables and having the same ant partners. An important finding is that the domatium inner wall structure in </w:t>
      </w:r>
      <w:proofErr w:type="spellStart"/>
      <w:r>
        <w:rPr>
          <w:i/>
          <w:iCs/>
        </w:rPr>
        <w:t>Myrmecodia</w:t>
      </w:r>
      <w:proofErr w:type="spellEnd"/>
      <w:r>
        <w:t xml:space="preserve"> is mirrored by distinct ant behaviour (targeted fertilisation by defecation exclusively on warty walls), as found in natural conditions. This was previously thought to derive from coevolution with </w:t>
      </w:r>
      <w:proofErr w:type="spellStart"/>
      <w:r>
        <w:rPr>
          <w:i/>
          <w:iCs/>
        </w:rPr>
        <w:t>Philidris</w:t>
      </w:r>
      <w:proofErr w:type="spellEnd"/>
      <w:r>
        <w:t xml:space="preserve"> ants (Chomicki and Renner, 2019), and hence this finding opens-up new avenue to study the nutritional physiology of ant plants. This chapter forms the basis of experimental work later used in Chapter 4.</w:t>
      </w:r>
    </w:p>
    <w:p w14:paraId="15734C51" w14:textId="6470E7CD" w:rsidR="004441D4" w:rsidRDefault="008E5528" w:rsidP="004441D4">
      <w:r w:rsidRPr="00B45EFE">
        <w:t>A key caveat of this study is that the experimental symbioses used ghost ants (</w:t>
      </w:r>
      <w:r w:rsidRPr="00B45EFE">
        <w:rPr>
          <w:i/>
          <w:iCs/>
        </w:rPr>
        <w:t xml:space="preserve">Tapinoma </w:t>
      </w:r>
      <w:proofErr w:type="spellStart"/>
      <w:r w:rsidRPr="00B45EFE">
        <w:rPr>
          <w:i/>
          <w:iCs/>
        </w:rPr>
        <w:t>melanocephalum</w:t>
      </w:r>
      <w:proofErr w:type="spellEnd"/>
      <w:r w:rsidRPr="00B45EFE">
        <w:t xml:space="preserve">), a non-native, invasive species, rather than the plants' natural ant partners. This raises the possibility that the nitrogen deposition patterns observed may not perfectly replicate those of native partners. However, we argue that the conclusions remain robust for three reasons. First, the δ¹⁵N enrichment patterns in both species closely mirror those reported from natural field conditions (Chomicki et al., 2019), suggesting that the functional outcome of ghost ant colonisation is ecologically equivalent. Second, ghost ants belong to the same subfamily (Dolichoderinae) as the specialist partner </w:t>
      </w:r>
      <w:proofErr w:type="spellStart"/>
      <w:r w:rsidRPr="00B45EFE">
        <w:rPr>
          <w:i/>
          <w:iCs/>
        </w:rPr>
        <w:t>Philidris</w:t>
      </w:r>
      <w:proofErr w:type="spellEnd"/>
      <w:r w:rsidRPr="00B45EFE">
        <w:rPr>
          <w:i/>
          <w:iCs/>
        </w:rPr>
        <w:t xml:space="preserve"> cordata</w:t>
      </w:r>
      <w:r w:rsidRPr="00B45EFE">
        <w:t xml:space="preserve">, making shared behavioural traits plausible. Third, the facultative species </w:t>
      </w:r>
      <w:r w:rsidRPr="00B45EFE">
        <w:rPr>
          <w:i/>
          <w:iCs/>
        </w:rPr>
        <w:t xml:space="preserve">H. </w:t>
      </w:r>
      <w:proofErr w:type="spellStart"/>
      <w:r w:rsidRPr="00B45EFE">
        <w:rPr>
          <w:i/>
          <w:iCs/>
        </w:rPr>
        <w:t>moseleyanum</w:t>
      </w:r>
      <w:proofErr w:type="spellEnd"/>
      <w:r w:rsidRPr="00B45EFE">
        <w:t xml:space="preserve"> associates with a wide range of arboreal ants in nature, so a non-native partner is not unreasonable for this species. Together, these points support the use of ghost ant symbioses as a valid experimental model, while acknowledging that quantitative comparisons with natural partners in the field remain an important direction for future work.</w:t>
      </w:r>
    </w:p>
    <w:p w14:paraId="04F99302" w14:textId="77777777" w:rsidR="004441D4" w:rsidRDefault="004441D4" w:rsidP="004441D4"/>
    <w:p w14:paraId="360C27C0" w14:textId="77777777" w:rsidR="004441D4" w:rsidRDefault="004441D4" w:rsidP="004441D4"/>
    <w:p w14:paraId="25ADF180" w14:textId="77777777" w:rsidR="004441D4" w:rsidRDefault="004441D4" w:rsidP="004441D4"/>
    <w:p w14:paraId="179075CD" w14:textId="77777777" w:rsidR="005C7825" w:rsidRDefault="005C7825" w:rsidP="004441D4"/>
    <w:p w14:paraId="5D9A7877" w14:textId="77777777" w:rsidR="005C7825" w:rsidRDefault="005C7825" w:rsidP="004441D4"/>
    <w:p w14:paraId="1676738A" w14:textId="77777777" w:rsidR="005C7825" w:rsidRDefault="005C7825" w:rsidP="004441D4"/>
    <w:p w14:paraId="4D91BA58" w14:textId="77777777" w:rsidR="005C7825" w:rsidRDefault="005C7825" w:rsidP="004441D4"/>
    <w:p w14:paraId="14A2E6A6" w14:textId="77777777" w:rsidR="005C7825" w:rsidRDefault="005C7825" w:rsidP="004441D4"/>
    <w:p w14:paraId="000001B6" w14:textId="77777777" w:rsidR="00E420E3" w:rsidRPr="003D71C2" w:rsidRDefault="008E5528" w:rsidP="004441D4">
      <w:pPr>
        <w:pStyle w:val="Heading3"/>
        <w:rPr>
          <w:lang w:val="pt-BR"/>
        </w:rPr>
      </w:pPr>
      <w:bookmarkStart w:id="63" w:name="_Toc235393003"/>
      <w:r w:rsidRPr="003D71C2">
        <w:rPr>
          <w:lang w:val="pt-BR"/>
        </w:rPr>
        <w:lastRenderedPageBreak/>
        <w:t>3.7 References</w:t>
      </w:r>
      <w:bookmarkEnd w:id="63"/>
      <w:r w:rsidRPr="003D71C2">
        <w:rPr>
          <w:lang w:val="pt-BR"/>
        </w:rPr>
        <w:t xml:space="preserve"> </w:t>
      </w:r>
    </w:p>
    <w:p w14:paraId="000001B7" w14:textId="34C3E124" w:rsidR="00E420E3" w:rsidRPr="003D71C2" w:rsidRDefault="008E5528" w:rsidP="004441D4">
      <w:pPr>
        <w:ind w:left="567" w:hanging="567"/>
        <w:rPr>
          <w:lang w:val="pt-BR"/>
        </w:rPr>
      </w:pPr>
      <w:r w:rsidRPr="003D71C2">
        <w:rPr>
          <w:lang w:val="pt-BR"/>
        </w:rPr>
        <w:t xml:space="preserve">Beccari, O. (1884–86). </w:t>
      </w:r>
      <w:r w:rsidRPr="003D71C2">
        <w:rPr>
          <w:i/>
          <w:iCs/>
          <w:lang w:val="pt-BR"/>
        </w:rPr>
        <w:t xml:space="preserve">Piante Ospitatrici. </w:t>
      </w:r>
      <w:r w:rsidRPr="003D71C2">
        <w:rPr>
          <w:lang w:val="pt-BR"/>
        </w:rPr>
        <w:t xml:space="preserve">In </w:t>
      </w:r>
      <w:r w:rsidRPr="003D71C2">
        <w:rPr>
          <w:i/>
          <w:iCs/>
          <w:lang w:val="pt-BR"/>
        </w:rPr>
        <w:t xml:space="preserve">Malesia </w:t>
      </w:r>
      <w:r w:rsidRPr="00164557">
        <w:rPr>
          <w:lang w:val="pt-BR"/>
        </w:rPr>
        <w:t>(</w:t>
      </w:r>
      <w:r w:rsidR="00164557">
        <w:rPr>
          <w:lang w:val="pt-BR"/>
        </w:rPr>
        <w:t>V</w:t>
      </w:r>
      <w:r w:rsidRPr="00164557">
        <w:rPr>
          <w:lang w:val="pt-BR"/>
        </w:rPr>
        <w:t>ol. 2)</w:t>
      </w:r>
      <w:r w:rsidRPr="003D71C2">
        <w:rPr>
          <w:lang w:val="pt-BR"/>
        </w:rPr>
        <w:t xml:space="preserve">. Bibliografia del  Institudo Sordo Muti. </w:t>
      </w:r>
    </w:p>
    <w:p w14:paraId="000001B8" w14:textId="77777777" w:rsidR="00E420E3" w:rsidRDefault="008E5528" w:rsidP="004441D4">
      <w:pPr>
        <w:ind w:left="567" w:hanging="567"/>
      </w:pPr>
      <w:r>
        <w:t xml:space="preserve">Bronstein, J.L. (2001). The exploitation of mutualisms. </w:t>
      </w:r>
      <w:r>
        <w:rPr>
          <w:i/>
          <w:iCs/>
        </w:rPr>
        <w:t>Ecology Letters</w:t>
      </w:r>
      <w:r>
        <w:t xml:space="preserve">, </w:t>
      </w:r>
      <w:r>
        <w:rPr>
          <w:i/>
          <w:iCs/>
        </w:rPr>
        <w:t>4</w:t>
      </w:r>
      <w:r>
        <w:t xml:space="preserve">(3), 277–287. </w:t>
      </w:r>
    </w:p>
    <w:p w14:paraId="000001B9" w14:textId="1463BE21" w:rsidR="00E420E3" w:rsidRDefault="008E5528" w:rsidP="004441D4">
      <w:pPr>
        <w:ind w:left="567" w:hanging="567"/>
      </w:pPr>
      <w:r>
        <w:t>Bronstein, J.L., Alarcón, R.</w:t>
      </w:r>
      <w:r w:rsidR="00A45624">
        <w:t>,</w:t>
      </w:r>
      <w:r>
        <w:t xml:space="preserve"> and Geber, M. (2006). The evolution of plant-</w:t>
      </w:r>
      <w:r w:rsidR="008C0B6A">
        <w:t>insect mutualisms</w:t>
      </w:r>
      <w:r>
        <w:t xml:space="preserve">. </w:t>
      </w:r>
      <w:r>
        <w:rPr>
          <w:i/>
          <w:iCs/>
        </w:rPr>
        <w:t>The New Phytologist</w:t>
      </w:r>
      <w:r>
        <w:t xml:space="preserve">, </w:t>
      </w:r>
      <w:r>
        <w:rPr>
          <w:i/>
          <w:iCs/>
        </w:rPr>
        <w:t>172</w:t>
      </w:r>
      <w:r>
        <w:t xml:space="preserve">(3), 412–428.  </w:t>
      </w:r>
    </w:p>
    <w:p w14:paraId="000001BA" w14:textId="39358683" w:rsidR="00E420E3" w:rsidRDefault="008E5528" w:rsidP="004441D4">
      <w:pPr>
        <w:ind w:left="567" w:hanging="567"/>
      </w:pPr>
      <w:r w:rsidRPr="00856741">
        <w:t>Bruna, E.M., Lapola, D.M.</w:t>
      </w:r>
      <w:r w:rsidR="00A45624" w:rsidRPr="00856741">
        <w:t>,</w:t>
      </w:r>
      <w:r w:rsidRPr="00856741">
        <w:t xml:space="preserve"> and Vasconcelos, H.L. (2004). </w:t>
      </w:r>
      <w:r>
        <w:t xml:space="preserve">Interspecific variation in </w:t>
      </w:r>
      <w:r w:rsidR="008C0B6A">
        <w:t>the defensive</w:t>
      </w:r>
      <w:r>
        <w:t xml:space="preserve"> responses of obligate plant-ants: </w:t>
      </w:r>
      <w:r w:rsidR="00B41166">
        <w:t>E</w:t>
      </w:r>
      <w:r>
        <w:t xml:space="preserve">xperimental tests and consequences </w:t>
      </w:r>
      <w:r w:rsidR="008C0B6A">
        <w:t>for herbivory</w:t>
      </w:r>
      <w:r>
        <w:t xml:space="preserve">. </w:t>
      </w:r>
      <w:proofErr w:type="spellStart"/>
      <w:r>
        <w:rPr>
          <w:i/>
          <w:iCs/>
        </w:rPr>
        <w:t>Oecologia</w:t>
      </w:r>
      <w:proofErr w:type="spellEnd"/>
      <w:r>
        <w:t xml:space="preserve">, </w:t>
      </w:r>
      <w:r>
        <w:rPr>
          <w:i/>
          <w:iCs/>
        </w:rPr>
        <w:t>138</w:t>
      </w:r>
      <w:r>
        <w:t xml:space="preserve">(4), 558–565. </w:t>
      </w:r>
    </w:p>
    <w:p w14:paraId="000001BB" w14:textId="2FB3230F" w:rsidR="00E420E3" w:rsidRDefault="008E5528" w:rsidP="004441D4">
      <w:pPr>
        <w:ind w:left="567" w:hanging="567"/>
      </w:pPr>
      <w:r>
        <w:t>Campbell, L.C.E., Kiers, E.T.</w:t>
      </w:r>
      <w:r w:rsidR="00A45624">
        <w:t>,</w:t>
      </w:r>
      <w:r>
        <w:t xml:space="preserve"> and Chomicki, G. (2023) The evolution of plant cultivation </w:t>
      </w:r>
      <w:r w:rsidR="008C0B6A">
        <w:t>by ants</w:t>
      </w:r>
      <w:r>
        <w:t xml:space="preserve">. </w:t>
      </w:r>
      <w:r>
        <w:rPr>
          <w:i/>
          <w:iCs/>
        </w:rPr>
        <w:t>Trends in Plant Science, 28</w:t>
      </w:r>
      <w:r>
        <w:t xml:space="preserve">, 271–282. </w:t>
      </w:r>
    </w:p>
    <w:p w14:paraId="000001BC" w14:textId="32DC226B" w:rsidR="00E420E3" w:rsidRPr="0069124F" w:rsidRDefault="008E5528" w:rsidP="004441D4">
      <w:pPr>
        <w:ind w:left="567" w:hanging="567"/>
      </w:pPr>
      <w:r>
        <w:t>Chomicki, G. (2019)</w:t>
      </w:r>
      <w:r w:rsidR="0069124F">
        <w:t>.</w:t>
      </w:r>
      <w:r>
        <w:t xml:space="preserve"> </w:t>
      </w:r>
      <w:r w:rsidRPr="0069124F">
        <w:rPr>
          <w:i/>
          <w:iCs/>
        </w:rPr>
        <w:t xml:space="preserve">The world list of plants with domatium species. </w:t>
      </w:r>
      <w:r w:rsidR="0069124F">
        <w:t>(Unpublished dataset).</w:t>
      </w:r>
    </w:p>
    <w:p w14:paraId="000001BD" w14:textId="7CA830FE" w:rsidR="00E420E3" w:rsidRDefault="008E5528" w:rsidP="004441D4">
      <w:pPr>
        <w:ind w:left="567" w:hanging="567"/>
      </w:pPr>
      <w:r>
        <w:t xml:space="preserve">Chomicki, G., </w:t>
      </w:r>
      <w:proofErr w:type="spellStart"/>
      <w:r>
        <w:t>Kadereit</w:t>
      </w:r>
      <w:proofErr w:type="spellEnd"/>
      <w:r>
        <w:t>, G., Renner, S.S.</w:t>
      </w:r>
      <w:r w:rsidR="00A45624">
        <w:t>,</w:t>
      </w:r>
      <w:r>
        <w:t xml:space="preserve"> and Kiers, E.T. (2020). Trade-offs in the </w:t>
      </w:r>
      <w:r w:rsidR="008C0B6A">
        <w:t>evolution of</w:t>
      </w:r>
      <w:r>
        <w:t xml:space="preserve"> plant farming by ants. </w:t>
      </w:r>
      <w:r w:rsidR="00EC2FA4" w:rsidRPr="00EC2FA4">
        <w:rPr>
          <w:i/>
          <w:iCs/>
        </w:rPr>
        <w:t>Proceedings of the National Academy of Sciences of the United States of America</w:t>
      </w:r>
      <w:r w:rsidR="00EC2FA4">
        <w:rPr>
          <w:i/>
          <w:iCs/>
        </w:rPr>
        <w:t xml:space="preserve">, </w:t>
      </w:r>
      <w:r>
        <w:rPr>
          <w:i/>
          <w:iCs/>
        </w:rPr>
        <w:t>117</w:t>
      </w:r>
      <w:r>
        <w:t xml:space="preserve">(5), 2535–2543. </w:t>
      </w:r>
    </w:p>
    <w:p w14:paraId="000001BE" w14:textId="6BA3BC58" w:rsidR="00E420E3" w:rsidRDefault="008E5528" w:rsidP="004441D4">
      <w:pPr>
        <w:ind w:left="567" w:hanging="567"/>
      </w:pPr>
      <w:r>
        <w:t>Chomicki, G.,</w:t>
      </w:r>
      <w:r w:rsidR="00A45624">
        <w:t xml:space="preserve"> </w:t>
      </w:r>
      <w:r>
        <w:t xml:space="preserve">and Renner, S.S. (2015). Phylogenetics and molecular clocks reveal the </w:t>
      </w:r>
      <w:r w:rsidR="008C0B6A">
        <w:t>repeated evolution</w:t>
      </w:r>
      <w:r>
        <w:t xml:space="preserve"> of ant-plants after the late Miocene in Africa and the early Miocene </w:t>
      </w:r>
      <w:r w:rsidR="008C0B6A">
        <w:t>in Australasia</w:t>
      </w:r>
      <w:r>
        <w:t xml:space="preserve"> and the Neotropics. </w:t>
      </w:r>
      <w:r>
        <w:rPr>
          <w:i/>
          <w:iCs/>
        </w:rPr>
        <w:t>The New Phytologist</w:t>
      </w:r>
      <w:r>
        <w:t xml:space="preserve">, </w:t>
      </w:r>
      <w:r>
        <w:rPr>
          <w:i/>
          <w:iCs/>
        </w:rPr>
        <w:t>207</w:t>
      </w:r>
      <w:r>
        <w:t xml:space="preserve">(2), 411–424. </w:t>
      </w:r>
    </w:p>
    <w:p w14:paraId="000001BF" w14:textId="7C2642F0" w:rsidR="00E420E3" w:rsidRDefault="008E5528" w:rsidP="004441D4">
      <w:pPr>
        <w:ind w:left="567" w:hanging="567"/>
      </w:pPr>
      <w:r>
        <w:t>Chomicki, G.</w:t>
      </w:r>
      <w:r w:rsidR="00A45624">
        <w:t>,</w:t>
      </w:r>
      <w:r>
        <w:t xml:space="preserve"> and Renner, S.S. (2016a). Obligatory plant farming by a specialized ant. </w:t>
      </w:r>
      <w:r w:rsidR="008C0B6A">
        <w:rPr>
          <w:i/>
          <w:iCs/>
        </w:rPr>
        <w:t>Nature Plants</w:t>
      </w:r>
      <w:r>
        <w:rPr>
          <w:i/>
          <w:iCs/>
        </w:rPr>
        <w:t>, 2</w:t>
      </w:r>
      <w:r>
        <w:t xml:space="preserve">, 16181. </w:t>
      </w:r>
    </w:p>
    <w:p w14:paraId="000001C0" w14:textId="080585EA" w:rsidR="00E420E3" w:rsidRDefault="008E5528" w:rsidP="004441D4">
      <w:pPr>
        <w:ind w:left="567" w:hanging="567"/>
      </w:pPr>
      <w:r>
        <w:t>Chomicki, G.</w:t>
      </w:r>
      <w:r w:rsidR="00A45624">
        <w:t>,</w:t>
      </w:r>
      <w:r>
        <w:t xml:space="preserve"> and Renner, S.S. (2016b). Evolutionary relationships and biogeography of </w:t>
      </w:r>
      <w:r w:rsidR="008C0B6A">
        <w:t>the ant</w:t>
      </w:r>
      <w:r>
        <w:t xml:space="preserve">-epiphytic genus </w:t>
      </w:r>
      <w:proofErr w:type="spellStart"/>
      <w:r>
        <w:rPr>
          <w:i/>
          <w:iCs/>
        </w:rPr>
        <w:t>Squamellaria</w:t>
      </w:r>
      <w:proofErr w:type="spellEnd"/>
      <w:r>
        <w:rPr>
          <w:i/>
          <w:iCs/>
        </w:rPr>
        <w:t xml:space="preserve"> </w:t>
      </w:r>
      <w:r>
        <w:t>(</w:t>
      </w:r>
      <w:proofErr w:type="spellStart"/>
      <w:r>
        <w:t>Rubiaceae</w:t>
      </w:r>
      <w:proofErr w:type="spellEnd"/>
      <w:r>
        <w:t xml:space="preserve">: </w:t>
      </w:r>
      <w:proofErr w:type="spellStart"/>
      <w:r>
        <w:t>Psychotrieae</w:t>
      </w:r>
      <w:proofErr w:type="spellEnd"/>
      <w:r>
        <w:t xml:space="preserve">) and their </w:t>
      </w:r>
      <w:r w:rsidR="008C0B6A">
        <w:t>taxonomic implications</w:t>
      </w:r>
      <w:r>
        <w:t xml:space="preserve">. </w:t>
      </w:r>
      <w:r>
        <w:rPr>
          <w:i/>
          <w:iCs/>
        </w:rPr>
        <w:t>PL</w:t>
      </w:r>
      <w:r w:rsidR="00EC2FA4">
        <w:rPr>
          <w:i/>
          <w:iCs/>
        </w:rPr>
        <w:t>O</w:t>
      </w:r>
      <w:r>
        <w:rPr>
          <w:i/>
          <w:iCs/>
        </w:rPr>
        <w:t>S O</w:t>
      </w:r>
      <w:r w:rsidR="00EC2FA4">
        <w:rPr>
          <w:i/>
          <w:iCs/>
        </w:rPr>
        <w:t>NE</w:t>
      </w:r>
      <w:r>
        <w:rPr>
          <w:i/>
          <w:iCs/>
        </w:rPr>
        <w:t>, 11</w:t>
      </w:r>
      <w:r>
        <w:t xml:space="preserve">, e0151317. </w:t>
      </w:r>
    </w:p>
    <w:p w14:paraId="000001C1" w14:textId="6B3FA025" w:rsidR="00E420E3" w:rsidRDefault="008E5528" w:rsidP="004441D4">
      <w:pPr>
        <w:ind w:left="567" w:hanging="567"/>
      </w:pPr>
      <w:r>
        <w:t>Chomicki, G.</w:t>
      </w:r>
      <w:r w:rsidR="00A45624">
        <w:t>,</w:t>
      </w:r>
      <w:r>
        <w:t xml:space="preserve"> and Renner, S.S. (2017). Partner abundance controls mutualism stability and </w:t>
      </w:r>
      <w:r w:rsidR="008C0B6A">
        <w:t>the pace</w:t>
      </w:r>
      <w:r>
        <w:t xml:space="preserve"> of morphological change over geologic time. </w:t>
      </w:r>
      <w:r w:rsidR="005131F3" w:rsidRPr="005131F3">
        <w:rPr>
          <w:i/>
          <w:iCs/>
        </w:rPr>
        <w:t>Proceedings of the National Academy of Sciences of the United States of America</w:t>
      </w:r>
      <w:r>
        <w:t xml:space="preserve">, </w:t>
      </w:r>
      <w:r>
        <w:rPr>
          <w:i/>
          <w:iCs/>
        </w:rPr>
        <w:t>114</w:t>
      </w:r>
      <w:r>
        <w:t>(15</w:t>
      </w:r>
      <w:r w:rsidR="008C0B6A">
        <w:t>), 3951</w:t>
      </w:r>
      <w:r>
        <w:t xml:space="preserve">–3956. </w:t>
      </w:r>
    </w:p>
    <w:p w14:paraId="000001C3" w14:textId="3197C490" w:rsidR="00E420E3" w:rsidRDefault="008E5528" w:rsidP="005131F3">
      <w:pPr>
        <w:ind w:left="567" w:hanging="567"/>
      </w:pPr>
      <w:r>
        <w:t>Chomicki, G.</w:t>
      </w:r>
      <w:r w:rsidR="00A45624">
        <w:t>,</w:t>
      </w:r>
      <w:r>
        <w:t xml:space="preserve"> and Renner, S.S. (2019). Farming by ants remodels nutrient uptake in epiphytes. </w:t>
      </w:r>
      <w:r>
        <w:rPr>
          <w:i/>
          <w:iCs/>
        </w:rPr>
        <w:t>The New Phytologist</w:t>
      </w:r>
      <w:r>
        <w:t xml:space="preserve">, </w:t>
      </w:r>
      <w:r>
        <w:rPr>
          <w:i/>
          <w:iCs/>
        </w:rPr>
        <w:t>223</w:t>
      </w:r>
      <w:r>
        <w:t>(4), 2011–2023.</w:t>
      </w:r>
    </w:p>
    <w:p w14:paraId="000001C4" w14:textId="3CBE8B8A" w:rsidR="00E420E3" w:rsidRDefault="008E5528" w:rsidP="004441D4">
      <w:pPr>
        <w:ind w:left="567" w:hanging="567"/>
      </w:pPr>
      <w:r>
        <w:lastRenderedPageBreak/>
        <w:t xml:space="preserve">Chomicki, G., Thorogood, C.J., </w:t>
      </w:r>
      <w:proofErr w:type="spellStart"/>
      <w:r>
        <w:t>Naikatini</w:t>
      </w:r>
      <w:proofErr w:type="spellEnd"/>
      <w:r>
        <w:t>, A.</w:t>
      </w:r>
      <w:r w:rsidR="00A45624">
        <w:t>,</w:t>
      </w:r>
      <w:r>
        <w:t xml:space="preserve"> and Renner, S.S. (2019). </w:t>
      </w:r>
      <w:proofErr w:type="spellStart"/>
      <w:r>
        <w:rPr>
          <w:i/>
          <w:iCs/>
        </w:rPr>
        <w:t>Squamellaria</w:t>
      </w:r>
      <w:proofErr w:type="spellEnd"/>
      <w:r>
        <w:t xml:space="preserve">: Plants domesticated by ants. </w:t>
      </w:r>
      <w:r>
        <w:rPr>
          <w:i/>
          <w:iCs/>
        </w:rPr>
        <w:t>Flora Obscura</w:t>
      </w:r>
      <w:r>
        <w:t xml:space="preserve">. </w:t>
      </w:r>
      <w:r>
        <w:rPr>
          <w:i/>
          <w:iCs/>
        </w:rPr>
        <w:t>Plants, People, Planet, 1</w:t>
      </w:r>
      <w:r>
        <w:t>(4</w:t>
      </w:r>
      <w:r w:rsidR="008C0B6A">
        <w:t>), 302</w:t>
      </w:r>
      <w:r>
        <w:t xml:space="preserve">–305. </w:t>
      </w:r>
    </w:p>
    <w:p w14:paraId="000001C5" w14:textId="00826B38" w:rsidR="00E420E3" w:rsidRDefault="008E5528" w:rsidP="004441D4">
      <w:pPr>
        <w:ind w:left="567" w:hanging="567"/>
      </w:pPr>
      <w:r>
        <w:t>Davidson, D.W.</w:t>
      </w:r>
      <w:r w:rsidR="00A45624">
        <w:t>,</w:t>
      </w:r>
      <w:r>
        <w:t xml:space="preserve"> and McKey, D. (1993). The evolutionary ecology of symbiotic ant/</w:t>
      </w:r>
      <w:r w:rsidR="008C0B6A">
        <w:t>plant relationships</w:t>
      </w:r>
      <w:r>
        <w:t xml:space="preserve">. </w:t>
      </w:r>
      <w:r>
        <w:rPr>
          <w:i/>
          <w:iCs/>
        </w:rPr>
        <w:t>Journal of Hymenoptera Research, 2</w:t>
      </w:r>
      <w:r>
        <w:t xml:space="preserve">, 13–83. </w:t>
      </w:r>
    </w:p>
    <w:p w14:paraId="000001C6" w14:textId="16123A12" w:rsidR="00E420E3" w:rsidRDefault="008E5528" w:rsidP="004441D4">
      <w:pPr>
        <w:ind w:left="567" w:hanging="567"/>
      </w:pPr>
      <w:proofErr w:type="spellStart"/>
      <w:r>
        <w:t>Defossez</w:t>
      </w:r>
      <w:proofErr w:type="spellEnd"/>
      <w:r>
        <w:t>, E., Djie´to-</w:t>
      </w:r>
      <w:proofErr w:type="spellStart"/>
      <w:r>
        <w:t>Lordon</w:t>
      </w:r>
      <w:proofErr w:type="spellEnd"/>
      <w:r>
        <w:t xml:space="preserve">, C., McKey, D., </w:t>
      </w:r>
      <w:proofErr w:type="spellStart"/>
      <w:r>
        <w:t>Selosse</w:t>
      </w:r>
      <w:proofErr w:type="spellEnd"/>
      <w:r>
        <w:t>, M.A.</w:t>
      </w:r>
      <w:r w:rsidR="00A45624">
        <w:t>,</w:t>
      </w:r>
      <w:r>
        <w:t xml:space="preserve"> and </w:t>
      </w:r>
      <w:proofErr w:type="spellStart"/>
      <w:r>
        <w:t>Blatrix</w:t>
      </w:r>
      <w:proofErr w:type="spellEnd"/>
      <w:r>
        <w:t>, R. (2011). Plant-</w:t>
      </w:r>
      <w:r w:rsidR="008C0B6A">
        <w:t>ants feed</w:t>
      </w:r>
      <w:r>
        <w:t xml:space="preserve"> their host plant, but above all a fungal symbiont to recycle nitrogen. </w:t>
      </w:r>
      <w:r w:rsidR="007436AC" w:rsidRPr="007436AC">
        <w:rPr>
          <w:i/>
          <w:iCs/>
        </w:rPr>
        <w:t>Proceedings of the Royal Society B: Biological Sciences</w:t>
      </w:r>
      <w:r>
        <w:rPr>
          <w:i/>
          <w:iCs/>
        </w:rPr>
        <w:t>, 278</w:t>
      </w:r>
      <w:r>
        <w:t xml:space="preserve">(1714), 1419–1426. </w:t>
      </w:r>
    </w:p>
    <w:p w14:paraId="000001C7" w14:textId="49CC7D76" w:rsidR="00E420E3" w:rsidRDefault="008E5528" w:rsidP="004441D4">
      <w:pPr>
        <w:ind w:left="567" w:hanging="567"/>
      </w:pPr>
      <w:proofErr w:type="spellStart"/>
      <w:r>
        <w:t>Essock</w:t>
      </w:r>
      <w:proofErr w:type="spellEnd"/>
      <w:r>
        <w:t xml:space="preserve">-Burns, T., </w:t>
      </w:r>
      <w:proofErr w:type="spellStart"/>
      <w:r>
        <w:t>Bongrand</w:t>
      </w:r>
      <w:proofErr w:type="spellEnd"/>
      <w:r>
        <w:t>, C., Goldman, W.E., Ruby, E.G.</w:t>
      </w:r>
      <w:r w:rsidR="00A45624">
        <w:t>,</w:t>
      </w:r>
      <w:r>
        <w:t xml:space="preserve"> and McFall-Ngai, M.J. (2020).  Interactions of symbiotic partners drive the development of a complex biogeography </w:t>
      </w:r>
      <w:r w:rsidR="008C0B6A">
        <w:t>in the</w:t>
      </w:r>
      <w:r>
        <w:t xml:space="preserve"> squid–Vibrio symbiosis. </w:t>
      </w:r>
      <w:r>
        <w:rPr>
          <w:i/>
          <w:iCs/>
        </w:rPr>
        <w:t>mBio</w:t>
      </w:r>
      <w:r>
        <w:t xml:space="preserve">, </w:t>
      </w:r>
      <w:r>
        <w:rPr>
          <w:i/>
          <w:iCs/>
        </w:rPr>
        <w:t>11</w:t>
      </w:r>
      <w:r>
        <w:t xml:space="preserve">(3), e00853-20. </w:t>
      </w:r>
    </w:p>
    <w:p w14:paraId="000001C8" w14:textId="5DE24420" w:rsidR="00E420E3" w:rsidRDefault="008E5528" w:rsidP="004441D4">
      <w:pPr>
        <w:ind w:left="567" w:hanging="567"/>
      </w:pPr>
      <w:r>
        <w:t>Fischer, R.C., Wanek, W., Richter, A.</w:t>
      </w:r>
      <w:r w:rsidR="00A45624">
        <w:t>,</w:t>
      </w:r>
      <w:r>
        <w:t xml:space="preserve"> and Mayer, V., (2003). Do ants feed plants? A 15</w:t>
      </w:r>
      <w:r w:rsidR="008C0B6A">
        <w:t>N labelling</w:t>
      </w:r>
      <w:r>
        <w:t xml:space="preserve"> study of nitrogen fluxes from ants to plants in the mutualism of </w:t>
      </w:r>
      <w:r>
        <w:rPr>
          <w:i/>
          <w:iCs/>
        </w:rPr>
        <w:t xml:space="preserve">Pheidole </w:t>
      </w:r>
      <w:r w:rsidR="00067403">
        <w:t>and</w:t>
      </w:r>
      <w:r w:rsidR="008C0B6A">
        <w:t xml:space="preserve"> Piper</w:t>
      </w:r>
      <w:r>
        <w:t xml:space="preserve"> </w:t>
      </w:r>
      <w:r>
        <w:rPr>
          <w:i/>
          <w:iCs/>
        </w:rPr>
        <w:t>Journal of Ecology</w:t>
      </w:r>
      <w:r>
        <w:t xml:space="preserve">, </w:t>
      </w:r>
      <w:r>
        <w:rPr>
          <w:i/>
          <w:iCs/>
        </w:rPr>
        <w:t>91</w:t>
      </w:r>
      <w:r>
        <w:t xml:space="preserve">(1), 126-134. </w:t>
      </w:r>
    </w:p>
    <w:p w14:paraId="000001C9" w14:textId="38A399F1" w:rsidR="00E420E3" w:rsidRDefault="008E5528" w:rsidP="004441D4">
      <w:pPr>
        <w:ind w:left="567" w:hanging="567"/>
      </w:pPr>
      <w:r>
        <w:t xml:space="preserve">Frank, M., Fechete, L.I., Tedeschi, F., Nadzieja, M., Nørgaard, M.M.M., Montiel, J., </w:t>
      </w:r>
      <w:r w:rsidR="008C0B6A">
        <w:t>Andersen, K.R.</w:t>
      </w:r>
      <w:r>
        <w:t>, Schierup, M.H., Reid, D.</w:t>
      </w:r>
      <w:r w:rsidR="00A45624">
        <w:t>,</w:t>
      </w:r>
      <w:r>
        <w:t xml:space="preserve"> and Andersen, S.U. (2023). Single-cell analysis </w:t>
      </w:r>
      <w:r w:rsidR="008C0B6A">
        <w:t>identifies genes</w:t>
      </w:r>
      <w:r>
        <w:t xml:space="preserve"> facilitating rhizobium infection in </w:t>
      </w:r>
      <w:r>
        <w:rPr>
          <w:i/>
          <w:iCs/>
        </w:rPr>
        <w:t>Lotus japonicus</w:t>
      </w:r>
      <w:r>
        <w:t xml:space="preserve">. </w:t>
      </w:r>
      <w:r>
        <w:rPr>
          <w:i/>
          <w:iCs/>
        </w:rPr>
        <w:t xml:space="preserve">Nature </w:t>
      </w:r>
      <w:r w:rsidR="008C0B6A">
        <w:rPr>
          <w:i/>
          <w:iCs/>
        </w:rPr>
        <w:t>Communications</w:t>
      </w:r>
      <w:r w:rsidR="008C0B6A">
        <w:t>, 14</w:t>
      </w:r>
      <w:r>
        <w:t xml:space="preserve">(1), 7171. </w:t>
      </w:r>
    </w:p>
    <w:p w14:paraId="000001CA" w14:textId="287BE40E" w:rsidR="00E420E3" w:rsidRPr="003D71C2" w:rsidRDefault="008E5528" w:rsidP="004441D4">
      <w:pPr>
        <w:ind w:left="567" w:hanging="567"/>
        <w:rPr>
          <w:lang w:val="pt-BR"/>
        </w:rPr>
      </w:pPr>
      <w:r>
        <w:t xml:space="preserve">Frederickson, M.E. (2005). Ant species confer different partner benefits on two </w:t>
      </w:r>
      <w:r w:rsidR="008C0B6A">
        <w:t>neotropical myrmecophytes</w:t>
      </w:r>
      <w:r>
        <w:t xml:space="preserve">. </w:t>
      </w:r>
      <w:r w:rsidRPr="003D71C2">
        <w:rPr>
          <w:i/>
          <w:iCs/>
          <w:lang w:val="pt-BR"/>
        </w:rPr>
        <w:t>Oecologia</w:t>
      </w:r>
      <w:r w:rsidRPr="003D71C2">
        <w:rPr>
          <w:lang w:val="pt-BR"/>
        </w:rPr>
        <w:t xml:space="preserve">, </w:t>
      </w:r>
      <w:r w:rsidRPr="003D71C2">
        <w:rPr>
          <w:i/>
          <w:iCs/>
          <w:lang w:val="pt-BR"/>
        </w:rPr>
        <w:t>143</w:t>
      </w:r>
      <w:r w:rsidRPr="003D71C2">
        <w:rPr>
          <w:lang w:val="pt-BR"/>
        </w:rPr>
        <w:t xml:space="preserve">(3), 387–395. </w:t>
      </w:r>
    </w:p>
    <w:p w14:paraId="000001CB" w14:textId="7D00635A" w:rsidR="00E420E3" w:rsidRDefault="008E5528" w:rsidP="004441D4">
      <w:pPr>
        <w:ind w:left="567" w:hanging="567"/>
      </w:pPr>
      <w:r w:rsidRPr="003D71C2">
        <w:rPr>
          <w:lang w:val="pt-BR"/>
        </w:rPr>
        <w:t>Gaume, L., Zacharias, M., Grosbois, V.</w:t>
      </w:r>
      <w:r w:rsidR="00A45624">
        <w:rPr>
          <w:lang w:val="pt-BR"/>
        </w:rPr>
        <w:t>,</w:t>
      </w:r>
      <w:r w:rsidRPr="003D71C2">
        <w:rPr>
          <w:lang w:val="pt-BR"/>
        </w:rPr>
        <w:t xml:space="preserve"> and Borges, R.M. (2005). </w:t>
      </w:r>
      <w:r>
        <w:t xml:space="preserve">The fitness </w:t>
      </w:r>
      <w:r w:rsidR="008C0B6A">
        <w:t>consequences of</w:t>
      </w:r>
      <w:r>
        <w:t xml:space="preserve"> bearing domatia and having the right ant partner: experiments with protective and </w:t>
      </w:r>
      <w:r w:rsidR="008C0B6A">
        <w:t>non-protective</w:t>
      </w:r>
      <w:r>
        <w:t xml:space="preserve"> ants in a semi-myrmecophyte. </w:t>
      </w:r>
      <w:proofErr w:type="spellStart"/>
      <w:r>
        <w:rPr>
          <w:i/>
          <w:iCs/>
        </w:rPr>
        <w:t>Oecologia</w:t>
      </w:r>
      <w:proofErr w:type="spellEnd"/>
      <w:r>
        <w:t xml:space="preserve">, </w:t>
      </w:r>
      <w:r>
        <w:rPr>
          <w:i/>
          <w:iCs/>
        </w:rPr>
        <w:t>145</w:t>
      </w:r>
      <w:r>
        <w:t xml:space="preserve">(1), 76–86. </w:t>
      </w:r>
    </w:p>
    <w:p w14:paraId="000001CC" w14:textId="5FED066C" w:rsidR="00E420E3" w:rsidRDefault="008E5528" w:rsidP="004441D4">
      <w:pPr>
        <w:ind w:left="567" w:hanging="567"/>
      </w:pPr>
      <w:r>
        <w:t>Gegenbauer, C., Mayer, V.E., Zotz, G.</w:t>
      </w:r>
      <w:r w:rsidR="00A45624">
        <w:t>,</w:t>
      </w:r>
      <w:r>
        <w:t xml:space="preserve"> and Richter, A., (2012). Uptake of ant-derived </w:t>
      </w:r>
      <w:r w:rsidR="008C0B6A">
        <w:t>nitrogen in</w:t>
      </w:r>
      <w:r>
        <w:t xml:space="preserve"> the myrmecophytic orchid </w:t>
      </w:r>
      <w:proofErr w:type="spellStart"/>
      <w:r>
        <w:rPr>
          <w:i/>
          <w:iCs/>
        </w:rPr>
        <w:t>Caularthron</w:t>
      </w:r>
      <w:proofErr w:type="spellEnd"/>
      <w:r>
        <w:rPr>
          <w:i/>
          <w:iCs/>
        </w:rPr>
        <w:t xml:space="preserve"> </w:t>
      </w:r>
      <w:proofErr w:type="spellStart"/>
      <w:r>
        <w:rPr>
          <w:i/>
          <w:iCs/>
        </w:rPr>
        <w:t>bilamellatum</w:t>
      </w:r>
      <w:proofErr w:type="spellEnd"/>
      <w:r>
        <w:t xml:space="preserve">. </w:t>
      </w:r>
      <w:r>
        <w:rPr>
          <w:i/>
          <w:iCs/>
        </w:rPr>
        <w:t xml:space="preserve">Annals of Botany </w:t>
      </w:r>
      <w:r w:rsidR="008C0B6A">
        <w:rPr>
          <w:i/>
          <w:iCs/>
        </w:rPr>
        <w:t>Plants</w:t>
      </w:r>
      <w:r w:rsidR="008C0B6A">
        <w:t>, 110</w:t>
      </w:r>
      <w:r>
        <w:t xml:space="preserve">(4), 757-765. </w:t>
      </w:r>
    </w:p>
    <w:p w14:paraId="000001CE" w14:textId="0E8A8DC8" w:rsidR="00E420E3" w:rsidRDefault="008E5528" w:rsidP="00DF5E95">
      <w:pPr>
        <w:ind w:left="567" w:hanging="567"/>
      </w:pPr>
      <w:r>
        <w:t xml:space="preserve">Glynne, M.D., and Jackson, V.G. (1919). The distribution of dry matter and nitrogen in </w:t>
      </w:r>
      <w:r w:rsidR="008C0B6A">
        <w:t>the potato</w:t>
      </w:r>
      <w:r>
        <w:t xml:space="preserve"> tuber. Variety, King Edward. </w:t>
      </w:r>
      <w:r>
        <w:rPr>
          <w:i/>
          <w:iCs/>
        </w:rPr>
        <w:t>The Journal of Agricultural Science</w:t>
      </w:r>
      <w:r>
        <w:t xml:space="preserve">, </w:t>
      </w:r>
      <w:r>
        <w:rPr>
          <w:i/>
          <w:iCs/>
        </w:rPr>
        <w:t>9</w:t>
      </w:r>
      <w:r>
        <w:t>(3), 237–258.</w:t>
      </w:r>
    </w:p>
    <w:p w14:paraId="000001CF" w14:textId="3843CC48" w:rsidR="00E420E3" w:rsidRDefault="008E5528" w:rsidP="004441D4">
      <w:pPr>
        <w:ind w:left="567" w:hanging="567"/>
      </w:pPr>
      <w:r>
        <w:rPr>
          <w:highlight w:val="white"/>
        </w:rPr>
        <w:t xml:space="preserve">Greenfield, M.J. (2022). </w:t>
      </w:r>
      <w:r>
        <w:rPr>
          <w:i/>
          <w:iCs/>
          <w:highlight w:val="white"/>
        </w:rPr>
        <w:t>I</w:t>
      </w:r>
      <w:r>
        <w:rPr>
          <w:i/>
          <w:iCs/>
        </w:rPr>
        <w:t xml:space="preserve">nteractions among fungi, ants, and the ant-plant </w:t>
      </w:r>
      <w:proofErr w:type="spellStart"/>
      <w:r w:rsidR="008C0B6A">
        <w:rPr>
          <w:i/>
          <w:iCs/>
        </w:rPr>
        <w:t>Myrmecodia</w:t>
      </w:r>
      <w:proofErr w:type="spellEnd"/>
      <w:r w:rsidR="008C0B6A">
        <w:rPr>
          <w:i/>
          <w:iCs/>
        </w:rPr>
        <w:t xml:space="preserve"> </w:t>
      </w:r>
      <w:proofErr w:type="spellStart"/>
      <w:r w:rsidR="008C0B6A">
        <w:rPr>
          <w:i/>
          <w:iCs/>
        </w:rPr>
        <w:t>beccarii</w:t>
      </w:r>
      <w:proofErr w:type="spellEnd"/>
      <w:r>
        <w:rPr>
          <w:i/>
          <w:iCs/>
        </w:rPr>
        <w:t xml:space="preserve"> </w:t>
      </w:r>
      <w:r>
        <w:rPr>
          <w:highlight w:val="white"/>
        </w:rPr>
        <w:t xml:space="preserve">(Doctoral dissertation, James Cook University). James Cook University. </w:t>
      </w:r>
      <w:r>
        <w:t xml:space="preserve"> </w:t>
      </w:r>
      <w:r>
        <w:rPr>
          <w:highlight w:val="white"/>
        </w:rPr>
        <w:t>Retrieved from https://doi.org/10.25903/1bvy-ma83.</w:t>
      </w:r>
      <w:r>
        <w:t xml:space="preserve"> </w:t>
      </w:r>
    </w:p>
    <w:p w14:paraId="000001D0" w14:textId="71F0DE5D" w:rsidR="00E420E3" w:rsidRDefault="008E5528" w:rsidP="004441D4">
      <w:pPr>
        <w:ind w:left="567" w:hanging="567"/>
      </w:pPr>
      <w:r>
        <w:rPr>
          <w:highlight w:val="white"/>
        </w:rPr>
        <w:lastRenderedPageBreak/>
        <w:t xml:space="preserve">Hamada, M., Schröder, K., Bathia, J., </w:t>
      </w:r>
      <w:proofErr w:type="spellStart"/>
      <w:r>
        <w:rPr>
          <w:highlight w:val="white"/>
        </w:rPr>
        <w:t>Kürn</w:t>
      </w:r>
      <w:proofErr w:type="spellEnd"/>
      <w:r>
        <w:rPr>
          <w:highlight w:val="white"/>
        </w:rPr>
        <w:t xml:space="preserve">, U., </w:t>
      </w:r>
      <w:proofErr w:type="spellStart"/>
      <w:r>
        <w:rPr>
          <w:highlight w:val="white"/>
        </w:rPr>
        <w:t>Fraune</w:t>
      </w:r>
      <w:proofErr w:type="spellEnd"/>
      <w:r>
        <w:rPr>
          <w:highlight w:val="white"/>
        </w:rPr>
        <w:t xml:space="preserve">, S., </w:t>
      </w:r>
      <w:proofErr w:type="spellStart"/>
      <w:r>
        <w:rPr>
          <w:highlight w:val="white"/>
        </w:rPr>
        <w:t>Khalturina</w:t>
      </w:r>
      <w:proofErr w:type="spellEnd"/>
      <w:r>
        <w:rPr>
          <w:highlight w:val="white"/>
        </w:rPr>
        <w:t>, M., Khalturin, K.</w:t>
      </w:r>
      <w:r w:rsidR="008C0B6A">
        <w:rPr>
          <w:highlight w:val="white"/>
        </w:rPr>
        <w:t xml:space="preserve">, </w:t>
      </w:r>
      <w:r w:rsidR="008C0B6A">
        <w:t>Shinzato</w:t>
      </w:r>
      <w:r>
        <w:rPr>
          <w:highlight w:val="white"/>
        </w:rPr>
        <w:t>, C., Satoh, N.</w:t>
      </w:r>
      <w:r w:rsidR="00A45624">
        <w:rPr>
          <w:highlight w:val="white"/>
        </w:rPr>
        <w:t>,</w:t>
      </w:r>
      <w:r>
        <w:rPr>
          <w:highlight w:val="white"/>
        </w:rPr>
        <w:t xml:space="preserve"> and Bosch, T.C.G. (2018). Metabolic co-dependence drives </w:t>
      </w:r>
      <w:r w:rsidR="008C0B6A">
        <w:rPr>
          <w:highlight w:val="white"/>
        </w:rPr>
        <w:t xml:space="preserve">the </w:t>
      </w:r>
      <w:r w:rsidR="008C0B6A">
        <w:t>evolutionarily</w:t>
      </w:r>
      <w:r>
        <w:rPr>
          <w:highlight w:val="white"/>
        </w:rPr>
        <w:t xml:space="preserve"> ancient </w:t>
      </w:r>
      <w:r>
        <w:rPr>
          <w:i/>
          <w:iCs/>
          <w:highlight w:val="white"/>
        </w:rPr>
        <w:t xml:space="preserve">Hydra–Chlorella </w:t>
      </w:r>
      <w:r>
        <w:rPr>
          <w:highlight w:val="white"/>
        </w:rPr>
        <w:t xml:space="preserve">symbiosis. </w:t>
      </w:r>
      <w:proofErr w:type="spellStart"/>
      <w:r>
        <w:rPr>
          <w:i/>
          <w:iCs/>
          <w:highlight w:val="white"/>
        </w:rPr>
        <w:t>eLife</w:t>
      </w:r>
      <w:proofErr w:type="spellEnd"/>
      <w:r>
        <w:rPr>
          <w:highlight w:val="white"/>
        </w:rPr>
        <w:t xml:space="preserve">, </w:t>
      </w:r>
      <w:r>
        <w:rPr>
          <w:i/>
          <w:iCs/>
          <w:highlight w:val="white"/>
        </w:rPr>
        <w:t>7</w:t>
      </w:r>
      <w:r>
        <w:rPr>
          <w:highlight w:val="white"/>
        </w:rPr>
        <w:t>, e35122.</w:t>
      </w:r>
      <w:r>
        <w:t xml:space="preserve"> </w:t>
      </w:r>
    </w:p>
    <w:p w14:paraId="000001D1" w14:textId="5BFBF057" w:rsidR="00E420E3" w:rsidRDefault="008E5528" w:rsidP="004441D4">
      <w:pPr>
        <w:ind w:left="567" w:hanging="567"/>
      </w:pPr>
      <w:r>
        <w:t xml:space="preserve">Heil, M., González-Teuber, M., Clement, L.W., Kautz, S., Verhaagh, M., and Bueno, J.C.S.  (2009). Divergent investment strategies of Acacia myrmecophytes and the </w:t>
      </w:r>
      <w:r w:rsidR="008C0B6A">
        <w:t>coexistence of</w:t>
      </w:r>
      <w:r>
        <w:t xml:space="preserve"> mutualists and exploiters. </w:t>
      </w:r>
      <w:r w:rsidR="00C70DDD" w:rsidRPr="00C70DDD">
        <w:rPr>
          <w:i/>
          <w:iCs/>
        </w:rPr>
        <w:t>Proceedings of the National Academy of Sciences of the United States of America</w:t>
      </w:r>
      <w:r>
        <w:rPr>
          <w:i/>
          <w:iCs/>
        </w:rPr>
        <w:t>, 106</w:t>
      </w:r>
      <w:r>
        <w:t xml:space="preserve">(43), 18091-18096. </w:t>
      </w:r>
    </w:p>
    <w:p w14:paraId="000001D2" w14:textId="4BEEC305" w:rsidR="00E420E3" w:rsidRDefault="008E5528" w:rsidP="004441D4">
      <w:pPr>
        <w:ind w:left="567" w:hanging="567"/>
      </w:pPr>
      <w:r>
        <w:t>Heil, M.</w:t>
      </w:r>
      <w:r w:rsidR="00A45624">
        <w:t>,</w:t>
      </w:r>
      <w:r>
        <w:t xml:space="preserve"> and McKey, D. (2003). Protective ant–plant interactions as model systems </w:t>
      </w:r>
      <w:r w:rsidR="008C0B6A">
        <w:t>in ecological</w:t>
      </w:r>
      <w:r>
        <w:t xml:space="preserve"> and evolutionary research. </w:t>
      </w:r>
      <w:r>
        <w:rPr>
          <w:i/>
          <w:iCs/>
        </w:rPr>
        <w:t xml:space="preserve">Annual Review of Ecology, Evolution, </w:t>
      </w:r>
      <w:r w:rsidR="008C0B6A">
        <w:rPr>
          <w:i/>
          <w:iCs/>
        </w:rPr>
        <w:t>and Systematics</w:t>
      </w:r>
      <w:r>
        <w:t xml:space="preserve">, </w:t>
      </w:r>
      <w:r>
        <w:rPr>
          <w:i/>
          <w:iCs/>
        </w:rPr>
        <w:t>34</w:t>
      </w:r>
      <w:r>
        <w:t xml:space="preserve">, 425–53. </w:t>
      </w:r>
    </w:p>
    <w:p w14:paraId="000001D3" w14:textId="2A6DB2ED" w:rsidR="00E420E3" w:rsidRDefault="008E5528" w:rsidP="004441D4">
      <w:pPr>
        <w:ind w:left="567" w:hanging="567"/>
      </w:pPr>
      <w:r>
        <w:t xml:space="preserve">Huxley, C.R. (1978). The ant-plants </w:t>
      </w:r>
      <w:proofErr w:type="spellStart"/>
      <w:r>
        <w:t>Myrmecodia</w:t>
      </w:r>
      <w:proofErr w:type="spellEnd"/>
      <w:r>
        <w:t xml:space="preserve"> and </w:t>
      </w:r>
      <w:proofErr w:type="spellStart"/>
      <w:r>
        <w:t>Hydnophytum</w:t>
      </w:r>
      <w:proofErr w:type="spellEnd"/>
      <w:r>
        <w:t xml:space="preserve"> (</w:t>
      </w:r>
      <w:proofErr w:type="spellStart"/>
      <w:r>
        <w:t>Rubiaceae</w:t>
      </w:r>
      <w:proofErr w:type="spellEnd"/>
      <w:r>
        <w:t xml:space="preserve">), and </w:t>
      </w:r>
      <w:r w:rsidR="00067403">
        <w:t>the relationships</w:t>
      </w:r>
      <w:r>
        <w:t xml:space="preserve"> between their morphology, ant occupants, physiology and ecology. </w:t>
      </w:r>
      <w:r>
        <w:rPr>
          <w:i/>
          <w:iCs/>
        </w:rPr>
        <w:t>The New Phytologist</w:t>
      </w:r>
      <w:r>
        <w:t xml:space="preserve">, </w:t>
      </w:r>
      <w:r>
        <w:rPr>
          <w:i/>
          <w:iCs/>
        </w:rPr>
        <w:t>80</w:t>
      </w:r>
      <w:r>
        <w:t xml:space="preserve">(1), 229-246. </w:t>
      </w:r>
    </w:p>
    <w:p w14:paraId="000001D4" w14:textId="77777777" w:rsidR="00E420E3" w:rsidRDefault="008E5528" w:rsidP="004441D4">
      <w:pPr>
        <w:ind w:left="567" w:hanging="567"/>
      </w:pPr>
      <w:r>
        <w:t xml:space="preserve">Huxley, C.R. (1980). Symbiosis between ants and epiphytes. </w:t>
      </w:r>
      <w:r>
        <w:rPr>
          <w:i/>
          <w:iCs/>
        </w:rPr>
        <w:t>Biological Reviews</w:t>
      </w:r>
      <w:r>
        <w:t xml:space="preserve">, </w:t>
      </w:r>
      <w:r>
        <w:rPr>
          <w:i/>
          <w:iCs/>
        </w:rPr>
        <w:t>55</w:t>
      </w:r>
      <w:r>
        <w:t xml:space="preserve">(3), 321– 340. </w:t>
      </w:r>
    </w:p>
    <w:p w14:paraId="000001D5" w14:textId="3FC8A5A6" w:rsidR="00E420E3" w:rsidRDefault="008E5528" w:rsidP="004441D4">
      <w:pPr>
        <w:ind w:left="567" w:hanging="567"/>
      </w:pPr>
      <w:r>
        <w:t>Huxley, C.R.</w:t>
      </w:r>
      <w:r w:rsidR="00A45624">
        <w:t>,</w:t>
      </w:r>
      <w:r>
        <w:t xml:space="preserve"> and Jebb, M.H.P. (1991a). The tuberous epiphytes of the </w:t>
      </w:r>
      <w:proofErr w:type="spellStart"/>
      <w:r>
        <w:t>Rubiaceae</w:t>
      </w:r>
      <w:proofErr w:type="spellEnd"/>
      <w:r>
        <w:t xml:space="preserve"> 1: A </w:t>
      </w:r>
      <w:r w:rsidR="00067403">
        <w:t>new subtribe</w:t>
      </w:r>
      <w:r>
        <w:t xml:space="preserve"> — The </w:t>
      </w:r>
      <w:proofErr w:type="spellStart"/>
      <w:r>
        <w:t>Hydnophytinae</w:t>
      </w:r>
      <w:proofErr w:type="spellEnd"/>
      <w:r>
        <w:t xml:space="preserve">. </w:t>
      </w:r>
      <w:proofErr w:type="spellStart"/>
      <w:r>
        <w:rPr>
          <w:i/>
          <w:iCs/>
        </w:rPr>
        <w:t>Blumea</w:t>
      </w:r>
      <w:proofErr w:type="spellEnd"/>
      <w:r>
        <w:t xml:space="preserve">, </w:t>
      </w:r>
      <w:r>
        <w:rPr>
          <w:i/>
          <w:iCs/>
        </w:rPr>
        <w:t>36</w:t>
      </w:r>
      <w:r>
        <w:t xml:space="preserve">(1), 1–20. </w:t>
      </w:r>
    </w:p>
    <w:p w14:paraId="000001D6" w14:textId="64BA4538" w:rsidR="00E420E3" w:rsidRDefault="008E5528" w:rsidP="004441D4">
      <w:pPr>
        <w:ind w:left="567" w:hanging="567"/>
      </w:pPr>
      <w:r>
        <w:t>Huxley, C.R.</w:t>
      </w:r>
      <w:r w:rsidR="00A45624">
        <w:t>,</w:t>
      </w:r>
      <w:r>
        <w:t xml:space="preserve"> and Jebb, M.H.P. (1991b). The tuberous epiphytes of the </w:t>
      </w:r>
      <w:proofErr w:type="spellStart"/>
      <w:r>
        <w:t>Rubiaceae</w:t>
      </w:r>
      <w:proofErr w:type="spellEnd"/>
      <w:r>
        <w:t xml:space="preserve"> 2: The </w:t>
      </w:r>
      <w:r w:rsidR="00067403">
        <w:t>new genus</w:t>
      </w:r>
      <w:r>
        <w:t xml:space="preserve"> </w:t>
      </w:r>
      <w:proofErr w:type="spellStart"/>
      <w:r>
        <w:rPr>
          <w:i/>
          <w:iCs/>
        </w:rPr>
        <w:t>Anthorrhiza</w:t>
      </w:r>
      <w:proofErr w:type="spellEnd"/>
      <w:r>
        <w:t xml:space="preserve">. </w:t>
      </w:r>
      <w:proofErr w:type="spellStart"/>
      <w:r>
        <w:rPr>
          <w:i/>
          <w:iCs/>
        </w:rPr>
        <w:t>Blumea</w:t>
      </w:r>
      <w:proofErr w:type="spellEnd"/>
      <w:r>
        <w:t xml:space="preserve">, </w:t>
      </w:r>
      <w:r>
        <w:rPr>
          <w:i/>
          <w:iCs/>
        </w:rPr>
        <w:t>36</w:t>
      </w:r>
      <w:r>
        <w:t xml:space="preserve">(1), 21–41. </w:t>
      </w:r>
    </w:p>
    <w:p w14:paraId="000001D7" w14:textId="34CAEF37" w:rsidR="00E420E3" w:rsidRDefault="008E5528" w:rsidP="004441D4">
      <w:pPr>
        <w:ind w:left="567" w:hanging="567"/>
      </w:pPr>
      <w:r>
        <w:t>Huxley, C.R.</w:t>
      </w:r>
      <w:r w:rsidR="00A45624">
        <w:t>,</w:t>
      </w:r>
      <w:r>
        <w:t xml:space="preserve"> and Jebb, M.H.P. (1993a). The tuberous epiphytes of the </w:t>
      </w:r>
      <w:proofErr w:type="spellStart"/>
      <w:r>
        <w:t>Rubiaceae</w:t>
      </w:r>
      <w:proofErr w:type="spellEnd"/>
      <w:r>
        <w:t xml:space="preserve"> 5: A </w:t>
      </w:r>
      <w:r w:rsidR="00067403">
        <w:t>revision of</w:t>
      </w:r>
      <w:r>
        <w:t xml:space="preserve"> </w:t>
      </w:r>
      <w:proofErr w:type="spellStart"/>
      <w:r>
        <w:t>Myrmecodia</w:t>
      </w:r>
      <w:proofErr w:type="spellEnd"/>
      <w:r>
        <w:t xml:space="preserve">. </w:t>
      </w:r>
      <w:proofErr w:type="spellStart"/>
      <w:r>
        <w:rPr>
          <w:i/>
          <w:iCs/>
        </w:rPr>
        <w:t>Blumea</w:t>
      </w:r>
      <w:proofErr w:type="spellEnd"/>
      <w:r>
        <w:rPr>
          <w:i/>
          <w:iCs/>
        </w:rPr>
        <w:t>, 37</w:t>
      </w:r>
      <w:r>
        <w:t xml:space="preserve">(2), 271-334. </w:t>
      </w:r>
    </w:p>
    <w:p w14:paraId="000001D8" w14:textId="267ED4B3" w:rsidR="00E420E3" w:rsidRDefault="008E5528" w:rsidP="004441D4">
      <w:pPr>
        <w:ind w:left="567" w:hanging="567"/>
      </w:pPr>
      <w:r>
        <w:t>Huxley, C.R.</w:t>
      </w:r>
      <w:r w:rsidR="00A45624">
        <w:t>,</w:t>
      </w:r>
      <w:r>
        <w:t xml:space="preserve"> and Jebb, M.H.P. (1993b). The tuberous epiphytes of the </w:t>
      </w:r>
      <w:proofErr w:type="spellStart"/>
      <w:r>
        <w:t>Rubiaceae</w:t>
      </w:r>
      <w:proofErr w:type="spellEnd"/>
      <w:r>
        <w:t xml:space="preserve"> 6: </w:t>
      </w:r>
      <w:r w:rsidR="00067403">
        <w:t>A taxonomic</w:t>
      </w:r>
      <w:r>
        <w:t xml:space="preserve"> history of the </w:t>
      </w:r>
      <w:proofErr w:type="spellStart"/>
      <w:r>
        <w:t>Hydnophytinae</w:t>
      </w:r>
      <w:proofErr w:type="spellEnd"/>
      <w:r>
        <w:t xml:space="preserve">. </w:t>
      </w:r>
      <w:proofErr w:type="spellStart"/>
      <w:r>
        <w:rPr>
          <w:i/>
          <w:iCs/>
        </w:rPr>
        <w:t>Blumea</w:t>
      </w:r>
      <w:proofErr w:type="spellEnd"/>
      <w:r>
        <w:rPr>
          <w:i/>
          <w:iCs/>
        </w:rPr>
        <w:t>, 37</w:t>
      </w:r>
      <w:r>
        <w:t xml:space="preserve">(2), 335–340. </w:t>
      </w:r>
    </w:p>
    <w:p w14:paraId="000001D9" w14:textId="633831D4" w:rsidR="00E420E3" w:rsidRDefault="008E5528" w:rsidP="004441D4">
      <w:pPr>
        <w:ind w:left="567" w:hanging="567"/>
      </w:pPr>
      <w:r>
        <w:t xml:space="preserve">Janzen, D.H. (1974). Epiphytic myrmecophytes in Sarawak: mutualism through the feeding </w:t>
      </w:r>
      <w:r w:rsidR="00067403">
        <w:t>of plants</w:t>
      </w:r>
      <w:r>
        <w:t xml:space="preserve"> by ants. </w:t>
      </w:r>
      <w:proofErr w:type="spellStart"/>
      <w:r>
        <w:rPr>
          <w:i/>
          <w:iCs/>
        </w:rPr>
        <w:t>Biotropica</w:t>
      </w:r>
      <w:proofErr w:type="spellEnd"/>
      <w:r>
        <w:t xml:space="preserve">, </w:t>
      </w:r>
      <w:r>
        <w:rPr>
          <w:i/>
          <w:iCs/>
        </w:rPr>
        <w:t>6</w:t>
      </w:r>
      <w:r>
        <w:t xml:space="preserve">(4), 237-259. </w:t>
      </w:r>
    </w:p>
    <w:p w14:paraId="000001DB" w14:textId="065C484C" w:rsidR="00E420E3" w:rsidRDefault="008E5528" w:rsidP="00F86F3C">
      <w:pPr>
        <w:ind w:left="567" w:hanging="567"/>
      </w:pPr>
      <w:r>
        <w:t xml:space="preserve">Jebb, M.H.P. (1991). An account of the </w:t>
      </w:r>
      <w:proofErr w:type="spellStart"/>
      <w:r>
        <w:t>Rubiaceae</w:t>
      </w:r>
      <w:proofErr w:type="spellEnd"/>
      <w:r>
        <w:t xml:space="preserve"> of the </w:t>
      </w:r>
      <w:proofErr w:type="spellStart"/>
      <w:r>
        <w:t>Hydnophytinae</w:t>
      </w:r>
      <w:proofErr w:type="spellEnd"/>
      <w:r>
        <w:t xml:space="preserve">. </w:t>
      </w:r>
      <w:proofErr w:type="spellStart"/>
      <w:r>
        <w:rPr>
          <w:i/>
          <w:iCs/>
        </w:rPr>
        <w:t>Blumea</w:t>
      </w:r>
      <w:proofErr w:type="spellEnd"/>
      <w:r>
        <w:t xml:space="preserve">, </w:t>
      </w:r>
      <w:r>
        <w:rPr>
          <w:i/>
          <w:iCs/>
        </w:rPr>
        <w:t>36</w:t>
      </w:r>
      <w:r>
        <w:t>, 1–61.</w:t>
      </w:r>
    </w:p>
    <w:p w14:paraId="000001DC" w14:textId="0F4A3DE5" w:rsidR="00E420E3" w:rsidRDefault="008E5528" w:rsidP="004441D4">
      <w:pPr>
        <w:ind w:left="567" w:hanging="567"/>
      </w:pPr>
      <w:r>
        <w:t>Jebb, M.H.P.</w:t>
      </w:r>
      <w:r w:rsidR="00A45624">
        <w:t>,</w:t>
      </w:r>
      <w:r>
        <w:t xml:space="preserve"> and Huxley, C.R. (2019). The tuberous epiphytes of the </w:t>
      </w:r>
      <w:proofErr w:type="spellStart"/>
      <w:r>
        <w:t>Rubiaceae</w:t>
      </w:r>
      <w:proofErr w:type="spellEnd"/>
      <w:r>
        <w:t xml:space="preserve"> 7: a </w:t>
      </w:r>
      <w:r w:rsidR="00067403">
        <w:t>revision of</w:t>
      </w:r>
      <w:r>
        <w:t xml:space="preserve"> the genus </w:t>
      </w:r>
      <w:proofErr w:type="spellStart"/>
      <w:r>
        <w:t>Hydnophytum</w:t>
      </w:r>
      <w:proofErr w:type="spellEnd"/>
      <w:r>
        <w:t xml:space="preserve">. </w:t>
      </w:r>
      <w:proofErr w:type="spellStart"/>
      <w:r>
        <w:rPr>
          <w:i/>
          <w:iCs/>
        </w:rPr>
        <w:t>Blumea</w:t>
      </w:r>
      <w:proofErr w:type="spellEnd"/>
      <w:r>
        <w:t xml:space="preserve">, </w:t>
      </w:r>
      <w:r>
        <w:rPr>
          <w:i/>
          <w:iCs/>
        </w:rPr>
        <w:t>64</w:t>
      </w:r>
      <w:r>
        <w:t xml:space="preserve">(1), 23-91. </w:t>
      </w:r>
    </w:p>
    <w:p w14:paraId="000001DD" w14:textId="6CC21357" w:rsidR="00E420E3" w:rsidRDefault="008E5528" w:rsidP="004441D4">
      <w:pPr>
        <w:ind w:left="567" w:hanging="567"/>
      </w:pPr>
      <w:r>
        <w:lastRenderedPageBreak/>
        <w:t>Kamp, L., Hartung, J., Mast, B.</w:t>
      </w:r>
      <w:r w:rsidR="00A45624">
        <w:t>,</w:t>
      </w:r>
      <w:r>
        <w:t xml:space="preserve"> and Graeff-</w:t>
      </w:r>
      <w:proofErr w:type="spellStart"/>
      <w:r>
        <w:t>Hönninger</w:t>
      </w:r>
      <w:proofErr w:type="spellEnd"/>
      <w:r>
        <w:t xml:space="preserve">, S. (2019). Impact of </w:t>
      </w:r>
      <w:r w:rsidR="00067403">
        <w:t>nitrogen fertilization</w:t>
      </w:r>
      <w:r>
        <w:t xml:space="preserve"> on tuber yield, sugar composition, and nitrogen uptake of two </w:t>
      </w:r>
      <w:proofErr w:type="spellStart"/>
      <w:r w:rsidR="00067403">
        <w:t>yacon</w:t>
      </w:r>
      <w:proofErr w:type="spellEnd"/>
      <w:r w:rsidR="00067403">
        <w:t xml:space="preserve"> (</w:t>
      </w:r>
      <w:proofErr w:type="spellStart"/>
      <w:r w:rsidR="003252E9">
        <w:t>S</w:t>
      </w:r>
      <w:r>
        <w:t>mallanthus</w:t>
      </w:r>
      <w:proofErr w:type="spellEnd"/>
      <w:r>
        <w:t xml:space="preserve"> </w:t>
      </w:r>
      <w:proofErr w:type="spellStart"/>
      <w:r>
        <w:t>sonchifolius</w:t>
      </w:r>
      <w:proofErr w:type="spellEnd"/>
      <w:r>
        <w:t xml:space="preserve"> Poepp. and Endl.) genotypes. </w:t>
      </w:r>
      <w:r>
        <w:rPr>
          <w:i/>
          <w:iCs/>
        </w:rPr>
        <w:t>Agronomy, 9</w:t>
      </w:r>
      <w:r>
        <w:t xml:space="preserve">(3), 151. </w:t>
      </w:r>
    </w:p>
    <w:p w14:paraId="000001DE" w14:textId="260698EC" w:rsidR="00E420E3" w:rsidRDefault="008E5528" w:rsidP="004441D4">
      <w:pPr>
        <w:ind w:left="567" w:hanging="567"/>
      </w:pPr>
      <w:r>
        <w:t xml:space="preserve">Kiers, E.T., Duhamel, M., Beesetty, Y., Mensah, J.A., Franken, O., Verbruggen, E., </w:t>
      </w:r>
      <w:r w:rsidR="00067403">
        <w:t>Fellbaum, C.R.</w:t>
      </w:r>
      <w:r>
        <w:t xml:space="preserve">, Kowalchuk, G.A., Hart, M.M., Bago, A., Palmer, T.M., West, </w:t>
      </w:r>
      <w:r w:rsidR="003252E9">
        <w:t>S.A.,</w:t>
      </w:r>
      <w:r w:rsidR="00067403">
        <w:t xml:space="preserve"> </w:t>
      </w:r>
      <w:proofErr w:type="spellStart"/>
      <w:r w:rsidR="00067403">
        <w:t>Vandenkoornhuyse</w:t>
      </w:r>
      <w:proofErr w:type="spellEnd"/>
      <w:r>
        <w:t xml:space="preserve"> P., Jansa, J.</w:t>
      </w:r>
      <w:r w:rsidR="00A45624">
        <w:t>,</w:t>
      </w:r>
      <w:r>
        <w:t xml:space="preserve"> and </w:t>
      </w:r>
      <w:proofErr w:type="spellStart"/>
      <w:r>
        <w:t>Bücking</w:t>
      </w:r>
      <w:proofErr w:type="spellEnd"/>
      <w:r>
        <w:t xml:space="preserve">, H. (2011). Reciprocal rewards </w:t>
      </w:r>
      <w:r w:rsidR="00067403">
        <w:t>stabilize cooperation</w:t>
      </w:r>
      <w:r>
        <w:t xml:space="preserve"> in the mycorrhizal symbiosis. </w:t>
      </w:r>
      <w:r>
        <w:rPr>
          <w:i/>
          <w:iCs/>
        </w:rPr>
        <w:t>Science</w:t>
      </w:r>
      <w:r>
        <w:t xml:space="preserve">, </w:t>
      </w:r>
      <w:r>
        <w:rPr>
          <w:i/>
          <w:iCs/>
        </w:rPr>
        <w:t>333</w:t>
      </w:r>
      <w:r>
        <w:t xml:space="preserve">(6044), 880–882. </w:t>
      </w:r>
    </w:p>
    <w:p w14:paraId="000001DF" w14:textId="5755F419" w:rsidR="00E420E3" w:rsidRDefault="008E5528" w:rsidP="004441D4">
      <w:pPr>
        <w:ind w:left="567" w:hanging="567"/>
      </w:pPr>
      <w:r>
        <w:t>Kiers, E.T., Rousseau, R.A., West, S.A.</w:t>
      </w:r>
      <w:r w:rsidR="00A45624">
        <w:t>,</w:t>
      </w:r>
      <w:r>
        <w:t xml:space="preserve"> and Denison, R.F. (2003). Host sanctions and </w:t>
      </w:r>
      <w:r w:rsidR="00067403">
        <w:t>the legume</w:t>
      </w:r>
      <w:r>
        <w:t xml:space="preserve">–rhizobium mutualism. </w:t>
      </w:r>
      <w:r>
        <w:rPr>
          <w:i/>
          <w:iCs/>
        </w:rPr>
        <w:t>Nature</w:t>
      </w:r>
      <w:r>
        <w:t xml:space="preserve">, </w:t>
      </w:r>
      <w:r>
        <w:rPr>
          <w:i/>
          <w:iCs/>
        </w:rPr>
        <w:t>425</w:t>
      </w:r>
      <w:r>
        <w:t xml:space="preserve">(6953), 78–81. </w:t>
      </w:r>
    </w:p>
    <w:p w14:paraId="000001E0" w14:textId="503DEB24" w:rsidR="00E420E3" w:rsidRDefault="008E5528" w:rsidP="004441D4">
      <w:pPr>
        <w:ind w:left="567" w:hanging="567"/>
      </w:pPr>
      <w:r>
        <w:t xml:space="preserve">Kodama, Y., Suzuki, H., </w:t>
      </w:r>
      <w:proofErr w:type="spellStart"/>
      <w:r>
        <w:t>Dohra</w:t>
      </w:r>
      <w:proofErr w:type="spellEnd"/>
      <w:r>
        <w:t xml:space="preserve">, H., </w:t>
      </w:r>
      <w:proofErr w:type="spellStart"/>
      <w:r>
        <w:t>Sugii</w:t>
      </w:r>
      <w:proofErr w:type="spellEnd"/>
      <w:r>
        <w:t xml:space="preserve">, M., </w:t>
      </w:r>
      <w:proofErr w:type="spellStart"/>
      <w:r>
        <w:t>Kitazume</w:t>
      </w:r>
      <w:proofErr w:type="spellEnd"/>
      <w:r>
        <w:t>, T., Yamaguchi, K., Shigenobu, S.</w:t>
      </w:r>
      <w:r w:rsidR="00067403">
        <w:t>, and</w:t>
      </w:r>
      <w:r>
        <w:t xml:space="preserve"> Fujishima, M. (2014). Comparison of gene expression of </w:t>
      </w:r>
      <w:r>
        <w:rPr>
          <w:i/>
          <w:iCs/>
        </w:rPr>
        <w:t xml:space="preserve">Paramecium </w:t>
      </w:r>
      <w:proofErr w:type="spellStart"/>
      <w:r>
        <w:rPr>
          <w:i/>
          <w:iCs/>
        </w:rPr>
        <w:t>bursaria</w:t>
      </w:r>
      <w:proofErr w:type="spellEnd"/>
      <w:r>
        <w:rPr>
          <w:i/>
          <w:iCs/>
        </w:rPr>
        <w:t xml:space="preserve"> </w:t>
      </w:r>
      <w:r w:rsidR="00067403">
        <w:t>with and</w:t>
      </w:r>
      <w:r>
        <w:t xml:space="preserve"> without </w:t>
      </w:r>
      <w:r>
        <w:rPr>
          <w:i/>
          <w:iCs/>
        </w:rPr>
        <w:t xml:space="preserve">Chlorella variabilis </w:t>
      </w:r>
      <w:r>
        <w:t xml:space="preserve">symbionts. </w:t>
      </w:r>
      <w:r>
        <w:rPr>
          <w:i/>
          <w:iCs/>
        </w:rPr>
        <w:t>BMC Genomics</w:t>
      </w:r>
      <w:r>
        <w:t xml:space="preserve">, </w:t>
      </w:r>
      <w:r>
        <w:rPr>
          <w:i/>
          <w:iCs/>
        </w:rPr>
        <w:t>15</w:t>
      </w:r>
      <w:r>
        <w:t xml:space="preserve">, 183. </w:t>
      </w:r>
    </w:p>
    <w:p w14:paraId="000001E1" w14:textId="342F1A61" w:rsidR="00E420E3" w:rsidRDefault="008E5528" w:rsidP="004441D4">
      <w:pPr>
        <w:ind w:left="567" w:hanging="567"/>
      </w:pPr>
      <w:r>
        <w:t xml:space="preserve">Lach, L. (2003). Invasive ants: Unwanted partners in ant-plant interactions? </w:t>
      </w:r>
      <w:r>
        <w:rPr>
          <w:i/>
          <w:iCs/>
        </w:rPr>
        <w:t xml:space="preserve">Annals of </w:t>
      </w:r>
      <w:r w:rsidR="00067403">
        <w:rPr>
          <w:i/>
          <w:iCs/>
        </w:rPr>
        <w:t>the Missouri</w:t>
      </w:r>
      <w:r>
        <w:rPr>
          <w:i/>
          <w:iCs/>
        </w:rPr>
        <w:t xml:space="preserve"> Botanical Garden</w:t>
      </w:r>
      <w:r>
        <w:t xml:space="preserve">, </w:t>
      </w:r>
      <w:r>
        <w:rPr>
          <w:i/>
          <w:iCs/>
        </w:rPr>
        <w:t>90</w:t>
      </w:r>
      <w:r>
        <w:t xml:space="preserve">(1), 91–108. </w:t>
      </w:r>
    </w:p>
    <w:p w14:paraId="000001E2" w14:textId="5B20DB52" w:rsidR="00E420E3" w:rsidRDefault="008E5528" w:rsidP="004441D4">
      <w:pPr>
        <w:ind w:left="567" w:hanging="567"/>
      </w:pPr>
      <w:r>
        <w:t>Lee, I.Y., Park, S.J., Seo, J.H., Sim, S., Kim, J H., Gwon, Y.G.</w:t>
      </w:r>
      <w:r w:rsidR="00A45624">
        <w:t>,</w:t>
      </w:r>
      <w:r>
        <w:t xml:space="preserve"> and Yong, T.S. (2017). </w:t>
      </w:r>
      <w:r w:rsidR="00067403">
        <w:t>Indoor occurrence</w:t>
      </w:r>
      <w:r>
        <w:t xml:space="preserve"> of the ghost ant </w:t>
      </w:r>
      <w:r>
        <w:rPr>
          <w:i/>
          <w:iCs/>
        </w:rPr>
        <w:t xml:space="preserve">Tapinoma </w:t>
      </w:r>
      <w:proofErr w:type="spellStart"/>
      <w:r>
        <w:rPr>
          <w:i/>
          <w:iCs/>
        </w:rPr>
        <w:t>melanocephalum</w:t>
      </w:r>
      <w:proofErr w:type="spellEnd"/>
      <w:r>
        <w:rPr>
          <w:i/>
          <w:iCs/>
        </w:rPr>
        <w:t xml:space="preserve"> </w:t>
      </w:r>
      <w:r>
        <w:t xml:space="preserve">(Hymenoptera: Formicidae) </w:t>
      </w:r>
      <w:r w:rsidR="0022628B">
        <w:t>in</w:t>
      </w:r>
      <w:r w:rsidR="00067403">
        <w:t xml:space="preserve"> </w:t>
      </w:r>
      <w:r w:rsidR="0022628B">
        <w:t>urban homes</w:t>
      </w:r>
      <w:r>
        <w:t xml:space="preserve"> in Korea. </w:t>
      </w:r>
      <w:r>
        <w:rPr>
          <w:i/>
          <w:iCs/>
        </w:rPr>
        <w:t>The Korean Journal of Parasitology</w:t>
      </w:r>
      <w:r>
        <w:t xml:space="preserve">, </w:t>
      </w:r>
      <w:r>
        <w:rPr>
          <w:i/>
          <w:iCs/>
        </w:rPr>
        <w:t>55</w:t>
      </w:r>
      <w:r>
        <w:t xml:space="preserve">(2), 225–228. </w:t>
      </w:r>
    </w:p>
    <w:p w14:paraId="000001E3" w14:textId="252D8685" w:rsidR="00E420E3" w:rsidRDefault="008E5528" w:rsidP="004441D4">
      <w:pPr>
        <w:ind w:left="567" w:hanging="567"/>
      </w:pPr>
      <w:r>
        <w:t xml:space="preserve">Lenth, R.V. (2024). </w:t>
      </w:r>
      <w:proofErr w:type="spellStart"/>
      <w:r w:rsidR="00F86F3C">
        <w:t>e</w:t>
      </w:r>
      <w:r>
        <w:t>mmeans</w:t>
      </w:r>
      <w:proofErr w:type="spellEnd"/>
      <w:r>
        <w:t xml:space="preserve">: estimated marginal means, aka least-squares means (R </w:t>
      </w:r>
      <w:r w:rsidR="00067403">
        <w:t>package version</w:t>
      </w:r>
      <w:r>
        <w:t xml:space="preserve"> 1.8.7). Retrieved from https://CRAN.R-project.org/package=emmeans </w:t>
      </w:r>
    </w:p>
    <w:p w14:paraId="000001E4" w14:textId="1760D059" w:rsidR="00E420E3" w:rsidRDefault="008E5528" w:rsidP="004441D4">
      <w:pPr>
        <w:ind w:left="567" w:hanging="567"/>
      </w:pPr>
      <w:r>
        <w:t>Maeyama, T.</w:t>
      </w:r>
      <w:r w:rsidR="00A45624">
        <w:t>,</w:t>
      </w:r>
      <w:r>
        <w:t xml:space="preserve"> and Matsumoto, T. (2000). Colonial system of </w:t>
      </w:r>
      <w:proofErr w:type="spellStart"/>
      <w:r>
        <w:rPr>
          <w:i/>
          <w:iCs/>
        </w:rPr>
        <w:t>Philidris</w:t>
      </w:r>
      <w:proofErr w:type="spellEnd"/>
      <w:r>
        <w:rPr>
          <w:i/>
          <w:iCs/>
        </w:rPr>
        <w:t xml:space="preserve"> </w:t>
      </w:r>
      <w:r>
        <w:t>ants (</w:t>
      </w:r>
      <w:r w:rsidR="00067403">
        <w:t>Formicidae; Dolichoderinae</w:t>
      </w:r>
      <w:r>
        <w:t xml:space="preserve">) occupying epiphytic myrmecophytes in a tropical mangrove forest.  </w:t>
      </w:r>
      <w:r>
        <w:rPr>
          <w:i/>
          <w:iCs/>
        </w:rPr>
        <w:t>Tropical Ecology</w:t>
      </w:r>
      <w:r>
        <w:t xml:space="preserve">, </w:t>
      </w:r>
      <w:r>
        <w:rPr>
          <w:i/>
          <w:iCs/>
        </w:rPr>
        <w:t>41</w:t>
      </w:r>
      <w:r>
        <w:t xml:space="preserve">(2), 209-216. </w:t>
      </w:r>
    </w:p>
    <w:p w14:paraId="000001E5" w14:textId="50BD5628" w:rsidR="00E420E3" w:rsidRPr="003D71C2" w:rsidRDefault="008E5528" w:rsidP="004441D4">
      <w:pPr>
        <w:ind w:left="567" w:hanging="567"/>
        <w:rPr>
          <w:lang w:val="pt-BR"/>
        </w:rPr>
      </w:pPr>
      <w:r>
        <w:t>Mandel, M.J.</w:t>
      </w:r>
      <w:r w:rsidR="00A45624">
        <w:t>,</w:t>
      </w:r>
      <w:r>
        <w:t xml:space="preserve"> and Dunn, A.K. (2016). Impact and influence of the natural </w:t>
      </w:r>
      <w:r>
        <w:rPr>
          <w:i/>
          <w:iCs/>
        </w:rPr>
        <w:t xml:space="preserve">Vibrio–squid </w:t>
      </w:r>
      <w:r>
        <w:t xml:space="preserve">symbiosis in understanding bacterial–animal interactions. </w:t>
      </w:r>
      <w:r w:rsidRPr="003D71C2">
        <w:rPr>
          <w:i/>
          <w:iCs/>
          <w:lang w:val="pt-BR"/>
        </w:rPr>
        <w:t>Frontiers in Microbiology</w:t>
      </w:r>
      <w:r w:rsidRPr="003D71C2">
        <w:rPr>
          <w:lang w:val="pt-BR"/>
        </w:rPr>
        <w:t xml:space="preserve">, </w:t>
      </w:r>
      <w:r w:rsidRPr="003D71C2">
        <w:rPr>
          <w:i/>
          <w:iCs/>
          <w:lang w:val="pt-BR"/>
        </w:rPr>
        <w:t>7</w:t>
      </w:r>
      <w:r w:rsidRPr="003D71C2">
        <w:rPr>
          <w:lang w:val="pt-BR"/>
        </w:rPr>
        <w:t xml:space="preserve">,  1982. </w:t>
      </w:r>
    </w:p>
    <w:p w14:paraId="000001E7" w14:textId="53BFB8BC" w:rsidR="00E420E3" w:rsidRDefault="008E5528" w:rsidP="00F86F3C">
      <w:pPr>
        <w:ind w:left="567" w:hanging="567"/>
      </w:pPr>
      <w:r w:rsidRPr="003D71C2">
        <w:rPr>
          <w:lang w:val="pt-BR"/>
        </w:rPr>
        <w:t>Marcos de Leão, R., Hülse, G., de Souza, S.</w:t>
      </w:r>
      <w:r w:rsidR="00A45624">
        <w:rPr>
          <w:lang w:val="pt-BR"/>
        </w:rPr>
        <w:t>,</w:t>
      </w:r>
      <w:r w:rsidR="00F86F3C">
        <w:rPr>
          <w:lang w:val="pt-BR"/>
        </w:rPr>
        <w:t xml:space="preserve"> and</w:t>
      </w:r>
      <w:r w:rsidRPr="003D71C2">
        <w:rPr>
          <w:lang w:val="pt-BR"/>
        </w:rPr>
        <w:t xml:space="preserve"> Benedito Dos Santos, T. (2020). </w:t>
      </w:r>
      <w:r>
        <w:t xml:space="preserve">An </w:t>
      </w:r>
      <w:r w:rsidR="00067403">
        <w:t>in-silico</w:t>
      </w:r>
      <w:r>
        <w:t xml:space="preserve"> </w:t>
      </w:r>
      <w:r w:rsidR="00067403">
        <w:t>data mining</w:t>
      </w:r>
      <w:r>
        <w:t xml:space="preserve"> of the ammonium transporter gene family in Ananas comosus L. </w:t>
      </w:r>
      <w:proofErr w:type="gramStart"/>
      <w:r>
        <w:rPr>
          <w:i/>
          <w:iCs/>
        </w:rPr>
        <w:t xml:space="preserve">Colloquia  </w:t>
      </w:r>
      <w:proofErr w:type="spellStart"/>
      <w:r>
        <w:rPr>
          <w:i/>
          <w:iCs/>
        </w:rPr>
        <w:t>Agrariae</w:t>
      </w:r>
      <w:proofErr w:type="spellEnd"/>
      <w:proofErr w:type="gramEnd"/>
      <w:r>
        <w:rPr>
          <w:i/>
          <w:iCs/>
        </w:rPr>
        <w:t xml:space="preserve"> 16</w:t>
      </w:r>
      <w:r>
        <w:t>,10–24.</w:t>
      </w:r>
    </w:p>
    <w:p w14:paraId="000001E8" w14:textId="0EE2E8B4" w:rsidR="00E420E3" w:rsidRDefault="008E5528" w:rsidP="004441D4">
      <w:pPr>
        <w:ind w:left="567" w:hanging="567"/>
      </w:pPr>
      <w:r>
        <w:t xml:space="preserve">Martin, M.M. (1970). The biochemical basis of the fungus-attine ant symbiosis. </w:t>
      </w:r>
      <w:r w:rsidR="00067403">
        <w:rPr>
          <w:i/>
          <w:iCs/>
        </w:rPr>
        <w:t>Science</w:t>
      </w:r>
      <w:r w:rsidR="00067403">
        <w:t>, 169</w:t>
      </w:r>
      <w:r>
        <w:t xml:space="preserve">(3940), 16–20. </w:t>
      </w:r>
    </w:p>
    <w:p w14:paraId="000001E9" w14:textId="28C68360" w:rsidR="00E420E3" w:rsidRDefault="008E5528" w:rsidP="004441D4">
      <w:pPr>
        <w:ind w:left="567" w:hanging="567"/>
      </w:pPr>
      <w:r>
        <w:lastRenderedPageBreak/>
        <w:t xml:space="preserve">Miehe, H. (1911). </w:t>
      </w:r>
      <w:proofErr w:type="spellStart"/>
      <w:r>
        <w:t>Javanische</w:t>
      </w:r>
      <w:proofErr w:type="spellEnd"/>
      <w:r>
        <w:t xml:space="preserve"> </w:t>
      </w:r>
      <w:proofErr w:type="spellStart"/>
      <w:r>
        <w:t>Studien</w:t>
      </w:r>
      <w:proofErr w:type="spellEnd"/>
      <w:r>
        <w:t xml:space="preserve"> II. </w:t>
      </w:r>
      <w:proofErr w:type="spellStart"/>
      <w:r>
        <w:t>Untersuchungen</w:t>
      </w:r>
      <w:proofErr w:type="spellEnd"/>
      <w:r>
        <w:t xml:space="preserve"> </w:t>
      </w:r>
      <w:proofErr w:type="spellStart"/>
      <w:r>
        <w:t>über</w:t>
      </w:r>
      <w:proofErr w:type="spellEnd"/>
      <w:r>
        <w:t xml:space="preserve"> </w:t>
      </w:r>
      <w:r w:rsidR="00067403">
        <w:t xml:space="preserve">die </w:t>
      </w:r>
      <w:proofErr w:type="spellStart"/>
      <w:r w:rsidR="00067403">
        <w:t>Javanische</w:t>
      </w:r>
      <w:proofErr w:type="spellEnd"/>
      <w:r>
        <w:t xml:space="preserve"> </w:t>
      </w:r>
      <w:proofErr w:type="spellStart"/>
      <w:r>
        <w:rPr>
          <w:i/>
          <w:iCs/>
        </w:rPr>
        <w:t>Myrmecodia</w:t>
      </w:r>
      <w:proofErr w:type="spellEnd"/>
      <w:r>
        <w:t xml:space="preserve">. </w:t>
      </w:r>
      <w:proofErr w:type="spellStart"/>
      <w:r>
        <w:rPr>
          <w:i/>
          <w:iCs/>
        </w:rPr>
        <w:t>Sächsische</w:t>
      </w:r>
      <w:proofErr w:type="spellEnd"/>
      <w:r>
        <w:rPr>
          <w:i/>
          <w:iCs/>
        </w:rPr>
        <w:t xml:space="preserve"> Akademie der </w:t>
      </w:r>
      <w:proofErr w:type="spellStart"/>
      <w:r>
        <w:rPr>
          <w:i/>
          <w:iCs/>
        </w:rPr>
        <w:t>Wissenschaften</w:t>
      </w:r>
      <w:proofErr w:type="spellEnd"/>
      <w:r>
        <w:rPr>
          <w:i/>
          <w:iCs/>
        </w:rPr>
        <w:t xml:space="preserve"> </w:t>
      </w:r>
      <w:proofErr w:type="spellStart"/>
      <w:r>
        <w:rPr>
          <w:i/>
          <w:iCs/>
        </w:rPr>
        <w:t>zu</w:t>
      </w:r>
      <w:proofErr w:type="spellEnd"/>
      <w:r>
        <w:rPr>
          <w:i/>
          <w:iCs/>
        </w:rPr>
        <w:t xml:space="preserve"> Leipzig, 32</w:t>
      </w:r>
      <w:r>
        <w:t xml:space="preserve">, 312– 361. </w:t>
      </w:r>
    </w:p>
    <w:p w14:paraId="000001EA" w14:textId="0DA06315" w:rsidR="00E420E3" w:rsidRDefault="008E5528" w:rsidP="004441D4">
      <w:pPr>
        <w:ind w:left="567" w:hanging="567"/>
      </w:pPr>
      <w:r>
        <w:t>Millard, P. (1986). The nitrogen content of potato (</w:t>
      </w:r>
      <w:r>
        <w:rPr>
          <w:i/>
          <w:iCs/>
        </w:rPr>
        <w:t xml:space="preserve">Solanum tuberosum </w:t>
      </w:r>
      <w:r>
        <w:t xml:space="preserve">L.) tubers in relation </w:t>
      </w:r>
      <w:r w:rsidR="00067403">
        <w:t>to nitrogen</w:t>
      </w:r>
      <w:r>
        <w:t xml:space="preserve"> application—the effect on amino acid composition and yields. </w:t>
      </w:r>
      <w:r>
        <w:rPr>
          <w:i/>
          <w:iCs/>
        </w:rPr>
        <w:t xml:space="preserve">Journal of </w:t>
      </w:r>
      <w:r w:rsidR="00067403">
        <w:rPr>
          <w:i/>
          <w:iCs/>
        </w:rPr>
        <w:t>the Science</w:t>
      </w:r>
      <w:r>
        <w:rPr>
          <w:i/>
          <w:iCs/>
        </w:rPr>
        <w:t xml:space="preserve"> of Food and Agriculture</w:t>
      </w:r>
      <w:r>
        <w:t xml:space="preserve">, </w:t>
      </w:r>
      <w:r>
        <w:rPr>
          <w:i/>
          <w:iCs/>
        </w:rPr>
        <w:t>37</w:t>
      </w:r>
      <w:r>
        <w:t xml:space="preserve">(2), 107-114. </w:t>
      </w:r>
    </w:p>
    <w:p w14:paraId="000001EB" w14:textId="41B47D00" w:rsidR="00E420E3" w:rsidRDefault="008E5528" w:rsidP="004441D4">
      <w:pPr>
        <w:ind w:left="567" w:hanging="567"/>
      </w:pPr>
      <w:r>
        <w:t>Ness, J.</w:t>
      </w:r>
      <w:r w:rsidR="00A45624">
        <w:t>,</w:t>
      </w:r>
      <w:r>
        <w:t xml:space="preserve"> and Bronstein, J.L. (2004). The effects of invasive ants on prospective </w:t>
      </w:r>
      <w:r w:rsidR="00067403">
        <w:t>ant mutualists</w:t>
      </w:r>
      <w:r>
        <w:t xml:space="preserve">. </w:t>
      </w:r>
      <w:r>
        <w:rPr>
          <w:i/>
          <w:iCs/>
        </w:rPr>
        <w:t>Biological Invasions</w:t>
      </w:r>
      <w:r>
        <w:t xml:space="preserve">, </w:t>
      </w:r>
      <w:r>
        <w:rPr>
          <w:i/>
          <w:iCs/>
        </w:rPr>
        <w:t>6</w:t>
      </w:r>
      <w:r>
        <w:t xml:space="preserve">(4), 445–461. </w:t>
      </w:r>
    </w:p>
    <w:p w14:paraId="000001EC" w14:textId="705ACBCB" w:rsidR="00E420E3" w:rsidRDefault="008E5528" w:rsidP="004441D4">
      <w:pPr>
        <w:ind w:left="567" w:hanging="567"/>
      </w:pPr>
      <w:r>
        <w:t>Nyholm, S.V.</w:t>
      </w:r>
      <w:r w:rsidR="00A45624">
        <w:t>,</w:t>
      </w:r>
      <w:r>
        <w:t xml:space="preserve"> and McFall-Ngai, M.J. (2004). The winnowing: establishing the squid–</w:t>
      </w:r>
      <w:r w:rsidR="00067403">
        <w:t>Vibrio symbiosis</w:t>
      </w:r>
      <w:r>
        <w:t xml:space="preserve">. </w:t>
      </w:r>
      <w:r>
        <w:rPr>
          <w:i/>
          <w:iCs/>
        </w:rPr>
        <w:t>Nature Reviews Microbiology</w:t>
      </w:r>
      <w:r>
        <w:t xml:space="preserve">, </w:t>
      </w:r>
      <w:r>
        <w:rPr>
          <w:i/>
          <w:iCs/>
        </w:rPr>
        <w:t>2</w:t>
      </w:r>
      <w:r>
        <w:t xml:space="preserve">(8), 632–642. </w:t>
      </w:r>
    </w:p>
    <w:p w14:paraId="000001ED" w14:textId="1DFC154E" w:rsidR="00E420E3" w:rsidRDefault="008E5528" w:rsidP="004441D4">
      <w:pPr>
        <w:ind w:left="567" w:hanging="567"/>
      </w:pPr>
      <w:r>
        <w:t xml:space="preserve">Oakley, C.A., </w:t>
      </w:r>
      <w:proofErr w:type="spellStart"/>
      <w:r>
        <w:t>Ameismeier</w:t>
      </w:r>
      <w:proofErr w:type="spellEnd"/>
      <w:r>
        <w:t xml:space="preserve">, M.F., Peng, L., Weis, V.M., Grossman, A.R., and Davy, S.K.  (2016). Symbiosis induces widespread changes in the proteome of the model </w:t>
      </w:r>
      <w:r w:rsidR="00067403">
        <w:t>cnidarian Aiptasia</w:t>
      </w:r>
      <w:r>
        <w:t xml:space="preserve">. </w:t>
      </w:r>
      <w:r>
        <w:rPr>
          <w:i/>
          <w:iCs/>
        </w:rPr>
        <w:t>Cellular Microbiology</w:t>
      </w:r>
      <w:r>
        <w:t xml:space="preserve">, </w:t>
      </w:r>
      <w:r>
        <w:rPr>
          <w:i/>
          <w:iCs/>
        </w:rPr>
        <w:t>18</w:t>
      </w:r>
      <w:r>
        <w:t xml:space="preserve">(7), 1009-1023. </w:t>
      </w:r>
    </w:p>
    <w:p w14:paraId="000001EE" w14:textId="35394ECB" w:rsidR="00E420E3" w:rsidRDefault="008E5528" w:rsidP="004441D4">
      <w:pPr>
        <w:ind w:left="567" w:hanging="567"/>
      </w:pPr>
      <w:proofErr w:type="spellStart"/>
      <w:r>
        <w:t>Oyarte</w:t>
      </w:r>
      <w:proofErr w:type="spellEnd"/>
      <w:r>
        <w:t xml:space="preserve"> Galvez, L., </w:t>
      </w:r>
      <w:proofErr w:type="spellStart"/>
      <w:r>
        <w:t>Bisot</w:t>
      </w:r>
      <w:proofErr w:type="spellEnd"/>
      <w:r>
        <w:t xml:space="preserve">, C., </w:t>
      </w:r>
      <w:proofErr w:type="spellStart"/>
      <w:r>
        <w:t>Bourrianne</w:t>
      </w:r>
      <w:proofErr w:type="spellEnd"/>
      <w:r>
        <w:t xml:space="preserve">, P., Cargill, R., Klein, M., van Son, M., van </w:t>
      </w:r>
      <w:proofErr w:type="spellStart"/>
      <w:r>
        <w:t>Krugten</w:t>
      </w:r>
      <w:proofErr w:type="spellEnd"/>
      <w:r>
        <w:t xml:space="preserve">,  J., Caldas, V., Clerc, T., Lin, K.K., Kahane, F., van </w:t>
      </w:r>
      <w:proofErr w:type="spellStart"/>
      <w:r>
        <w:t>Staalduine</w:t>
      </w:r>
      <w:proofErr w:type="spellEnd"/>
      <w:r>
        <w:t xml:space="preserve">, S., Stewart, J.D., Terry,  V., Turcu, B., van </w:t>
      </w:r>
      <w:proofErr w:type="spellStart"/>
      <w:r>
        <w:t>Otterdijk</w:t>
      </w:r>
      <w:proofErr w:type="spellEnd"/>
      <w:r>
        <w:t xml:space="preserve">, S., Babu, A., Kamp, M., Seynen, M., </w:t>
      </w:r>
      <w:proofErr w:type="spellStart"/>
      <w:r>
        <w:t>Steenbeek</w:t>
      </w:r>
      <w:proofErr w:type="spellEnd"/>
      <w:r>
        <w:t xml:space="preserve">, B.,  </w:t>
      </w:r>
      <w:proofErr w:type="spellStart"/>
      <w:r>
        <w:t>Zomerdijk</w:t>
      </w:r>
      <w:proofErr w:type="spellEnd"/>
      <w:r>
        <w:t xml:space="preserve">, J., </w:t>
      </w:r>
      <w:proofErr w:type="spellStart"/>
      <w:r>
        <w:t>Tutucci</w:t>
      </w:r>
      <w:proofErr w:type="spellEnd"/>
      <w:r>
        <w:t xml:space="preserve">, E., Sheldrake, M., Godin, C., </w:t>
      </w:r>
      <w:proofErr w:type="spellStart"/>
      <w:r>
        <w:t>Kokkoris</w:t>
      </w:r>
      <w:proofErr w:type="spellEnd"/>
      <w:r>
        <w:t>, V., Stone, H.A., Kiers,  E.T.</w:t>
      </w:r>
      <w:r w:rsidR="00A45624">
        <w:t>,</w:t>
      </w:r>
      <w:r>
        <w:t xml:space="preserve"> and Shimizu, T.S. (2025). A travelling-wave strategy for plant–fungal trade.  </w:t>
      </w:r>
      <w:r>
        <w:rPr>
          <w:i/>
          <w:iCs/>
        </w:rPr>
        <w:t>Nature</w:t>
      </w:r>
      <w:r>
        <w:t xml:space="preserve">, </w:t>
      </w:r>
      <w:r>
        <w:rPr>
          <w:i/>
          <w:iCs/>
        </w:rPr>
        <w:t>639</w:t>
      </w:r>
      <w:r>
        <w:t xml:space="preserve">, 172–180. </w:t>
      </w:r>
    </w:p>
    <w:p w14:paraId="000001EF" w14:textId="6E0D2A89" w:rsidR="00E420E3" w:rsidRDefault="008E5528" w:rsidP="004441D4">
      <w:pPr>
        <w:ind w:left="567" w:hanging="567"/>
      </w:pPr>
      <w:r>
        <w:t xml:space="preserve">Palmer, T.M., Doak, D.F., Stanton, M.L., Bronstein, J.L., Kiers, E.T., Young, T.P., </w:t>
      </w:r>
      <w:r w:rsidR="00067403">
        <w:t>Goheen, J.R.</w:t>
      </w:r>
      <w:r w:rsidR="00A45624">
        <w:t>,</w:t>
      </w:r>
      <w:r>
        <w:t xml:space="preserve"> and Pringle, R.M. (2010). Synergy of multiple partners, including </w:t>
      </w:r>
      <w:r w:rsidR="00067403">
        <w:t>freeloaders, increases</w:t>
      </w:r>
      <w:r>
        <w:t xml:space="preserve"> host fitness in a multispecies mutualism. </w:t>
      </w:r>
      <w:r w:rsidR="00693E6D" w:rsidRPr="00693E6D">
        <w:rPr>
          <w:i/>
          <w:iCs/>
        </w:rPr>
        <w:t>Proceedings of the National Academy of Sciences of the United States of America</w:t>
      </w:r>
      <w:r>
        <w:rPr>
          <w:i/>
          <w:iCs/>
        </w:rPr>
        <w:t>, 107</w:t>
      </w:r>
      <w:r>
        <w:t>(40</w:t>
      </w:r>
      <w:r w:rsidR="00067403">
        <w:t>), 17234</w:t>
      </w:r>
      <w:r>
        <w:t xml:space="preserve">-17239. </w:t>
      </w:r>
    </w:p>
    <w:p w14:paraId="000001F0" w14:textId="6540F888" w:rsidR="00E420E3" w:rsidRDefault="008E5528" w:rsidP="004441D4">
      <w:pPr>
        <w:ind w:left="567" w:hanging="567"/>
      </w:pPr>
      <w:r>
        <w:t>Philpott, S.M.</w:t>
      </w:r>
      <w:r w:rsidR="00A45624">
        <w:t>,</w:t>
      </w:r>
      <w:r>
        <w:t xml:space="preserve"> and Foster, P.F. (2005) Nest-site limitation in coffee agroecosystems: </w:t>
      </w:r>
      <w:r w:rsidR="00067403">
        <w:t>Artificial nests</w:t>
      </w:r>
      <w:r>
        <w:t xml:space="preserve"> maintain diversity of arboreal ants. </w:t>
      </w:r>
      <w:r>
        <w:rPr>
          <w:i/>
          <w:iCs/>
        </w:rPr>
        <w:t>Ecological Applications</w:t>
      </w:r>
      <w:r>
        <w:t xml:space="preserve">, </w:t>
      </w:r>
      <w:r>
        <w:rPr>
          <w:i/>
          <w:iCs/>
        </w:rPr>
        <w:t>15</w:t>
      </w:r>
      <w:r>
        <w:t xml:space="preserve">, 1478–1485. </w:t>
      </w:r>
    </w:p>
    <w:p w14:paraId="000001F2" w14:textId="6744242E" w:rsidR="00E420E3" w:rsidRDefault="008E5528" w:rsidP="00693E6D">
      <w:pPr>
        <w:ind w:left="567" w:hanging="567"/>
      </w:pPr>
      <w:r>
        <w:t xml:space="preserve">Pu, Y., </w:t>
      </w:r>
      <w:proofErr w:type="spellStart"/>
      <w:r>
        <w:t>Naikatini</w:t>
      </w:r>
      <w:proofErr w:type="spellEnd"/>
      <w:r>
        <w:t>, A., Pérez‐Escobar, O.A., Silber, M., Renner, S.S.</w:t>
      </w:r>
      <w:r w:rsidR="00A45624">
        <w:t>,</w:t>
      </w:r>
      <w:r>
        <w:t xml:space="preserve"> and Chomicki, G. (2021).  Genome‐wide transcriptome signatures of ant-farmed </w:t>
      </w:r>
      <w:proofErr w:type="spellStart"/>
      <w:r>
        <w:rPr>
          <w:i/>
          <w:iCs/>
        </w:rPr>
        <w:t>Squamellaria</w:t>
      </w:r>
      <w:proofErr w:type="spellEnd"/>
      <w:r>
        <w:rPr>
          <w:i/>
          <w:iCs/>
        </w:rPr>
        <w:t xml:space="preserve"> </w:t>
      </w:r>
      <w:r>
        <w:t xml:space="preserve">epiphytes reveal </w:t>
      </w:r>
      <w:r w:rsidR="00067403">
        <w:t>key functions</w:t>
      </w:r>
      <w:r>
        <w:t xml:space="preserve"> in a unique symbiosis. </w:t>
      </w:r>
      <w:r>
        <w:rPr>
          <w:i/>
          <w:iCs/>
        </w:rPr>
        <w:t>Ecology and Evolution</w:t>
      </w:r>
      <w:r>
        <w:t xml:space="preserve">, </w:t>
      </w:r>
      <w:r>
        <w:rPr>
          <w:i/>
          <w:iCs/>
        </w:rPr>
        <w:t>11</w:t>
      </w:r>
      <w:r>
        <w:t>(22), 15882-15895.</w:t>
      </w:r>
    </w:p>
    <w:p w14:paraId="000001F3" w14:textId="24029E6F" w:rsidR="00E420E3" w:rsidRDefault="008E5528" w:rsidP="004441D4">
      <w:pPr>
        <w:ind w:left="567" w:hanging="567"/>
      </w:pPr>
      <w:r>
        <w:t xml:space="preserve">Quek, S.P., Davies, S.J., </w:t>
      </w:r>
      <w:proofErr w:type="spellStart"/>
      <w:r>
        <w:t>Itino</w:t>
      </w:r>
      <w:proofErr w:type="spellEnd"/>
      <w:r>
        <w:t>, T.</w:t>
      </w:r>
      <w:r w:rsidR="00A45624">
        <w:t>,</w:t>
      </w:r>
      <w:r>
        <w:t xml:space="preserve"> and Pierce, N.E. (2004). </w:t>
      </w:r>
      <w:proofErr w:type="spellStart"/>
      <w:r>
        <w:t>Codiversification</w:t>
      </w:r>
      <w:proofErr w:type="spellEnd"/>
      <w:r>
        <w:t xml:space="preserve"> in an ant-</w:t>
      </w:r>
      <w:r w:rsidR="00067403">
        <w:t>plant mutualism</w:t>
      </w:r>
      <w:r>
        <w:t xml:space="preserve">: stem texture and the evolution of host use in </w:t>
      </w:r>
      <w:proofErr w:type="spellStart"/>
      <w:r>
        <w:rPr>
          <w:i/>
          <w:iCs/>
        </w:rPr>
        <w:t>Crematogaster</w:t>
      </w:r>
      <w:proofErr w:type="spellEnd"/>
      <w:r>
        <w:rPr>
          <w:i/>
          <w:iCs/>
        </w:rPr>
        <w:t xml:space="preserve"> </w:t>
      </w:r>
      <w:r>
        <w:t xml:space="preserve">(Formicidae:  Myrmicinae) inhabitants of </w:t>
      </w:r>
      <w:r>
        <w:rPr>
          <w:i/>
          <w:iCs/>
        </w:rPr>
        <w:t xml:space="preserve">Macaranga </w:t>
      </w:r>
      <w:r>
        <w:t xml:space="preserve">(Euphorbiaceae). </w:t>
      </w:r>
      <w:r>
        <w:rPr>
          <w:i/>
          <w:iCs/>
        </w:rPr>
        <w:t>Evolution</w:t>
      </w:r>
      <w:r>
        <w:t xml:space="preserve">, </w:t>
      </w:r>
      <w:r>
        <w:rPr>
          <w:i/>
          <w:iCs/>
        </w:rPr>
        <w:t>58</w:t>
      </w:r>
      <w:r>
        <w:t xml:space="preserve">(3), 554-570. </w:t>
      </w:r>
    </w:p>
    <w:p w14:paraId="000001F4" w14:textId="66BDD24A" w:rsidR="00E420E3" w:rsidRDefault="008E5528" w:rsidP="004441D4">
      <w:pPr>
        <w:ind w:left="567" w:hanging="567"/>
      </w:pPr>
      <w:r>
        <w:lastRenderedPageBreak/>
        <w:t xml:space="preserve">R Core Team (2024) R: A language and environment for statistical computing. R </w:t>
      </w:r>
      <w:r w:rsidR="00067403">
        <w:t>Foundation for</w:t>
      </w:r>
      <w:r>
        <w:t xml:space="preserve"> Statistical Computing, Vienna Austria. Retrieved from https://www.R-project.org/ </w:t>
      </w:r>
    </w:p>
    <w:p w14:paraId="000001F5" w14:textId="7F40A959" w:rsidR="00E420E3" w:rsidRDefault="008E5528" w:rsidP="004441D4">
      <w:pPr>
        <w:ind w:left="567" w:hanging="567"/>
      </w:pPr>
      <w:r>
        <w:t>Sarkar, T.</w:t>
      </w:r>
      <w:r w:rsidR="00A45624">
        <w:t>,</w:t>
      </w:r>
      <w:r>
        <w:t xml:space="preserve"> and Bakshi, S. (2025). Ammonium transporter genes in millets: Insights </w:t>
      </w:r>
      <w:r w:rsidR="00067403">
        <w:t>into structure</w:t>
      </w:r>
      <w:r>
        <w:t xml:space="preserve">, function, evolutionary conservation, divergence, and phylogenetic analysis.  </w:t>
      </w:r>
      <w:r>
        <w:rPr>
          <w:i/>
          <w:iCs/>
        </w:rPr>
        <w:t>Genetic Resources and Crop Evolution, 72</w:t>
      </w:r>
      <w:r>
        <w:t xml:space="preserve">(12), 2185–2209. </w:t>
      </w:r>
    </w:p>
    <w:p w14:paraId="000001F6" w14:textId="77777777" w:rsidR="00E420E3" w:rsidRDefault="008E5528" w:rsidP="004441D4">
      <w:pPr>
        <w:ind w:left="567" w:hanging="567"/>
      </w:pPr>
      <w:proofErr w:type="spellStart"/>
      <w:r>
        <w:t>Shewry</w:t>
      </w:r>
      <w:proofErr w:type="spellEnd"/>
      <w:r>
        <w:t xml:space="preserve"> P.R. (2003). Tuber storage proteins. </w:t>
      </w:r>
      <w:r>
        <w:rPr>
          <w:i/>
          <w:iCs/>
        </w:rPr>
        <w:t>Annals of Botany Plants</w:t>
      </w:r>
      <w:r>
        <w:t xml:space="preserve">, </w:t>
      </w:r>
      <w:r>
        <w:rPr>
          <w:i/>
          <w:iCs/>
        </w:rPr>
        <w:t>91</w:t>
      </w:r>
      <w:r>
        <w:t xml:space="preserve">(7), 755–769. </w:t>
      </w:r>
    </w:p>
    <w:p w14:paraId="000001F7" w14:textId="049B3986" w:rsidR="00E420E3" w:rsidRPr="003D71C2" w:rsidRDefault="008E5528" w:rsidP="004441D4">
      <w:pPr>
        <w:ind w:left="567" w:hanging="567"/>
        <w:rPr>
          <w:lang w:val="pt-BR"/>
        </w:rPr>
      </w:pPr>
      <w:r>
        <w:t>Summerer, M., Sonntag, B.</w:t>
      </w:r>
      <w:r w:rsidR="00A45624">
        <w:t>,</w:t>
      </w:r>
      <w:r>
        <w:t xml:space="preserve"> and Sommaruga, R. (2007). An experimental test of the </w:t>
      </w:r>
      <w:r w:rsidR="00067403">
        <w:t>symbiosis specificity</w:t>
      </w:r>
      <w:r>
        <w:t xml:space="preserve"> between the ciliate </w:t>
      </w:r>
      <w:r>
        <w:rPr>
          <w:i/>
          <w:iCs/>
        </w:rPr>
        <w:t xml:space="preserve">Paramecium </w:t>
      </w:r>
      <w:proofErr w:type="spellStart"/>
      <w:r>
        <w:rPr>
          <w:i/>
          <w:iCs/>
        </w:rPr>
        <w:t>bursaria</w:t>
      </w:r>
      <w:proofErr w:type="spellEnd"/>
      <w:r>
        <w:rPr>
          <w:i/>
          <w:iCs/>
        </w:rPr>
        <w:t xml:space="preserve"> </w:t>
      </w:r>
      <w:r>
        <w:t xml:space="preserve">and strains of the unicellular </w:t>
      </w:r>
      <w:r w:rsidR="0022628B">
        <w:t>green</w:t>
      </w:r>
      <w:r w:rsidR="00067403">
        <w:t xml:space="preserve"> </w:t>
      </w:r>
      <w:r w:rsidR="0022628B">
        <w:t>alga</w:t>
      </w:r>
      <w:r w:rsidR="0022628B">
        <w:rPr>
          <w:i/>
          <w:iCs/>
        </w:rPr>
        <w:t xml:space="preserve"> Chlorella</w:t>
      </w:r>
      <w:r>
        <w:t xml:space="preserve">. </w:t>
      </w:r>
      <w:r w:rsidRPr="003D71C2">
        <w:rPr>
          <w:i/>
          <w:iCs/>
          <w:lang w:val="pt-BR"/>
        </w:rPr>
        <w:t>Environmental Microbiology</w:t>
      </w:r>
      <w:r w:rsidRPr="003D71C2">
        <w:rPr>
          <w:lang w:val="pt-BR"/>
        </w:rPr>
        <w:t xml:space="preserve">, </w:t>
      </w:r>
      <w:r w:rsidRPr="003D71C2">
        <w:rPr>
          <w:i/>
          <w:iCs/>
          <w:lang w:val="pt-BR"/>
        </w:rPr>
        <w:t>9</w:t>
      </w:r>
      <w:r w:rsidRPr="003D71C2">
        <w:rPr>
          <w:lang w:val="pt-BR"/>
        </w:rPr>
        <w:t xml:space="preserve">(8), 2117–2122. </w:t>
      </w:r>
    </w:p>
    <w:p w14:paraId="000001F8" w14:textId="05CC652D" w:rsidR="00E420E3" w:rsidRDefault="008E5528" w:rsidP="004441D4">
      <w:pPr>
        <w:ind w:left="567" w:hanging="567"/>
      </w:pPr>
      <w:r w:rsidRPr="003D71C2">
        <w:rPr>
          <w:lang w:val="pt-BR"/>
        </w:rPr>
        <w:t xml:space="preserve">Treub, M. (1888). Nouvelles recherches sur le </w:t>
      </w:r>
      <w:r w:rsidRPr="003D71C2">
        <w:rPr>
          <w:i/>
          <w:iCs/>
          <w:lang w:val="pt-BR"/>
        </w:rPr>
        <w:t xml:space="preserve">Myrmecodia </w:t>
      </w:r>
      <w:r w:rsidRPr="003D71C2">
        <w:rPr>
          <w:lang w:val="pt-BR"/>
        </w:rPr>
        <w:t xml:space="preserve">de Java. </w:t>
      </w:r>
      <w:r>
        <w:rPr>
          <w:i/>
          <w:iCs/>
        </w:rPr>
        <w:t xml:space="preserve">Annales du </w:t>
      </w:r>
      <w:r w:rsidR="00067403">
        <w:rPr>
          <w:i/>
          <w:iCs/>
        </w:rPr>
        <w:t xml:space="preserve">Jardin </w:t>
      </w:r>
      <w:proofErr w:type="spellStart"/>
      <w:r w:rsidR="00067403">
        <w:rPr>
          <w:i/>
          <w:iCs/>
        </w:rPr>
        <w:t>Botanique</w:t>
      </w:r>
      <w:proofErr w:type="spellEnd"/>
      <w:r>
        <w:rPr>
          <w:i/>
          <w:iCs/>
        </w:rPr>
        <w:t xml:space="preserve"> de Buitenzorg, 7</w:t>
      </w:r>
      <w:r>
        <w:t xml:space="preserve">: 191. </w:t>
      </w:r>
    </w:p>
    <w:p w14:paraId="000001F9" w14:textId="24ACB7B4" w:rsidR="00E420E3" w:rsidRDefault="008E5528" w:rsidP="004441D4">
      <w:pPr>
        <w:ind w:left="567" w:hanging="567"/>
      </w:pPr>
      <w:r>
        <w:t>Treseder, K.K., Davidson, D.W.</w:t>
      </w:r>
      <w:r w:rsidR="00A45624">
        <w:t>,</w:t>
      </w:r>
      <w:r>
        <w:t xml:space="preserve"> and Ehleringer, J.R. (1995). Absorption of ant-</w:t>
      </w:r>
      <w:r w:rsidR="00067403">
        <w:t>provided carbon</w:t>
      </w:r>
      <w:r>
        <w:t xml:space="preserve"> dioxide and nitrogen by a tropical epiphyte. </w:t>
      </w:r>
      <w:r>
        <w:rPr>
          <w:i/>
          <w:iCs/>
        </w:rPr>
        <w:t>Nature. 375</w:t>
      </w:r>
      <w:r>
        <w:t xml:space="preserve">(6527), 137–139. </w:t>
      </w:r>
    </w:p>
    <w:p w14:paraId="000001FA" w14:textId="36D2DEEC" w:rsidR="00E420E3" w:rsidRDefault="008E5528" w:rsidP="004441D4">
      <w:pPr>
        <w:ind w:left="567" w:hanging="567"/>
      </w:pPr>
      <w:r>
        <w:t xml:space="preserve">Volp, T.M., </w:t>
      </w:r>
      <w:proofErr w:type="spellStart"/>
      <w:r>
        <w:t>Cernusak</w:t>
      </w:r>
      <w:proofErr w:type="spellEnd"/>
      <w:r>
        <w:t>, L.A.</w:t>
      </w:r>
      <w:r w:rsidR="00A45624">
        <w:t>,</w:t>
      </w:r>
      <w:r>
        <w:t xml:space="preserve"> and Lach, L. (2022). Epiphytic ant-plant obtains nitrogen </w:t>
      </w:r>
      <w:r w:rsidR="00067403">
        <w:t>from both</w:t>
      </w:r>
      <w:r>
        <w:t xml:space="preserve"> native and invasive ant inhabitants. </w:t>
      </w:r>
      <w:proofErr w:type="spellStart"/>
      <w:r>
        <w:rPr>
          <w:i/>
          <w:iCs/>
        </w:rPr>
        <w:t>Biotropica</w:t>
      </w:r>
      <w:proofErr w:type="spellEnd"/>
      <w:r>
        <w:rPr>
          <w:i/>
          <w:iCs/>
        </w:rPr>
        <w:t>, 54</w:t>
      </w:r>
      <w:r>
        <w:t xml:space="preserve">(3), 556-560. </w:t>
      </w:r>
    </w:p>
    <w:p w14:paraId="000001FB" w14:textId="7BE8C8DE" w:rsidR="00E420E3" w:rsidRDefault="008E5528" w:rsidP="004441D4">
      <w:pPr>
        <w:ind w:left="567" w:hanging="567"/>
      </w:pPr>
      <w:r>
        <w:t>Volp, T.M</w:t>
      </w:r>
      <w:r w:rsidR="00673869">
        <w:t>.</w:t>
      </w:r>
      <w:r w:rsidR="00A45624">
        <w:t>,</w:t>
      </w:r>
      <w:r>
        <w:t xml:space="preserve"> and Lach, L. (2019). An epiphytic ant-plant mutualism structures arboreal </w:t>
      </w:r>
      <w:r w:rsidR="00067403">
        <w:t xml:space="preserve">ant </w:t>
      </w:r>
      <w:proofErr w:type="gramStart"/>
      <w:r w:rsidR="00067403">
        <w:t>communities</w:t>
      </w:r>
      <w:proofErr w:type="gramEnd"/>
      <w:r>
        <w:t xml:space="preserve">. </w:t>
      </w:r>
      <w:r>
        <w:rPr>
          <w:i/>
          <w:iCs/>
        </w:rPr>
        <w:t>Environmental Entomology</w:t>
      </w:r>
      <w:r>
        <w:t xml:space="preserve">, </w:t>
      </w:r>
      <w:r>
        <w:rPr>
          <w:i/>
          <w:iCs/>
        </w:rPr>
        <w:t>48</w:t>
      </w:r>
      <w:r>
        <w:t xml:space="preserve">(5), 1056–1062. </w:t>
      </w:r>
    </w:p>
    <w:p w14:paraId="000001FC" w14:textId="26210C0E" w:rsidR="00E420E3" w:rsidRDefault="008E5528" w:rsidP="004441D4">
      <w:pPr>
        <w:ind w:left="567" w:hanging="567"/>
      </w:pPr>
      <w:r>
        <w:t>Wang, Q., Wang, K.C., Zheng, C.X., Zhu, B.C., Wang, Y.L., Yang, J.W.</w:t>
      </w:r>
      <w:r w:rsidR="00A45624">
        <w:t>,</w:t>
      </w:r>
      <w:r>
        <w:t xml:space="preserve"> and Wang, W.  (2014). Effect of different nitrogenous forms on growth and chemical components </w:t>
      </w:r>
      <w:r w:rsidR="00067403">
        <w:t>in tuber</w:t>
      </w:r>
      <w:r>
        <w:t xml:space="preserve"> of </w:t>
      </w:r>
      <w:proofErr w:type="spellStart"/>
      <w:r>
        <w:rPr>
          <w:i/>
          <w:iCs/>
        </w:rPr>
        <w:t>Pinellia</w:t>
      </w:r>
      <w:proofErr w:type="spellEnd"/>
      <w:r>
        <w:rPr>
          <w:i/>
          <w:iCs/>
        </w:rPr>
        <w:t xml:space="preserve"> </w:t>
      </w:r>
      <w:proofErr w:type="spellStart"/>
      <w:r>
        <w:rPr>
          <w:i/>
          <w:iCs/>
        </w:rPr>
        <w:t>pedatisecta</w:t>
      </w:r>
      <w:proofErr w:type="spellEnd"/>
      <w:r>
        <w:rPr>
          <w:i/>
          <w:iCs/>
        </w:rPr>
        <w:t xml:space="preserve"> Schott</w:t>
      </w:r>
      <w:r>
        <w:t xml:space="preserve">. </w:t>
      </w:r>
      <w:r>
        <w:rPr>
          <w:i/>
          <w:iCs/>
        </w:rPr>
        <w:t>Journal of Plant Nutrition and Fertilizers</w:t>
      </w:r>
      <w:r>
        <w:t xml:space="preserve">, </w:t>
      </w:r>
      <w:r>
        <w:rPr>
          <w:i/>
          <w:iCs/>
        </w:rPr>
        <w:t>20</w:t>
      </w:r>
      <w:r>
        <w:t>(4</w:t>
      </w:r>
      <w:r w:rsidR="00067403">
        <w:t>), 1038</w:t>
      </w:r>
      <w:r>
        <w:t xml:space="preserve">-1043. </w:t>
      </w:r>
    </w:p>
    <w:p w14:paraId="000001FD" w14:textId="6EBDC9C5" w:rsidR="00E420E3" w:rsidRDefault="008E5528" w:rsidP="004441D4">
      <w:pPr>
        <w:ind w:left="567" w:hanging="567"/>
      </w:pPr>
      <w:r>
        <w:t xml:space="preserve">Weis, V.M. (2008). Cellular mechanisms of cnidarian bleaching: stress causes the collapse </w:t>
      </w:r>
      <w:r w:rsidR="00067403">
        <w:t>of symbiosis</w:t>
      </w:r>
      <w:r>
        <w:t xml:space="preserve">. </w:t>
      </w:r>
      <w:r>
        <w:rPr>
          <w:i/>
          <w:iCs/>
        </w:rPr>
        <w:t>Journal of Experimental Biology</w:t>
      </w:r>
      <w:r>
        <w:t xml:space="preserve">, </w:t>
      </w:r>
      <w:r>
        <w:rPr>
          <w:i/>
          <w:iCs/>
        </w:rPr>
        <w:t>211</w:t>
      </w:r>
      <w:r>
        <w:t xml:space="preserve">(19), 3059–3066. </w:t>
      </w:r>
    </w:p>
    <w:p w14:paraId="000001FF" w14:textId="5B4A27FF" w:rsidR="00E420E3" w:rsidRDefault="008E5528" w:rsidP="00673869">
      <w:pPr>
        <w:ind w:left="567" w:hanging="567"/>
      </w:pPr>
      <w:r>
        <w:rPr>
          <w:highlight w:val="white"/>
        </w:rPr>
        <w:t xml:space="preserve">Wickham, H. (2016). </w:t>
      </w:r>
      <w:r>
        <w:rPr>
          <w:i/>
          <w:iCs/>
          <w:highlight w:val="white"/>
        </w:rPr>
        <w:t>ggplot2: Elegant graphics for data analysis</w:t>
      </w:r>
      <w:r>
        <w:rPr>
          <w:highlight w:val="white"/>
        </w:rPr>
        <w:t>. Springer-Verlag. ISBN 978-</w:t>
      </w:r>
      <w:r>
        <w:t xml:space="preserve"> </w:t>
      </w:r>
      <w:r>
        <w:rPr>
          <w:highlight w:val="white"/>
        </w:rPr>
        <w:t>3-319-24277-4. Retrieved from https://ggplot2.tidyverse.o</w:t>
      </w:r>
      <w:r>
        <w:t>rg</w:t>
      </w:r>
    </w:p>
    <w:p w14:paraId="00000200" w14:textId="503E3F43" w:rsidR="00E420E3" w:rsidRDefault="008E5528" w:rsidP="004441D4">
      <w:pPr>
        <w:ind w:left="567" w:hanging="567"/>
      </w:pPr>
      <w:r>
        <w:t>Wickham, H., François, R., Henry, L.</w:t>
      </w:r>
      <w:r w:rsidR="00A45624">
        <w:t>,</w:t>
      </w:r>
      <w:r>
        <w:t xml:space="preserve"> and Müller, K. (2024b). </w:t>
      </w:r>
      <w:proofErr w:type="spellStart"/>
      <w:r>
        <w:t>dplyr</w:t>
      </w:r>
      <w:proofErr w:type="spellEnd"/>
      <w:r>
        <w:t xml:space="preserve">: A grammar of </w:t>
      </w:r>
      <w:r w:rsidR="00067403">
        <w:t>data manipulation</w:t>
      </w:r>
      <w:r>
        <w:t xml:space="preserve"> (R package version 1.1.2). Retrieved from https://CRAN.R project.org/package=</w:t>
      </w:r>
      <w:proofErr w:type="spellStart"/>
      <w:r>
        <w:t>dplyr</w:t>
      </w:r>
      <w:proofErr w:type="spellEnd"/>
      <w:r>
        <w:t xml:space="preserve"> </w:t>
      </w:r>
    </w:p>
    <w:p w14:paraId="00000201" w14:textId="4F42F103" w:rsidR="00E420E3" w:rsidRDefault="008E5528" w:rsidP="004441D4">
      <w:pPr>
        <w:ind w:left="567" w:hanging="567"/>
      </w:pPr>
      <w:r>
        <w:lastRenderedPageBreak/>
        <w:t>Wickham, H., Hester, J.</w:t>
      </w:r>
      <w:r w:rsidR="00A45624">
        <w:t>,</w:t>
      </w:r>
      <w:r>
        <w:t xml:space="preserve"> and Bryan, J. (2024a). </w:t>
      </w:r>
      <w:proofErr w:type="spellStart"/>
      <w:r>
        <w:t>readr</w:t>
      </w:r>
      <w:proofErr w:type="spellEnd"/>
      <w:r>
        <w:t xml:space="preserve">: Read rectangular text data (R </w:t>
      </w:r>
      <w:r w:rsidR="00067403">
        <w:t>package version</w:t>
      </w:r>
      <w:r>
        <w:t xml:space="preserve"> 2.1.5) [Computer software]. Retrieved from https://readr.tidyverse.org </w:t>
      </w:r>
    </w:p>
    <w:p w14:paraId="00000202" w14:textId="42E6EEF2" w:rsidR="00E420E3" w:rsidRDefault="008E5528" w:rsidP="004441D4">
      <w:pPr>
        <w:ind w:left="567" w:hanging="567"/>
      </w:pPr>
      <w:r>
        <w:t>Williams, L.E.</w:t>
      </w:r>
      <w:r w:rsidR="00A45624">
        <w:t>,</w:t>
      </w:r>
      <w:r>
        <w:t xml:space="preserve"> and Miller, A.J. (2001) Transporters responsible for the uptake and </w:t>
      </w:r>
      <w:r w:rsidR="00067403">
        <w:t>partitioning of</w:t>
      </w:r>
      <w:r>
        <w:t xml:space="preserve"> nitrogenous solutes. </w:t>
      </w:r>
      <w:r>
        <w:rPr>
          <w:i/>
          <w:iCs/>
        </w:rPr>
        <w:t xml:space="preserve">Annual Review of Plant Physiology and Plant Molecular </w:t>
      </w:r>
      <w:r w:rsidR="00067403">
        <w:rPr>
          <w:i/>
          <w:iCs/>
        </w:rPr>
        <w:t>Biology, 52</w:t>
      </w:r>
      <w:r>
        <w:rPr>
          <w:i/>
          <w:iCs/>
        </w:rPr>
        <w:t xml:space="preserve">, </w:t>
      </w:r>
      <w:r>
        <w:t xml:space="preserve">659–688. </w:t>
      </w:r>
    </w:p>
    <w:p w14:paraId="00000204" w14:textId="5F0D5B03" w:rsidR="00E420E3" w:rsidRDefault="008E5528" w:rsidP="00673869">
      <w:pPr>
        <w:ind w:left="567" w:hanging="567"/>
      </w:pPr>
      <w:r>
        <w:t>Zheng, C., Yang, F., Zeng, L., Vargo, E.L.</w:t>
      </w:r>
      <w:r w:rsidR="00A45624">
        <w:t>,</w:t>
      </w:r>
      <w:r>
        <w:t xml:space="preserve"> and Xu, Y. (2018). Genetic diversity and </w:t>
      </w:r>
      <w:r w:rsidR="00067403">
        <w:t>colony structure</w:t>
      </w:r>
      <w:r>
        <w:t xml:space="preserve"> of </w:t>
      </w:r>
      <w:r>
        <w:rPr>
          <w:i/>
          <w:iCs/>
        </w:rPr>
        <w:t xml:space="preserve">Tapinoma </w:t>
      </w:r>
      <w:proofErr w:type="spellStart"/>
      <w:r>
        <w:rPr>
          <w:i/>
          <w:iCs/>
        </w:rPr>
        <w:t>melanocephalum</w:t>
      </w:r>
      <w:proofErr w:type="spellEnd"/>
      <w:r>
        <w:rPr>
          <w:i/>
          <w:iCs/>
        </w:rPr>
        <w:t xml:space="preserve"> </w:t>
      </w:r>
      <w:r>
        <w:t xml:space="preserve">on the islands and mainland of </w:t>
      </w:r>
      <w:r w:rsidR="00067403">
        <w:t>South China</w:t>
      </w:r>
      <w:r>
        <w:t xml:space="preserve">. </w:t>
      </w:r>
      <w:r>
        <w:rPr>
          <w:i/>
          <w:iCs/>
        </w:rPr>
        <w:t>Ecology and evolution</w:t>
      </w:r>
      <w:r>
        <w:t xml:space="preserve">, </w:t>
      </w:r>
      <w:r>
        <w:rPr>
          <w:i/>
          <w:iCs/>
        </w:rPr>
        <w:t>8</w:t>
      </w:r>
      <w:r>
        <w:t xml:space="preserve">(11), 5427–5440. </w:t>
      </w:r>
    </w:p>
    <w:p w14:paraId="58001D3D" w14:textId="77777777" w:rsidR="00673869" w:rsidRDefault="00673869" w:rsidP="00673869">
      <w:pPr>
        <w:ind w:left="567" w:hanging="567"/>
      </w:pPr>
    </w:p>
    <w:p w14:paraId="061B5E3A" w14:textId="77777777" w:rsidR="00673869" w:rsidRDefault="00673869" w:rsidP="00673869">
      <w:pPr>
        <w:ind w:left="567" w:hanging="567"/>
      </w:pPr>
    </w:p>
    <w:p w14:paraId="423A1C2B" w14:textId="77777777" w:rsidR="00673869" w:rsidRDefault="00673869" w:rsidP="00673869">
      <w:pPr>
        <w:ind w:left="567" w:hanging="567"/>
      </w:pPr>
    </w:p>
    <w:p w14:paraId="1707CD21" w14:textId="77777777" w:rsidR="00673869" w:rsidRDefault="00673869" w:rsidP="00673869">
      <w:pPr>
        <w:ind w:left="567" w:hanging="567"/>
      </w:pPr>
    </w:p>
    <w:p w14:paraId="5CEE2554" w14:textId="77777777" w:rsidR="00673869" w:rsidRDefault="00673869" w:rsidP="00673869">
      <w:pPr>
        <w:ind w:left="567" w:hanging="567"/>
      </w:pPr>
    </w:p>
    <w:p w14:paraId="1DF0A9F9" w14:textId="77777777" w:rsidR="00673869" w:rsidRDefault="00673869" w:rsidP="00673869">
      <w:pPr>
        <w:ind w:left="567" w:hanging="567"/>
      </w:pPr>
    </w:p>
    <w:p w14:paraId="31A6868B" w14:textId="77777777" w:rsidR="00673869" w:rsidRDefault="00673869" w:rsidP="00673869">
      <w:pPr>
        <w:ind w:left="567" w:hanging="567"/>
      </w:pPr>
    </w:p>
    <w:p w14:paraId="5D8F18A3" w14:textId="77777777" w:rsidR="00673869" w:rsidRDefault="00673869" w:rsidP="00673869">
      <w:pPr>
        <w:ind w:left="567" w:hanging="567"/>
      </w:pPr>
    </w:p>
    <w:p w14:paraId="02DC4643" w14:textId="77777777" w:rsidR="00673869" w:rsidRDefault="00673869" w:rsidP="00673869">
      <w:pPr>
        <w:ind w:left="567" w:hanging="567"/>
      </w:pPr>
    </w:p>
    <w:p w14:paraId="69B952A2" w14:textId="77777777" w:rsidR="00673869" w:rsidRDefault="00673869" w:rsidP="00673869">
      <w:pPr>
        <w:ind w:left="567" w:hanging="567"/>
      </w:pPr>
    </w:p>
    <w:p w14:paraId="01A7FDD7" w14:textId="77777777" w:rsidR="00673869" w:rsidRDefault="00673869" w:rsidP="00673869">
      <w:pPr>
        <w:ind w:left="567" w:hanging="567"/>
      </w:pPr>
    </w:p>
    <w:p w14:paraId="3B3BC758" w14:textId="77777777" w:rsidR="00673869" w:rsidRDefault="00673869" w:rsidP="00673869">
      <w:pPr>
        <w:ind w:left="567" w:hanging="567"/>
      </w:pPr>
    </w:p>
    <w:p w14:paraId="6F3CFA79" w14:textId="77777777" w:rsidR="00673869" w:rsidRDefault="00673869" w:rsidP="00673869">
      <w:pPr>
        <w:ind w:left="567" w:hanging="567"/>
      </w:pPr>
    </w:p>
    <w:p w14:paraId="71ECC829" w14:textId="77777777" w:rsidR="00673869" w:rsidRDefault="00673869" w:rsidP="00673869">
      <w:pPr>
        <w:ind w:left="567" w:hanging="567"/>
      </w:pPr>
    </w:p>
    <w:p w14:paraId="42FA2B11" w14:textId="77777777" w:rsidR="00673869" w:rsidRDefault="00673869" w:rsidP="00673869">
      <w:pPr>
        <w:ind w:left="567" w:hanging="567"/>
      </w:pPr>
    </w:p>
    <w:p w14:paraId="17C8C70C" w14:textId="77777777" w:rsidR="00673869" w:rsidRDefault="00673869" w:rsidP="00673869">
      <w:pPr>
        <w:ind w:left="567" w:hanging="567"/>
      </w:pPr>
    </w:p>
    <w:p w14:paraId="799A85BA" w14:textId="77777777" w:rsidR="00673869" w:rsidRDefault="00673869" w:rsidP="00673869">
      <w:pPr>
        <w:ind w:left="567" w:hanging="567"/>
      </w:pPr>
    </w:p>
    <w:p w14:paraId="51BB239B" w14:textId="77777777" w:rsidR="00673869" w:rsidRDefault="00673869" w:rsidP="00673869">
      <w:pPr>
        <w:ind w:left="567" w:hanging="567"/>
      </w:pPr>
    </w:p>
    <w:p w14:paraId="1AD6AFF7" w14:textId="77777777" w:rsidR="0000635B" w:rsidRDefault="0000635B" w:rsidP="00673869">
      <w:pPr>
        <w:pStyle w:val="Heading1"/>
        <w:jc w:val="center"/>
      </w:pPr>
    </w:p>
    <w:p w14:paraId="00000206" w14:textId="66105578" w:rsidR="00E420E3" w:rsidRDefault="008E5528" w:rsidP="0000635B">
      <w:pPr>
        <w:pStyle w:val="Heading1"/>
        <w:jc w:val="center"/>
      </w:pPr>
      <w:bookmarkStart w:id="64" w:name="_Toc235393004"/>
      <w:r>
        <w:t xml:space="preserve">Chapter 4. Mutualistic dependency modulates </w:t>
      </w:r>
      <w:r w:rsidR="00067403">
        <w:t>the transcriptomic</w:t>
      </w:r>
      <w:r>
        <w:t xml:space="preserve"> responses underlying nutrition </w:t>
      </w:r>
      <w:r w:rsidR="0022628B">
        <w:t>in ant</w:t>
      </w:r>
      <w:r>
        <w:t xml:space="preserve">-plant </w:t>
      </w:r>
      <w:r w:rsidR="0022628B">
        <w:t>symbioses.</w:t>
      </w:r>
      <w:bookmarkEnd w:id="64"/>
    </w:p>
    <w:p w14:paraId="586C07FE" w14:textId="77777777" w:rsidR="0000635B" w:rsidRDefault="0000635B" w:rsidP="0000635B"/>
    <w:p w14:paraId="75A42489" w14:textId="77777777" w:rsidR="0000635B" w:rsidRDefault="0000635B" w:rsidP="0000635B"/>
    <w:p w14:paraId="581DD9CB" w14:textId="77777777" w:rsidR="0000635B" w:rsidRDefault="0000635B" w:rsidP="0000635B"/>
    <w:p w14:paraId="06CED1E2" w14:textId="77777777" w:rsidR="0000635B" w:rsidRDefault="0000635B" w:rsidP="0000635B"/>
    <w:p w14:paraId="5B03B3CB" w14:textId="77777777" w:rsidR="0000635B" w:rsidRDefault="0000635B" w:rsidP="0000635B"/>
    <w:p w14:paraId="23A68DFC" w14:textId="77777777" w:rsidR="0000635B" w:rsidRDefault="0000635B" w:rsidP="0000635B"/>
    <w:p w14:paraId="25A4D168" w14:textId="77777777" w:rsidR="0000635B" w:rsidRDefault="0000635B" w:rsidP="0000635B"/>
    <w:p w14:paraId="574C4115" w14:textId="77777777" w:rsidR="0000635B" w:rsidRDefault="0000635B" w:rsidP="0000635B"/>
    <w:p w14:paraId="25905A2C" w14:textId="77777777" w:rsidR="0000635B" w:rsidRDefault="0000635B" w:rsidP="0000635B"/>
    <w:p w14:paraId="094CD887" w14:textId="77777777" w:rsidR="0000635B" w:rsidRDefault="0000635B" w:rsidP="0000635B"/>
    <w:p w14:paraId="0BCE1BC2" w14:textId="77777777" w:rsidR="0000635B" w:rsidRDefault="0000635B" w:rsidP="0000635B"/>
    <w:p w14:paraId="3F7550CA" w14:textId="77777777" w:rsidR="0000635B" w:rsidRDefault="0000635B" w:rsidP="0000635B"/>
    <w:p w14:paraId="7DBF43CF" w14:textId="77777777" w:rsidR="0000635B" w:rsidRDefault="0000635B" w:rsidP="0000635B"/>
    <w:p w14:paraId="6F412FC0" w14:textId="77777777" w:rsidR="0000635B" w:rsidRDefault="0000635B" w:rsidP="0000635B"/>
    <w:p w14:paraId="3391A799" w14:textId="77777777" w:rsidR="0000635B" w:rsidRDefault="0000635B" w:rsidP="0000635B"/>
    <w:p w14:paraId="64649561" w14:textId="77777777" w:rsidR="0000635B" w:rsidRDefault="0000635B" w:rsidP="0000635B"/>
    <w:p w14:paraId="48A85728" w14:textId="77777777" w:rsidR="0000635B" w:rsidRDefault="0000635B" w:rsidP="0000635B"/>
    <w:p w14:paraId="7A316EC5" w14:textId="77777777" w:rsidR="0000635B" w:rsidRPr="0000635B" w:rsidRDefault="0000635B" w:rsidP="0000635B"/>
    <w:p w14:paraId="00000207" w14:textId="48D87537" w:rsidR="00E420E3" w:rsidRDefault="008E5528" w:rsidP="0000635B">
      <w:pPr>
        <w:jc w:val="center"/>
        <w:rPr>
          <w:rFonts w:eastAsia="Times New Roman" w:cs="Times New Roman"/>
          <w:b/>
          <w:bCs/>
          <w:color w:val="212121"/>
          <w:sz w:val="36"/>
          <w:szCs w:val="36"/>
        </w:rPr>
      </w:pPr>
      <w:r>
        <w:rPr>
          <w:rFonts w:eastAsia="Times New Roman" w:cs="Times New Roman"/>
          <w:b/>
          <w:bCs/>
          <w:color w:val="212121"/>
          <w:sz w:val="36"/>
          <w:szCs w:val="36"/>
        </w:rPr>
        <w:lastRenderedPageBreak/>
        <w:t xml:space="preserve">Chapter 4. Mutualistic dependency modulates </w:t>
      </w:r>
      <w:r w:rsidR="0022628B">
        <w:rPr>
          <w:rFonts w:eastAsia="Times New Roman" w:cs="Times New Roman"/>
          <w:b/>
          <w:bCs/>
          <w:color w:val="212121"/>
          <w:sz w:val="36"/>
          <w:szCs w:val="36"/>
        </w:rPr>
        <w:t>the transcriptomic</w:t>
      </w:r>
      <w:r>
        <w:rPr>
          <w:rFonts w:eastAsia="Times New Roman" w:cs="Times New Roman"/>
          <w:b/>
          <w:bCs/>
          <w:color w:val="212121"/>
          <w:sz w:val="36"/>
          <w:szCs w:val="36"/>
        </w:rPr>
        <w:t xml:space="preserve"> responses underlying nutrition in ant-</w:t>
      </w:r>
      <w:r w:rsidR="0022628B">
        <w:rPr>
          <w:rFonts w:eastAsia="Times New Roman" w:cs="Times New Roman"/>
          <w:b/>
          <w:bCs/>
          <w:color w:val="212121"/>
          <w:sz w:val="36"/>
          <w:szCs w:val="36"/>
        </w:rPr>
        <w:t>plant symbioses.</w:t>
      </w:r>
    </w:p>
    <w:p w14:paraId="36375010" w14:textId="77777777" w:rsidR="00C24A6F" w:rsidRDefault="00C24A6F" w:rsidP="0000635B">
      <w:pPr>
        <w:rPr>
          <w:rFonts w:eastAsia="Times New Roman" w:cs="Times New Roman"/>
          <w:color w:val="212121"/>
          <w:szCs w:val="24"/>
        </w:rPr>
      </w:pPr>
    </w:p>
    <w:p w14:paraId="00000208" w14:textId="45D2774B" w:rsidR="00E420E3" w:rsidRDefault="008E5528" w:rsidP="0000635B">
      <w:pPr>
        <w:rPr>
          <w:rFonts w:eastAsia="Times New Roman" w:cs="Times New Roman"/>
          <w:color w:val="212121"/>
          <w:sz w:val="16"/>
          <w:szCs w:val="16"/>
        </w:rPr>
      </w:pPr>
      <w:r>
        <w:rPr>
          <w:rFonts w:eastAsia="Times New Roman" w:cs="Times New Roman"/>
          <w:color w:val="212121"/>
          <w:szCs w:val="24"/>
        </w:rPr>
        <w:t>George Hirons-Alecrim, Luke T. Dunning</w:t>
      </w:r>
      <w:r>
        <w:rPr>
          <w:rFonts w:eastAsia="Times New Roman" w:cs="Times New Roman"/>
          <w:color w:val="212121"/>
          <w:sz w:val="26"/>
          <w:szCs w:val="26"/>
          <w:vertAlign w:val="superscript"/>
        </w:rPr>
        <w:t xml:space="preserve">1 </w:t>
      </w:r>
      <w:r>
        <w:rPr>
          <w:rFonts w:eastAsia="Times New Roman" w:cs="Times New Roman"/>
          <w:color w:val="212121"/>
          <w:szCs w:val="24"/>
        </w:rPr>
        <w:t>and Guillaume Chomicki</w:t>
      </w:r>
      <w:r>
        <w:rPr>
          <w:rFonts w:eastAsia="Times New Roman" w:cs="Times New Roman"/>
          <w:color w:val="212121"/>
          <w:sz w:val="26"/>
          <w:szCs w:val="26"/>
          <w:vertAlign w:val="superscript"/>
        </w:rPr>
        <w:t>2</w:t>
      </w:r>
      <w:r>
        <w:rPr>
          <w:rFonts w:eastAsia="Times New Roman" w:cs="Times New Roman"/>
          <w:color w:val="212121"/>
          <w:sz w:val="16"/>
          <w:szCs w:val="16"/>
        </w:rPr>
        <w:t xml:space="preserve"> </w:t>
      </w:r>
    </w:p>
    <w:p w14:paraId="49DB1319" w14:textId="77777777" w:rsidR="00C24A6F" w:rsidRDefault="00C24A6F" w:rsidP="0000635B">
      <w:pPr>
        <w:rPr>
          <w:rFonts w:eastAsia="Times New Roman" w:cs="Times New Roman"/>
          <w:b/>
          <w:bCs/>
          <w:color w:val="212121"/>
          <w:szCs w:val="24"/>
        </w:rPr>
      </w:pPr>
    </w:p>
    <w:p w14:paraId="00000209" w14:textId="03074B29" w:rsidR="00E420E3" w:rsidRDefault="008E5528" w:rsidP="0000635B">
      <w:pPr>
        <w:rPr>
          <w:rFonts w:eastAsia="Times New Roman" w:cs="Times New Roman"/>
          <w:b/>
          <w:bCs/>
          <w:color w:val="212121"/>
          <w:szCs w:val="24"/>
        </w:rPr>
      </w:pPr>
      <w:r>
        <w:rPr>
          <w:rFonts w:eastAsia="Times New Roman" w:cs="Times New Roman"/>
          <w:b/>
          <w:bCs/>
          <w:color w:val="212121"/>
          <w:szCs w:val="24"/>
        </w:rPr>
        <w:t xml:space="preserve">Author Affiliations: </w:t>
      </w:r>
    </w:p>
    <w:p w14:paraId="0000020A" w14:textId="67444ED3" w:rsidR="00E420E3" w:rsidRDefault="008E5528" w:rsidP="0000635B">
      <w:pPr>
        <w:rPr>
          <w:rFonts w:eastAsia="Times New Roman" w:cs="Times New Roman"/>
          <w:color w:val="212121"/>
          <w:szCs w:val="24"/>
        </w:rPr>
      </w:pPr>
      <w:r>
        <w:rPr>
          <w:rFonts w:eastAsia="Times New Roman" w:cs="Times New Roman"/>
          <w:color w:val="212121"/>
          <w:sz w:val="26"/>
          <w:szCs w:val="26"/>
          <w:vertAlign w:val="superscript"/>
        </w:rPr>
        <w:t>1</w:t>
      </w:r>
      <w:r>
        <w:rPr>
          <w:rFonts w:eastAsia="Times New Roman" w:cs="Times New Roman"/>
          <w:color w:val="212121"/>
          <w:szCs w:val="24"/>
        </w:rPr>
        <w:t xml:space="preserve">Ecology and Evolutionary Biology, School of Biosciences, The University of </w:t>
      </w:r>
      <w:r w:rsidR="0022628B">
        <w:rPr>
          <w:rFonts w:eastAsia="Times New Roman" w:cs="Times New Roman"/>
          <w:color w:val="212121"/>
          <w:szCs w:val="24"/>
        </w:rPr>
        <w:t>Sheffield, Western</w:t>
      </w:r>
      <w:r>
        <w:rPr>
          <w:rFonts w:eastAsia="Times New Roman" w:cs="Times New Roman"/>
          <w:color w:val="212121"/>
          <w:szCs w:val="24"/>
        </w:rPr>
        <w:t xml:space="preserve"> Bank, Sheffield, S10 2TN</w:t>
      </w:r>
      <w:r w:rsidR="00C24A6F">
        <w:rPr>
          <w:rFonts w:eastAsia="Times New Roman" w:cs="Times New Roman"/>
          <w:color w:val="212121"/>
          <w:szCs w:val="24"/>
        </w:rPr>
        <w:t>, UK.</w:t>
      </w:r>
    </w:p>
    <w:p w14:paraId="0000020B" w14:textId="77777777" w:rsidR="00E420E3" w:rsidRDefault="008E5528" w:rsidP="0000635B">
      <w:pPr>
        <w:rPr>
          <w:rFonts w:eastAsia="Times New Roman" w:cs="Times New Roman"/>
          <w:color w:val="212121"/>
          <w:szCs w:val="24"/>
        </w:rPr>
      </w:pPr>
      <w:r>
        <w:rPr>
          <w:rFonts w:eastAsia="Times New Roman" w:cs="Times New Roman"/>
          <w:color w:val="212121"/>
          <w:sz w:val="26"/>
          <w:szCs w:val="26"/>
          <w:vertAlign w:val="superscript"/>
        </w:rPr>
        <w:t>2</w:t>
      </w:r>
      <w:r>
        <w:rPr>
          <w:rFonts w:eastAsia="Times New Roman" w:cs="Times New Roman"/>
          <w:color w:val="212121"/>
          <w:szCs w:val="24"/>
        </w:rPr>
        <w:t xml:space="preserve">Department of Biosciences, Durham University, South Rd, Durham, DH1 3LE, UK. </w:t>
      </w:r>
    </w:p>
    <w:p w14:paraId="13806D41" w14:textId="77777777" w:rsidR="00C24A6F" w:rsidRDefault="00C24A6F" w:rsidP="0000635B">
      <w:pPr>
        <w:rPr>
          <w:rFonts w:eastAsia="Times New Roman" w:cs="Times New Roman"/>
          <w:b/>
          <w:bCs/>
          <w:color w:val="212121"/>
          <w:szCs w:val="24"/>
        </w:rPr>
      </w:pPr>
    </w:p>
    <w:p w14:paraId="0000020C" w14:textId="60914B12" w:rsidR="00E420E3" w:rsidRDefault="008E5528" w:rsidP="0000635B">
      <w:pPr>
        <w:rPr>
          <w:rFonts w:eastAsia="Times New Roman" w:cs="Times New Roman"/>
          <w:color w:val="212121"/>
          <w:szCs w:val="24"/>
        </w:rPr>
      </w:pPr>
      <w:r>
        <w:rPr>
          <w:rFonts w:eastAsia="Times New Roman" w:cs="Times New Roman"/>
          <w:b/>
          <w:bCs/>
          <w:color w:val="212121"/>
          <w:szCs w:val="24"/>
        </w:rPr>
        <w:t xml:space="preserve">Personal contribution: </w:t>
      </w:r>
      <w:r>
        <w:rPr>
          <w:rFonts w:eastAsia="Times New Roman" w:cs="Times New Roman"/>
          <w:color w:val="212121"/>
          <w:szCs w:val="24"/>
        </w:rPr>
        <w:t xml:space="preserve">I designed and conducted all experiments, performed data </w:t>
      </w:r>
      <w:r w:rsidR="0022628B">
        <w:rPr>
          <w:rFonts w:eastAsia="Times New Roman" w:cs="Times New Roman"/>
          <w:color w:val="212121"/>
          <w:szCs w:val="24"/>
        </w:rPr>
        <w:t>analysis, and</w:t>
      </w:r>
      <w:r>
        <w:rPr>
          <w:rFonts w:eastAsia="Times New Roman" w:cs="Times New Roman"/>
          <w:color w:val="212121"/>
          <w:szCs w:val="24"/>
        </w:rPr>
        <w:t xml:space="preserve"> wrote each chapter draft under the supervision of Guillaume Chomicki and Luke </w:t>
      </w:r>
      <w:r w:rsidR="0022628B">
        <w:rPr>
          <w:rFonts w:eastAsia="Times New Roman" w:cs="Times New Roman"/>
          <w:color w:val="212121"/>
          <w:szCs w:val="24"/>
        </w:rPr>
        <w:t>Dunning who</w:t>
      </w:r>
      <w:r>
        <w:rPr>
          <w:rFonts w:eastAsia="Times New Roman" w:cs="Times New Roman"/>
          <w:color w:val="212121"/>
          <w:szCs w:val="24"/>
        </w:rPr>
        <w:t xml:space="preserve"> provided conceptual guidance, and manuscript revisions.</w:t>
      </w:r>
    </w:p>
    <w:p w14:paraId="1332FA4E" w14:textId="77777777" w:rsidR="00DA0846" w:rsidRDefault="00DA0846" w:rsidP="0000635B">
      <w:pPr>
        <w:rPr>
          <w:rFonts w:eastAsia="Times New Roman" w:cs="Times New Roman"/>
          <w:color w:val="212121"/>
          <w:szCs w:val="24"/>
        </w:rPr>
      </w:pPr>
    </w:p>
    <w:p w14:paraId="4E327425" w14:textId="77777777" w:rsidR="00DA0846" w:rsidRDefault="00DA0846" w:rsidP="0000635B">
      <w:pPr>
        <w:rPr>
          <w:rFonts w:eastAsia="Times New Roman" w:cs="Times New Roman"/>
          <w:color w:val="212121"/>
          <w:szCs w:val="24"/>
        </w:rPr>
      </w:pPr>
    </w:p>
    <w:p w14:paraId="6086387A" w14:textId="77777777" w:rsidR="00DA0846" w:rsidRDefault="00DA0846" w:rsidP="0000635B">
      <w:pPr>
        <w:rPr>
          <w:rFonts w:eastAsia="Times New Roman" w:cs="Times New Roman"/>
          <w:color w:val="212121"/>
          <w:szCs w:val="24"/>
        </w:rPr>
      </w:pPr>
    </w:p>
    <w:p w14:paraId="3FDFF4BC" w14:textId="77777777" w:rsidR="00DA0846" w:rsidRDefault="00DA0846" w:rsidP="0000635B">
      <w:pPr>
        <w:rPr>
          <w:rFonts w:eastAsia="Times New Roman" w:cs="Times New Roman"/>
          <w:color w:val="212121"/>
          <w:szCs w:val="24"/>
        </w:rPr>
      </w:pPr>
    </w:p>
    <w:p w14:paraId="1898C0BF" w14:textId="77777777" w:rsidR="00DA0846" w:rsidRDefault="00DA0846" w:rsidP="0000635B">
      <w:pPr>
        <w:rPr>
          <w:rFonts w:eastAsia="Times New Roman" w:cs="Times New Roman"/>
          <w:color w:val="212121"/>
          <w:szCs w:val="24"/>
        </w:rPr>
      </w:pPr>
    </w:p>
    <w:p w14:paraId="708A1FC6" w14:textId="77777777" w:rsidR="00DA0846" w:rsidRDefault="00DA0846" w:rsidP="0000635B">
      <w:pPr>
        <w:rPr>
          <w:rFonts w:eastAsia="Times New Roman" w:cs="Times New Roman"/>
          <w:color w:val="212121"/>
          <w:szCs w:val="24"/>
        </w:rPr>
      </w:pPr>
    </w:p>
    <w:p w14:paraId="446A28CB" w14:textId="77777777" w:rsidR="00DA0846" w:rsidRDefault="00DA0846" w:rsidP="0000635B">
      <w:pPr>
        <w:rPr>
          <w:rFonts w:eastAsia="Times New Roman" w:cs="Times New Roman"/>
          <w:color w:val="212121"/>
          <w:szCs w:val="24"/>
        </w:rPr>
      </w:pPr>
    </w:p>
    <w:p w14:paraId="53A1D4AF" w14:textId="77777777" w:rsidR="00DA0846" w:rsidRDefault="00DA0846" w:rsidP="0000635B">
      <w:pPr>
        <w:rPr>
          <w:rFonts w:eastAsia="Times New Roman" w:cs="Times New Roman"/>
          <w:color w:val="212121"/>
          <w:szCs w:val="24"/>
        </w:rPr>
      </w:pPr>
    </w:p>
    <w:p w14:paraId="1401D733" w14:textId="77777777" w:rsidR="00DA0846" w:rsidRDefault="00DA0846" w:rsidP="0000635B">
      <w:pPr>
        <w:rPr>
          <w:rFonts w:eastAsia="Times New Roman" w:cs="Times New Roman"/>
          <w:color w:val="212121"/>
          <w:szCs w:val="24"/>
        </w:rPr>
      </w:pPr>
    </w:p>
    <w:p w14:paraId="00000212" w14:textId="5C7BEC95" w:rsidR="00E420E3" w:rsidRDefault="008E5528" w:rsidP="00CA0BEC">
      <w:pPr>
        <w:pStyle w:val="Heading3"/>
      </w:pPr>
      <w:bookmarkStart w:id="65" w:name="_Toc235393005"/>
      <w:r>
        <w:lastRenderedPageBreak/>
        <w:t>4.1 Abstract</w:t>
      </w:r>
      <w:bookmarkEnd w:id="65"/>
      <w:r>
        <w:t xml:space="preserve">  </w:t>
      </w:r>
    </w:p>
    <w:p w14:paraId="39490DE5" w14:textId="77777777" w:rsidR="003914A8" w:rsidRDefault="008E5528" w:rsidP="007B3EF5">
      <w:r w:rsidRPr="007B3EF5">
        <w:t>Ant</w:t>
      </w:r>
      <w:r w:rsidR="009F23E6">
        <w:t>-</w:t>
      </w:r>
      <w:r w:rsidRPr="007B3EF5">
        <w:t xml:space="preserve">plant symbioses are ecological partnerships where ants provide host plants with protection or nutrient input in exchange for shelter or food. </w:t>
      </w:r>
      <w:r w:rsidR="009B7741">
        <w:t>In</w:t>
      </w:r>
      <w:r w:rsidRPr="007B3EF5">
        <w:t xml:space="preserve"> epiphytic plants</w:t>
      </w:r>
      <w:r w:rsidR="009B7741">
        <w:t>, these interactions</w:t>
      </w:r>
      <w:r w:rsidRPr="007B3EF5">
        <w:t xml:space="preserve"> are primarily nutritional, </w:t>
      </w:r>
      <w:r w:rsidR="009B7741">
        <w:t>because</w:t>
      </w:r>
      <w:r w:rsidRPr="007B3EF5">
        <w:t xml:space="preserve"> tropical canop</w:t>
      </w:r>
      <w:r w:rsidR="00CD0BD5">
        <w:t>y habitats limit access to soil nutrients</w:t>
      </w:r>
      <w:r w:rsidRPr="007B3EF5">
        <w:t>. These mutualisms vary in their specificity ranging from facultative to obligate associations</w:t>
      </w:r>
      <w:r w:rsidR="00EF2610">
        <w:t>, offering a powerful system for testing how dependence shapes physiological and transcriptomic responses</w:t>
      </w:r>
      <w:r w:rsidRPr="007B3EF5">
        <w:t xml:space="preserve">. Using the experimental symbioses developed in Chapter 3, I conducted a large experiment to </w:t>
      </w:r>
      <w:r w:rsidR="00371DF5">
        <w:t>examine</w:t>
      </w:r>
      <w:r w:rsidRPr="007B3EF5">
        <w:t xml:space="preserve"> how mutualistic dependence modulates the transcriptomic responses underlying nutrition in </w:t>
      </w:r>
      <w:proofErr w:type="spellStart"/>
      <w:r w:rsidR="00371DF5">
        <w:t>Hynophytinae</w:t>
      </w:r>
      <w:proofErr w:type="spellEnd"/>
      <w:r w:rsidRPr="007B3EF5">
        <w:t xml:space="preserve"> </w:t>
      </w:r>
      <w:r w:rsidR="009F23E6">
        <w:t>ant-plant</w:t>
      </w:r>
      <w:r w:rsidRPr="007B3EF5">
        <w:t xml:space="preserve"> sys</w:t>
      </w:r>
      <w:r w:rsidR="00D2546D">
        <w:t>tems</w:t>
      </w:r>
      <w:r w:rsidRPr="007B3EF5">
        <w:t>. I tested the hypothesis that facultative ant-plants</w:t>
      </w:r>
      <w:r w:rsidR="00D2546D">
        <w:t>, represented by</w:t>
      </w:r>
      <w:r w:rsidRPr="007B3EF5">
        <w:t xml:space="preserve"> </w:t>
      </w:r>
      <w:proofErr w:type="spellStart"/>
      <w:r w:rsidRPr="00C66A17">
        <w:rPr>
          <w:i/>
          <w:iCs/>
        </w:rPr>
        <w:t>Hydnophytum</w:t>
      </w:r>
      <w:proofErr w:type="spellEnd"/>
      <w:r w:rsidRPr="00C66A17">
        <w:rPr>
          <w:i/>
          <w:iCs/>
        </w:rPr>
        <w:t xml:space="preserve"> </w:t>
      </w:r>
      <w:proofErr w:type="spellStart"/>
      <w:r w:rsidRPr="00C66A17">
        <w:rPr>
          <w:i/>
          <w:iCs/>
        </w:rPr>
        <w:t>moseleyanum</w:t>
      </w:r>
      <w:proofErr w:type="spellEnd"/>
      <w:r w:rsidR="00D2546D">
        <w:rPr>
          <w:i/>
          <w:iCs/>
        </w:rPr>
        <w:t>,</w:t>
      </w:r>
      <w:r w:rsidRPr="007B3EF5">
        <w:t xml:space="preserve"> would </w:t>
      </w:r>
      <w:r w:rsidR="00141323">
        <w:t>maintain</w:t>
      </w:r>
      <w:r w:rsidRPr="007B3EF5">
        <w:t xml:space="preserve"> an inducible </w:t>
      </w:r>
      <w:r w:rsidR="00141323">
        <w:t xml:space="preserve">nutrient-uptake </w:t>
      </w:r>
      <w:r w:rsidRPr="007B3EF5">
        <w:t xml:space="preserve">system </w:t>
      </w:r>
      <w:r w:rsidR="004F4C56">
        <w:t>that responds</w:t>
      </w:r>
      <w:r w:rsidRPr="007B3EF5">
        <w:t xml:space="preserve"> to the fluctuating presence of a</w:t>
      </w:r>
      <w:r w:rsidR="004F4C56">
        <w:t>nt</w:t>
      </w:r>
      <w:r w:rsidRPr="007B3EF5">
        <w:t xml:space="preserve"> partner</w:t>
      </w:r>
      <w:r w:rsidR="004F4C56">
        <w:t>s</w:t>
      </w:r>
      <w:r w:rsidRPr="007B3EF5">
        <w:t xml:space="preserve">, </w:t>
      </w:r>
      <w:r w:rsidR="004F4C56">
        <w:t>whereas</w:t>
      </w:r>
      <w:r w:rsidRPr="007B3EF5">
        <w:t xml:space="preserve"> obligate ant-plants</w:t>
      </w:r>
      <w:r w:rsidR="004F4C56">
        <w:t>,</w:t>
      </w:r>
      <w:r w:rsidRPr="007B3EF5">
        <w:t xml:space="preserve"> </w:t>
      </w:r>
      <w:r w:rsidR="004F4C56">
        <w:t>represented by</w:t>
      </w:r>
      <w:r w:rsidRPr="007B3EF5">
        <w:t xml:space="preserve"> </w:t>
      </w:r>
      <w:proofErr w:type="spellStart"/>
      <w:r w:rsidRPr="00C66A17">
        <w:rPr>
          <w:i/>
          <w:iCs/>
        </w:rPr>
        <w:t>Myrmecodia</w:t>
      </w:r>
      <w:proofErr w:type="spellEnd"/>
      <w:r w:rsidRPr="00C66A17">
        <w:rPr>
          <w:i/>
          <w:iCs/>
        </w:rPr>
        <w:t xml:space="preserve"> </w:t>
      </w:r>
      <w:proofErr w:type="spellStart"/>
      <w:r w:rsidRPr="00C66A17">
        <w:rPr>
          <w:i/>
          <w:iCs/>
        </w:rPr>
        <w:t>beccarii</w:t>
      </w:r>
      <w:proofErr w:type="spellEnd"/>
      <w:r w:rsidR="004F4C56">
        <w:rPr>
          <w:i/>
          <w:iCs/>
        </w:rPr>
        <w:t>,</w:t>
      </w:r>
      <w:r w:rsidRPr="007B3EF5">
        <w:t xml:space="preserve"> would constitutively express </w:t>
      </w:r>
      <w:r w:rsidR="00A648DE">
        <w:t xml:space="preserve">nutrient-uptake </w:t>
      </w:r>
      <w:r w:rsidRPr="007B3EF5">
        <w:t>genes</w:t>
      </w:r>
      <w:r w:rsidR="00A648DE">
        <w:t xml:space="preserve"> due to </w:t>
      </w:r>
      <w:r w:rsidRPr="007B3EF5">
        <w:t xml:space="preserve">consistent ant </w:t>
      </w:r>
      <w:r w:rsidR="003914A8">
        <w:t>occupancy and tar</w:t>
      </w:r>
      <w:r w:rsidRPr="007B3EF5">
        <w:t xml:space="preserve">geted nutrient </w:t>
      </w:r>
      <w:r w:rsidR="003914A8">
        <w:t>deposition within</w:t>
      </w:r>
      <w:r w:rsidRPr="007B3EF5">
        <w:t xml:space="preserve"> warty walls. </w:t>
      </w:r>
    </w:p>
    <w:p w14:paraId="00000218" w14:textId="4404E9DC" w:rsidR="00E420E3" w:rsidRPr="00526E69" w:rsidRDefault="008E5528" w:rsidP="00DA0846">
      <w:r w:rsidRPr="007B3EF5">
        <w:t xml:space="preserve">To test these hypotheses, I </w:t>
      </w:r>
      <w:r w:rsidR="008522DD">
        <w:t>compared gene-expression profiles of facu</w:t>
      </w:r>
      <w:r w:rsidRPr="007B3EF5">
        <w:t>ltative and obligate plants across three treatments: ants present, ants absent, and ants absent with artificial fertiliser</w:t>
      </w:r>
      <w:r w:rsidR="009055D0">
        <w:t xml:space="preserve"> injected</w:t>
      </w:r>
      <w:r w:rsidRPr="007B3EF5">
        <w:t xml:space="preserve"> in the domatium. The results partly supported the </w:t>
      </w:r>
      <w:r w:rsidR="0022628B">
        <w:t>hypothesis</w:t>
      </w:r>
      <w:r w:rsidR="0022628B" w:rsidRPr="007B3EF5">
        <w:t xml:space="preserve"> but</w:t>
      </w:r>
      <w:r w:rsidRPr="007B3EF5">
        <w:t xml:space="preserve"> revealed a more complex pattern. </w:t>
      </w:r>
      <w:r w:rsidRPr="007B3EF5">
        <w:rPr>
          <w:i/>
          <w:iCs/>
        </w:rPr>
        <w:t xml:space="preserve">H. </w:t>
      </w:r>
      <w:proofErr w:type="spellStart"/>
      <w:r w:rsidRPr="007B3EF5">
        <w:rPr>
          <w:i/>
          <w:iCs/>
        </w:rPr>
        <w:t>moseleyanum</w:t>
      </w:r>
      <w:proofErr w:type="spellEnd"/>
      <w:r w:rsidRPr="007B3EF5">
        <w:t xml:space="preserve"> showed the predicted inducible response, with ants triggering broad, tissue-specific up-regulation of nitrogen acquisition and assimilation genes more strongly than fertiliser, </w:t>
      </w:r>
      <w:r w:rsidRPr="007B3EF5">
        <w:rPr>
          <w:i/>
          <w:iCs/>
        </w:rPr>
        <w:t xml:space="preserve">M. </w:t>
      </w:r>
      <w:proofErr w:type="spellStart"/>
      <w:r w:rsidRPr="007B3EF5">
        <w:rPr>
          <w:i/>
          <w:iCs/>
        </w:rPr>
        <w:t>beccarii</w:t>
      </w:r>
      <w:proofErr w:type="spellEnd"/>
      <w:r w:rsidRPr="007B3EF5">
        <w:t xml:space="preserve"> did not </w:t>
      </w:r>
      <w:r w:rsidR="001D4272">
        <w:t xml:space="preserve">exhibit </w:t>
      </w:r>
      <w:r w:rsidRPr="007B3EF5">
        <w:t xml:space="preserve">fully constitutive expression. </w:t>
      </w:r>
      <w:r w:rsidR="001D4272">
        <w:t>M</w:t>
      </w:r>
      <w:r w:rsidRPr="007B3EF5">
        <w:t xml:space="preserve">ost nitrogen-pathway genes were largely constitutive but with targeted ant-responsive exceptions (notably MbNRT3.1), consistent </w:t>
      </w:r>
      <w:r w:rsidR="002F61A0">
        <w:t>w</w:t>
      </w:r>
      <w:r w:rsidRPr="007B3EF5">
        <w:t xml:space="preserve">ith a weakly constitutive model rather than the fully constitutive system predicted. The weak effect of fertiliser on nitrate-related genes in </w:t>
      </w:r>
      <w:r w:rsidRPr="007B3EF5">
        <w:rPr>
          <w:i/>
          <w:iCs/>
        </w:rPr>
        <w:t xml:space="preserve">M. </w:t>
      </w:r>
      <w:proofErr w:type="spellStart"/>
      <w:r w:rsidRPr="007B3EF5">
        <w:rPr>
          <w:i/>
          <w:iCs/>
        </w:rPr>
        <w:t>beccarii</w:t>
      </w:r>
      <w:proofErr w:type="spellEnd"/>
      <w:r w:rsidRPr="007B3EF5">
        <w:t xml:space="preserve"> is consistent with a constitutive model. If nitrogen uptake genes are always active regardless of ant presence, then adding artificial nitrogen would not be expected to further up</w:t>
      </w:r>
      <w:r w:rsidR="00BB704F">
        <w:t>-</w:t>
      </w:r>
      <w:r w:rsidRPr="007B3EF5">
        <w:t>regulate them, as the uptake system is already running at a baseline level. This contrasts with</w:t>
      </w:r>
      <w:r w:rsidR="00D12E1B">
        <w:t xml:space="preserve"> the inducible system in</w:t>
      </w:r>
      <w:r w:rsidRPr="007B3EF5">
        <w:t xml:space="preserve"> </w:t>
      </w:r>
      <w:r w:rsidRPr="007B3EF5">
        <w:rPr>
          <w:i/>
          <w:iCs/>
        </w:rPr>
        <w:t xml:space="preserve">H. </w:t>
      </w:r>
      <w:proofErr w:type="spellStart"/>
      <w:r w:rsidRPr="007B3EF5">
        <w:rPr>
          <w:i/>
          <w:iCs/>
        </w:rPr>
        <w:t>moseleyanum</w:t>
      </w:r>
      <w:proofErr w:type="spellEnd"/>
      <w:r w:rsidRPr="007B3EF5">
        <w:t xml:space="preserve">. Together, the data reveals a distinct level of plasticity and efficiency </w:t>
      </w:r>
      <w:r w:rsidR="00D12E1B">
        <w:t>in</w:t>
      </w:r>
      <w:r w:rsidRPr="007B3EF5">
        <w:t xml:space="preserve"> acquir</w:t>
      </w:r>
      <w:r w:rsidR="00D12E1B">
        <w:t>ing</w:t>
      </w:r>
      <w:r w:rsidRPr="007B3EF5">
        <w:t xml:space="preserve"> ant-derived nutrients, </w:t>
      </w:r>
      <w:r w:rsidR="00E67C0C">
        <w:t>illuminating</w:t>
      </w:r>
      <w:r w:rsidRPr="007B3EF5">
        <w:t xml:space="preserve"> the genomic basis of mutualistic dependence.</w:t>
      </w:r>
    </w:p>
    <w:p w14:paraId="00000219" w14:textId="77777777" w:rsidR="00E420E3" w:rsidRDefault="00E420E3" w:rsidP="00DA0846">
      <w:pPr>
        <w:rPr>
          <w:b/>
          <w:bCs/>
        </w:rPr>
      </w:pPr>
    </w:p>
    <w:p w14:paraId="0000021A" w14:textId="77777777" w:rsidR="00E420E3" w:rsidRDefault="00E420E3" w:rsidP="00DA0846">
      <w:pPr>
        <w:rPr>
          <w:b/>
          <w:bCs/>
        </w:rPr>
      </w:pPr>
    </w:p>
    <w:p w14:paraId="0000021B" w14:textId="77777777" w:rsidR="00E420E3" w:rsidRDefault="00E420E3" w:rsidP="00DA0846">
      <w:pPr>
        <w:rPr>
          <w:b/>
          <w:bCs/>
        </w:rPr>
      </w:pPr>
    </w:p>
    <w:p w14:paraId="0000021F" w14:textId="77777777" w:rsidR="00E420E3" w:rsidRDefault="008E5528" w:rsidP="00526E69">
      <w:pPr>
        <w:pStyle w:val="Heading3"/>
      </w:pPr>
      <w:bookmarkStart w:id="66" w:name="_Toc235393006"/>
      <w:r>
        <w:lastRenderedPageBreak/>
        <w:t>4.2 Introduction</w:t>
      </w:r>
      <w:bookmarkEnd w:id="66"/>
      <w:r>
        <w:t xml:space="preserve"> </w:t>
      </w:r>
    </w:p>
    <w:p w14:paraId="00000222" w14:textId="25620E85" w:rsidR="00E420E3" w:rsidRPr="00526E69" w:rsidRDefault="008E5528" w:rsidP="00526E69">
      <w:r w:rsidRPr="00526E69">
        <w:t xml:space="preserve">Plant/Plant/ant symbioses include both terrestrial (e.g. </w:t>
      </w:r>
      <w:r w:rsidRPr="00BF50AA">
        <w:rPr>
          <w:i/>
          <w:iCs/>
        </w:rPr>
        <w:t>Acacia</w:t>
      </w:r>
      <w:r w:rsidRPr="00526E69">
        <w:t xml:space="preserve"> plants and </w:t>
      </w:r>
      <w:proofErr w:type="spellStart"/>
      <w:r w:rsidRPr="00BF50AA">
        <w:rPr>
          <w:i/>
          <w:iCs/>
        </w:rPr>
        <w:t>Pseudomyrmex</w:t>
      </w:r>
      <w:proofErr w:type="spellEnd"/>
      <w:r w:rsidRPr="00526E69">
        <w:t xml:space="preserve"> ants; </w:t>
      </w:r>
      <w:r w:rsidRPr="00BF50AA">
        <w:rPr>
          <w:i/>
          <w:iCs/>
        </w:rPr>
        <w:t>Cecropia</w:t>
      </w:r>
      <w:r w:rsidRPr="00526E69">
        <w:t xml:space="preserve"> plants and </w:t>
      </w:r>
      <w:r w:rsidRPr="00BF50AA">
        <w:rPr>
          <w:i/>
          <w:iCs/>
        </w:rPr>
        <w:t>Azteca</w:t>
      </w:r>
      <w:r w:rsidRPr="00526E69">
        <w:t xml:space="preserve"> ants) and epiphytic (e.g. </w:t>
      </w:r>
      <w:proofErr w:type="spellStart"/>
      <w:r w:rsidRPr="00526E69">
        <w:t>Hydnophytinae</w:t>
      </w:r>
      <w:proofErr w:type="spellEnd"/>
      <w:r w:rsidRPr="00526E69">
        <w:t xml:space="preserve"> plants and </w:t>
      </w:r>
      <w:proofErr w:type="spellStart"/>
      <w:r w:rsidRPr="00CD1E92">
        <w:rPr>
          <w:i/>
          <w:iCs/>
        </w:rPr>
        <w:t>Philidris</w:t>
      </w:r>
      <w:proofErr w:type="spellEnd"/>
      <w:r w:rsidRPr="00526E69">
        <w:t xml:space="preserve"> ants; </w:t>
      </w:r>
      <w:proofErr w:type="spellStart"/>
      <w:r w:rsidRPr="00CD1E92">
        <w:rPr>
          <w:i/>
          <w:iCs/>
        </w:rPr>
        <w:t>Dischidia</w:t>
      </w:r>
      <w:proofErr w:type="spellEnd"/>
      <w:r w:rsidRPr="00526E69">
        <w:t xml:space="preserve"> plants and </w:t>
      </w:r>
      <w:proofErr w:type="spellStart"/>
      <w:r w:rsidRPr="00CD1E92">
        <w:rPr>
          <w:i/>
          <w:iCs/>
        </w:rPr>
        <w:t>Philidris</w:t>
      </w:r>
      <w:proofErr w:type="spellEnd"/>
      <w:r w:rsidRPr="00526E69">
        <w:t xml:space="preserve"> ants) systems (Davidson and McKey, 1993; Chomicki and Renner, 2015). Terrestrial </w:t>
      </w:r>
      <w:r w:rsidR="009F23E6">
        <w:t>ant-plant</w:t>
      </w:r>
      <w:r w:rsidRPr="00526E69">
        <w:t xml:space="preserve"> symbioses are largely viewed as defence mutualisms in which the hosted ants patrol and defend their host plants against both insect and vertebrate herbivores (Davidson and McKey, 1993; Chomicki and Renner, 2015), although there is evidence in some species of nutritional transfer from ants to plants for instance in </w:t>
      </w:r>
      <w:r w:rsidRPr="00526E69">
        <w:rPr>
          <w:i/>
          <w:iCs/>
        </w:rPr>
        <w:t>Piper</w:t>
      </w:r>
      <w:r w:rsidRPr="00526E69">
        <w:t xml:space="preserve"> (Fischer et al., 2003). Not surprisingly, epiphytic </w:t>
      </w:r>
      <w:r w:rsidR="009F23E6">
        <w:t>ant-plant</w:t>
      </w:r>
      <w:r w:rsidRPr="00526E69">
        <w:t xml:space="preserve"> symbioses are primarily nutritional mutualisms (</w:t>
      </w:r>
      <w:proofErr w:type="spellStart"/>
      <w:r w:rsidRPr="00526E69">
        <w:t>myrmecotrophy</w:t>
      </w:r>
      <w:proofErr w:type="spellEnd"/>
      <w:r w:rsidRPr="00526E69">
        <w:t xml:space="preserve">) (Chomicki and Renner, 2015). In these systems, ant colonies hosted in the plant domatia can provide up to 80% of a plant's nitrogen uptake nutrients to the plant, through the deposition of nitrogen-rich waste (Treseder et al., 1995; Bronstein 1998; Heil and McKey 2003; Solano and Dejean 2004; </w:t>
      </w:r>
      <w:proofErr w:type="spellStart"/>
      <w:r w:rsidRPr="00526E69">
        <w:t>Gegenbauer</w:t>
      </w:r>
      <w:proofErr w:type="spellEnd"/>
      <w:r w:rsidRPr="00526E69">
        <w:t xml:space="preserve"> et al., 2012; Chomicki and Renner, 2019).</w:t>
      </w:r>
    </w:p>
    <w:p w14:paraId="00000223" w14:textId="2B48BE2A" w:rsidR="00E420E3" w:rsidRPr="00526E69" w:rsidRDefault="008E5528" w:rsidP="00526E69">
      <w:r w:rsidRPr="00526E69">
        <w:t>Ant</w:t>
      </w:r>
      <w:r w:rsidR="009F23E6">
        <w:t>-</w:t>
      </w:r>
      <w:r w:rsidRPr="00526E69">
        <w:t>plant symbioses range from facultative associations to obligate, highly speciali</w:t>
      </w:r>
      <w:r w:rsidR="002E75FA">
        <w:t>s</w:t>
      </w:r>
      <w:r w:rsidRPr="00526E69">
        <w:t xml:space="preserve">ed interactions in which ant presence is essential for plant survival (Heil and McKey, 2003; Chomicki et al., 2020). Facultative mutualisms can involve multiple partners and are not essential for survival, but they are ubiquitous and their benefits can substantially extend a species' range (Stachowicz, 2001; Bruno et al., 2003; Afkhami et al., 2014; Bronstein 2015; Crotty and </w:t>
      </w:r>
      <w:proofErr w:type="spellStart"/>
      <w:r w:rsidRPr="00526E69">
        <w:t>Bertness</w:t>
      </w:r>
      <w:proofErr w:type="spellEnd"/>
      <w:r w:rsidRPr="00526E69">
        <w:t xml:space="preserve"> 2015). Obligate mutualisms by contrast are tight mutualisms where either one or both parties depend on the other partner, or on the trees that support them, for survival or reproduction, such as the symbiosis between corals and </w:t>
      </w:r>
      <w:r w:rsidRPr="00526E69">
        <w:rPr>
          <w:i/>
          <w:iCs/>
        </w:rPr>
        <w:t>zooxanthellae</w:t>
      </w:r>
      <w:r w:rsidRPr="00526E69">
        <w:t>, speciali</w:t>
      </w:r>
      <w:r w:rsidR="004702A1">
        <w:t>s</w:t>
      </w:r>
      <w:r w:rsidRPr="00526E69">
        <w:t xml:space="preserve">ed nursery pollination mutualisms such as figs and their fig-wasps, or many </w:t>
      </w:r>
      <w:r w:rsidR="009F23E6">
        <w:t>ant-plant</w:t>
      </w:r>
      <w:r w:rsidRPr="00526E69">
        <w:t xml:space="preserve"> symbioses (Hoeksema and Bruna, 2000; Kiers et al. 2010; Bronstein 2015; Chomicki et al., 2020). Facultative and generalist terms refer to </w:t>
      </w:r>
      <w:r w:rsidRPr="00526E69">
        <w:rPr>
          <w:i/>
          <w:iCs/>
        </w:rPr>
        <w:t xml:space="preserve">H. </w:t>
      </w:r>
      <w:proofErr w:type="spellStart"/>
      <w:r w:rsidRPr="00526E69">
        <w:rPr>
          <w:i/>
          <w:iCs/>
        </w:rPr>
        <w:t>moseleyanum</w:t>
      </w:r>
      <w:proofErr w:type="spellEnd"/>
      <w:r w:rsidRPr="00526E69">
        <w:t xml:space="preserve">, as a species cable of associating with a broad range of ant partners and does not require them for survival, while specialist refers to </w:t>
      </w:r>
      <w:r w:rsidRPr="00526E69">
        <w:rPr>
          <w:i/>
          <w:iCs/>
        </w:rPr>
        <w:t xml:space="preserve">M. </w:t>
      </w:r>
      <w:proofErr w:type="spellStart"/>
      <w:r w:rsidRPr="00526E69">
        <w:rPr>
          <w:i/>
          <w:iCs/>
        </w:rPr>
        <w:t>beccarii</w:t>
      </w:r>
      <w:proofErr w:type="spellEnd"/>
      <w:r w:rsidRPr="00526E69">
        <w:t xml:space="preserve">, which in natural conditions forms an exclusive association with </w:t>
      </w:r>
      <w:proofErr w:type="spellStart"/>
      <w:r w:rsidRPr="00526E69">
        <w:rPr>
          <w:i/>
          <w:iCs/>
        </w:rPr>
        <w:t>Philidris</w:t>
      </w:r>
      <w:proofErr w:type="spellEnd"/>
      <w:r w:rsidRPr="00526E69">
        <w:rPr>
          <w:i/>
          <w:iCs/>
        </w:rPr>
        <w:t xml:space="preserve"> cordata</w:t>
      </w:r>
      <w:r w:rsidRPr="00526E69">
        <w:t>, though as shown and defined in Chapter 3, it can form nutritional mutualisms with non-native partners under controlled conditions.</w:t>
      </w:r>
    </w:p>
    <w:p w14:paraId="32683FF1" w14:textId="77777777" w:rsidR="006C34D5" w:rsidRDefault="008E5528" w:rsidP="00526E69">
      <w:r w:rsidRPr="00526E69">
        <w:t xml:space="preserve">Nitrogen is an essential nutrient for plant growth and development, which is acquired mostly from the soil in the form of nitrate or ammonium (Vidal and Gutierrez, 2008). Epiphytic plants, which do not have access to nutrients from the soil and thus live in a nutrient-limited environment, have evolved distinct strategies to acquire nitrogen and other nutrients. Nutrients </w:t>
      </w:r>
      <w:r w:rsidRPr="00526E69">
        <w:lastRenderedPageBreak/>
        <w:t xml:space="preserve">are either taken from the canopy when rain-washed nutrients land on the epiphytes/trees (Clark et al., 1998) or by associating with species that provide nitrogen directly or indirectly. Epiphytes have evolved traits that facilitate nitrogen uptake from the leaves, such as absorptive trichomes in </w:t>
      </w:r>
      <w:r w:rsidRPr="00526E69">
        <w:rPr>
          <w:i/>
          <w:iCs/>
        </w:rPr>
        <w:t>Tillandsia</w:t>
      </w:r>
      <w:r w:rsidRPr="00526E69">
        <w:t xml:space="preserve"> (Benzing et al., 1976). The other strategy is to associate with species that provide nitrogen. </w:t>
      </w:r>
    </w:p>
    <w:p w14:paraId="4C98783D" w14:textId="77777777" w:rsidR="006C34D5" w:rsidRDefault="008E5528" w:rsidP="00526E69">
      <w:r w:rsidRPr="00526E69">
        <w:t>In the Neotropics, so-called tank bromeliads form mini-ponds in which a wide range of invertebrates and even amphibians thrive, which provides high-nitrogen inputs (Benzing et al., 1976; Zotz, 2016). Other species form interactions with ants, either by forming structures that facilitates their nesting (</w:t>
      </w:r>
      <w:proofErr w:type="spellStart"/>
      <w:r w:rsidRPr="00526E69">
        <w:rPr>
          <w:i/>
          <w:iCs/>
        </w:rPr>
        <w:t>Coryanthes</w:t>
      </w:r>
      <w:proofErr w:type="spellEnd"/>
      <w:r w:rsidRPr="00526E69">
        <w:t xml:space="preserve"> orchids roots (Casique et al., 2022) or </w:t>
      </w:r>
      <w:proofErr w:type="spellStart"/>
      <w:r w:rsidRPr="00526E69">
        <w:rPr>
          <w:i/>
          <w:iCs/>
        </w:rPr>
        <w:t>Platycerium</w:t>
      </w:r>
      <w:proofErr w:type="spellEnd"/>
      <w:r w:rsidRPr="00526E69">
        <w:t xml:space="preserve"> ferns leaves (Inui et al., 2009; Tanaka et al., 2009) or directly pre-made nests in the form of domatia (Chomicki and Renner, 2015). Epiphytic ant-plants form an effective strategy to survive in nutrient-poor environments (Janzen, 1974; Gay, 1993; Treseder et al., 1995; Chomicki and Renner, 2019). Ants contribute nitrogen through defecation and detritus brought inside plant domatia (Pu et al., 2021). Epiphytic ant plants that form facultative interactions with a wide range of ants lack specific structures that facilitate the uptake of ant-derived nutrients (Chomicki and Renner, 2019). </w:t>
      </w:r>
    </w:p>
    <w:p w14:paraId="00000224" w14:textId="6469DEE2" w:rsidR="00E420E3" w:rsidRPr="00526E69" w:rsidRDefault="008E5528" w:rsidP="00526E69">
      <w:r w:rsidRPr="00526E69">
        <w:t xml:space="preserve">By contrast, </w:t>
      </w:r>
      <w:proofErr w:type="spellStart"/>
      <w:r w:rsidRPr="00526E69">
        <w:t>Hydnophytinae</w:t>
      </w:r>
      <w:proofErr w:type="spellEnd"/>
      <w:r w:rsidRPr="00526E69">
        <w:t xml:space="preserve"> epiphytes that form specialist symbioses with Dolichoderinae ants have evolved a clear-cut differentiation with hyper-absorptive warty chambers in which the ants defecate and smooth chambers in which the ants rear their brood (Huxley, 1978; Chomicki and Renner, 2019).</w:t>
      </w:r>
    </w:p>
    <w:p w14:paraId="00000225" w14:textId="77777777" w:rsidR="00E420E3" w:rsidRPr="00526E69" w:rsidRDefault="008E5528" w:rsidP="00526E69">
      <w:r w:rsidRPr="00526E69">
        <w:t>The dominant form of nitrogen deposited by ants in ant faeces is urea and its derivatives (</w:t>
      </w:r>
      <w:proofErr w:type="spellStart"/>
      <w:r w:rsidRPr="00526E69">
        <w:t>Vidkjaer</w:t>
      </w:r>
      <w:proofErr w:type="spellEnd"/>
      <w:r w:rsidRPr="00526E69">
        <w:t xml:space="preserve"> et al., 2015; </w:t>
      </w:r>
      <w:proofErr w:type="spellStart"/>
      <w:r w:rsidRPr="00526E69">
        <w:t>Vidkjaer</w:t>
      </w:r>
      <w:proofErr w:type="spellEnd"/>
      <w:r w:rsidRPr="00526E69">
        <w:t xml:space="preserve"> et al., 2016). However, domatium microbiomes including fungi and actinomycetes may transform these compounds into ammonium or nitrate before plant uptake, potentially influencing which nitrogen transporter genes are expressed. Understanding the chemical form of nitrogen available to the plant is therefore critical to interpreting gene expression patterns of nitrate, ammonium and urease-related transporters. In terrestrial, non-myrmecophytic plants, nitrogen acquisition occurs primarily in roots. Root epidermal and root hair cells express several plasma-membrane nitrate and ammonium transporters that together support uptake across a broad range of external N concentrations. Low-affinity NO3- uptake at millimolar external nitrate concentrations is mediated by NRT1/NPF transporters (including the dual-affinity sensor-transporter NRT1.1/NPF6.3), whereas at micromolar nitrate levels inducible high-affinity uptake depends largely on NRT2-NAR2 transporter complexes; NH4+ </w:t>
      </w:r>
      <w:r w:rsidRPr="00526E69">
        <w:lastRenderedPageBreak/>
        <w:t>uptake is mediated by high-affinity AMT1/AMT2 transporters, and both nitrate and ammonium uptake systems are tightly regulated by external supply and internal nitrogen status (Glass et al., 2002; Krapp, 2014; Von Wittgenstein et al., 2014). In stark contrast, the molecular toolkit underlying nitrogen uptake in ant-associated epiphytes is currently unknown.</w:t>
      </w:r>
    </w:p>
    <w:p w14:paraId="752B6BB7" w14:textId="77777777" w:rsidR="006C34D5" w:rsidRDefault="008E5528" w:rsidP="00526E69">
      <w:r w:rsidRPr="00526E69">
        <w:t xml:space="preserve">Given that facultative ant-plants associate with a broad range of arboreal ant species, partner identity and colony size are expected to vary temporally, leading to fluctuations in nitrogen input quality and quantity (Huxley, 1978; Chomicki and Renner, 2017). Evidence for such fluctuations comes from field studies showing that facultative ant-plants are frequently unoccupied or occupied by poor-quality partners (Maeyama and Matsumoto, 2000; Chomicki and Renner, 2017), in contrast to obligate species where a single specialised partner maintains consistent colony presence. </w:t>
      </w:r>
    </w:p>
    <w:p w14:paraId="00000226" w14:textId="5D5C0B84" w:rsidR="00E420E3" w:rsidRPr="00526E69" w:rsidRDefault="008E5528" w:rsidP="00526E69">
      <w:r w:rsidRPr="00526E69">
        <w:t>This parallels the logic of inducible defence systems in plants exposed to variable herbivory where constitutive expression is costly and inducible systems are favoured when the stimulus is unpredictable (Karban and Baldwin, 1997). By analogy, an inducible nitrogen uptake system would be adaptive in facultative ant-plants where nitrogen inputs are variable, whereas constitutive expression would be favoured in obligate species where inputs are reliable. By contrast, the obligate ant-plants have consistent nutritional inputs from their speciali</w:t>
      </w:r>
      <w:r w:rsidR="00516242">
        <w:t>s</w:t>
      </w:r>
      <w:r w:rsidRPr="00526E69">
        <w:t>ed Dolichoderinae ant partners, and these nutrients are provided in specific areas (warty cavities), hence we might expect a more constitutive expression of nitrogen uptake genes.</w:t>
      </w:r>
    </w:p>
    <w:p w14:paraId="00000227" w14:textId="2ECDF2B6" w:rsidR="00E420E3" w:rsidRPr="00526E69" w:rsidRDefault="008E5528" w:rsidP="00526E69">
      <w:r w:rsidRPr="00526E69">
        <w:t xml:space="preserve">Having established experimental symbioses involving both facultative and obligate ant plants in Chapter 3, we can now ask how mutualistic dependence modulates the transcriptional architecture underlying nitrogen acquisition. To do so, we compared the nitrogen-related gene expression profiles of two myrmecophytic epiphytes with contrasting mutualism strategies: the facultative </w:t>
      </w:r>
      <w:r w:rsidRPr="00526E69">
        <w:rPr>
          <w:i/>
          <w:iCs/>
        </w:rPr>
        <w:t xml:space="preserve">H. </w:t>
      </w:r>
      <w:proofErr w:type="spellStart"/>
      <w:r w:rsidRPr="00526E69">
        <w:rPr>
          <w:i/>
          <w:iCs/>
        </w:rPr>
        <w:t>moseleyanum</w:t>
      </w:r>
      <w:proofErr w:type="spellEnd"/>
      <w:r w:rsidRPr="00526E69">
        <w:t xml:space="preserve">, and the obligate </w:t>
      </w:r>
      <w:r w:rsidRPr="00526E69">
        <w:rPr>
          <w:i/>
          <w:iCs/>
        </w:rPr>
        <w:t xml:space="preserve">M. </w:t>
      </w:r>
      <w:proofErr w:type="spellStart"/>
      <w:r w:rsidRPr="00526E69">
        <w:rPr>
          <w:i/>
          <w:iCs/>
        </w:rPr>
        <w:t>beccarii</w:t>
      </w:r>
      <w:proofErr w:type="spellEnd"/>
      <w:r w:rsidRPr="00526E69">
        <w:t>. By analysing gene expression across three tissue types (warty, smooth, and tuber) in both ant-coloni</w:t>
      </w:r>
      <w:r w:rsidR="00516242">
        <w:t>s</w:t>
      </w:r>
      <w:r w:rsidRPr="00526E69">
        <w:t xml:space="preserve">ed and ant-deprived conditions, as well as artificial nitrogen fertilisation included to disentangle whether gene expression changes are driven by the physical presence of ants or by the nitrogen they </w:t>
      </w:r>
      <w:r w:rsidR="0022628B" w:rsidRPr="00526E69">
        <w:t>provide,</w:t>
      </w:r>
      <w:r w:rsidRPr="00526E69">
        <w:t xml:space="preserve"> we aim to determine the inducibility vs. constitutive aspect of the nitrogen uptake genetic toolkit in nutritional </w:t>
      </w:r>
      <w:r w:rsidR="009F23E6">
        <w:t>ant-plant</w:t>
      </w:r>
      <w:r w:rsidRPr="00526E69">
        <w:t xml:space="preserve"> symbioses.</w:t>
      </w:r>
    </w:p>
    <w:p w14:paraId="0000022B" w14:textId="77777777" w:rsidR="00E420E3" w:rsidRDefault="008E5528" w:rsidP="00045C7B">
      <w:pPr>
        <w:pStyle w:val="Heading3"/>
      </w:pPr>
      <w:bookmarkStart w:id="67" w:name="_Toc235393007"/>
      <w:r>
        <w:lastRenderedPageBreak/>
        <w:t>4.3 Materials and methods</w:t>
      </w:r>
      <w:bookmarkEnd w:id="67"/>
      <w:r>
        <w:t xml:space="preserve"> </w:t>
      </w:r>
    </w:p>
    <w:p w14:paraId="0000022C" w14:textId="77777777" w:rsidR="00E420E3" w:rsidRDefault="008E5528" w:rsidP="00045C7B">
      <w:pPr>
        <w:pStyle w:val="Heading4"/>
      </w:pPr>
      <w:bookmarkStart w:id="68" w:name="_Toc235393008"/>
      <w:r>
        <w:t>4.3.1 Experimental design</w:t>
      </w:r>
      <w:bookmarkEnd w:id="68"/>
      <w:r>
        <w:t xml:space="preserve"> </w:t>
      </w:r>
    </w:p>
    <w:p w14:paraId="5BAC420B" w14:textId="3CB8D7F9" w:rsidR="006C34D5" w:rsidRDefault="008E5528" w:rsidP="00045C7B">
      <w:r w:rsidRPr="00045C7B">
        <w:t>Prior to treatment assignment, some plants were maintained ant-free from being bought (</w:t>
      </w:r>
      <w:proofErr w:type="spellStart"/>
      <w:r w:rsidRPr="00045C7B">
        <w:t>Houserootplant</w:t>
      </w:r>
      <w:proofErr w:type="spellEnd"/>
      <w:r w:rsidRPr="00045C7B">
        <w:t>) whilst others were germinated and not exposed to ants as they grew. Plants assigned to the ants present treatment were subsequently exposed to freely roaming ghost ants, while plants in the remaining treatments had ant access prevented throughout the experiment Each species was represented by nine experimental plants potted into Westland Multi-Purpose Compost with John Innes soil, assigned to three treatments (N = 3 per treatment): ants present, ants excluded, and fertiliser-only</w:t>
      </w:r>
      <w:r w:rsidR="00CD1432">
        <w:t xml:space="preserve"> (Fig. 10)</w:t>
      </w:r>
      <w:r w:rsidRPr="00045C7B">
        <w:t xml:space="preserve">. The ants excluded treatment served as the control without any intervention, allowing us to establish a baseline gene expression level against which both ant presence and fertiliser effects could be compared. These treatments allowed us to compare constitutive and inducible gene expression in response to ant presence and inorganic nitrogen supply. </w:t>
      </w:r>
    </w:p>
    <w:p w14:paraId="6ABDC33B" w14:textId="77777777" w:rsidR="00E11F5A" w:rsidRDefault="008E5528" w:rsidP="00045C7B">
      <w:r w:rsidRPr="00045C7B">
        <w:t xml:space="preserve">The experiments were conducted in a greenhouse compartment at the Arthur Willis Environment Centre, University of Sheffield (AWEC) greenhouse under controlled conditions (approximately 75% relative humidity, 26 degrees C and ca. 10 mol m-2 day-1 photosynthetic photon flux density). Plants were watered twice a week with 3 days apart, which was sufficient to maintain healthy growth under the controlled greenhouse conditions without waterlogging the substrate or leaching nutrients. Four tissues were sampled: leaves, warty surface tissue (approximately 1 mm deep of tissue around warty surfaces), smooth surface tissue (approximately 1 mm deep of tissue around smooth surfaces), and tuber tissue. For no ants, plants were placed on plastic saucers elevating them above water level in a large tray filled with water mixed with washing detergent, creating a moat-like barrier that prevented ants from accessing the plants. </w:t>
      </w:r>
    </w:p>
    <w:p w14:paraId="11899C34" w14:textId="77777777" w:rsidR="00E11F5A" w:rsidRDefault="008E5528" w:rsidP="00045C7B">
      <w:r w:rsidRPr="00045C7B">
        <w:t>Prior to the experiment, it was confirmed that no ants were present inside the domatia of plants assigned to the no-</w:t>
      </w:r>
      <w:proofErr w:type="gramStart"/>
      <w:r w:rsidRPr="00045C7B">
        <w:t>ants</w:t>
      </w:r>
      <w:proofErr w:type="gramEnd"/>
      <w:r w:rsidRPr="00045C7B">
        <w:t xml:space="preserve"> treatments. The detergent served to reduce surface tension, ensuring ants could not float or cross to reach plant pots. These plant pots, each placed on an inverted saucer, were carefully placed toward the centre of the tray, away from the tray's edges, to eliminate potential bridging points that ants could use to reach the plants. The water level in the tray was maintained just below the top surface of the inverted saucers, ensuring that the plants remained elevated and dry while effectively preventing ant access. A nitrogen treatment </w:t>
      </w:r>
      <w:r w:rsidRPr="00045C7B">
        <w:lastRenderedPageBreak/>
        <w:t xml:space="preserve">was applied over two months by injecting a fertiliser mix into natural plant entrance holes once a week. </w:t>
      </w:r>
    </w:p>
    <w:p w14:paraId="37A57684" w14:textId="0CF797DC" w:rsidR="00941101" w:rsidRPr="00045C7B" w:rsidRDefault="008E5528" w:rsidP="00045C7B">
      <w:r w:rsidRPr="00045C7B">
        <w:t>Plants in the fertiliser treatment received injections of a dilute solution of Gro-Sure All Purpose Liquid Plant Food (Westland Horticulture; NPK 5-3-8), prepared at 1.1 mL product per 500 mL water (approx. 0.11 g total N L-1). This concentration was chosen to approximate the nitrogen inputs that might be delivered by ant colonies within the domatium, providing a comparable inorganic nitrogen pulse without approaching phytotoxic levels (approximately 50% of the manufacturer recommended strength for standard soil). Each replicate plant was consistently treated in the same entrance hole locations.</w:t>
      </w:r>
    </w:p>
    <w:p w14:paraId="30CE021A" w14:textId="43CB92EC" w:rsidR="00941101" w:rsidRDefault="00E11F5A" w:rsidP="00DA0846">
      <w:r>
        <w:rPr>
          <w:i/>
          <w:iCs/>
          <w:noProof/>
        </w:rPr>
        <w:drawing>
          <wp:anchor distT="0" distB="0" distL="114300" distR="114300" simplePos="0" relativeHeight="251672582" behindDoc="0" locked="0" layoutInCell="1" allowOverlap="1" wp14:anchorId="1D39FA73" wp14:editId="76160201">
            <wp:simplePos x="0" y="0"/>
            <wp:positionH relativeFrom="margin">
              <wp:posOffset>103367</wp:posOffset>
            </wp:positionH>
            <wp:positionV relativeFrom="paragraph">
              <wp:posOffset>4445</wp:posOffset>
            </wp:positionV>
            <wp:extent cx="5740400" cy="3149600"/>
            <wp:effectExtent l="0" t="0" r="0" b="0"/>
            <wp:wrapNone/>
            <wp:docPr id="9" name="image9.gif"/>
            <wp:cNvGraphicFramePr/>
            <a:graphic xmlns:a="http://schemas.openxmlformats.org/drawingml/2006/main">
              <a:graphicData uri="http://schemas.openxmlformats.org/drawingml/2006/picture">
                <pic:pic xmlns:pic="http://schemas.openxmlformats.org/drawingml/2006/picture">
                  <pic:nvPicPr>
                    <pic:cNvPr id="0" name="image9.gif"/>
                    <pic:cNvPicPr preferRelativeResize="0"/>
                  </pic:nvPicPr>
                  <pic:blipFill>
                    <a:blip r:embed="rId25">
                      <a:extLst>
                        <a:ext uri="{28A0092B-C50C-407E-A947-70E740481C1C}">
                          <a14:useLocalDpi xmlns:a14="http://schemas.microsoft.com/office/drawing/2010/main" val="0"/>
                        </a:ext>
                      </a:extLst>
                    </a:blip>
                    <a:srcRect/>
                    <a:stretch>
                      <a:fillRect/>
                    </a:stretch>
                  </pic:blipFill>
                  <pic:spPr>
                    <a:xfrm>
                      <a:off x="0" y="0"/>
                      <a:ext cx="5740400" cy="3149600"/>
                    </a:xfrm>
                    <a:prstGeom prst="rect">
                      <a:avLst/>
                    </a:prstGeom>
                    <a:ln/>
                  </pic:spPr>
                </pic:pic>
              </a:graphicData>
            </a:graphic>
          </wp:anchor>
        </w:drawing>
      </w:r>
    </w:p>
    <w:p w14:paraId="50373FEE" w14:textId="765FF404" w:rsidR="00941101" w:rsidRDefault="00941101" w:rsidP="00DA0846"/>
    <w:p w14:paraId="3AA2FD89" w14:textId="272B50E8" w:rsidR="00941101" w:rsidRDefault="00941101" w:rsidP="00941101"/>
    <w:p w14:paraId="0D3B0B09" w14:textId="77777777" w:rsidR="00941101" w:rsidRDefault="00941101" w:rsidP="00941101"/>
    <w:p w14:paraId="35FC1F3F" w14:textId="77777777" w:rsidR="00941101" w:rsidRDefault="00941101" w:rsidP="00941101"/>
    <w:p w14:paraId="683768B0" w14:textId="77777777" w:rsidR="00941101" w:rsidRDefault="00941101" w:rsidP="00941101"/>
    <w:p w14:paraId="222E12AB" w14:textId="77777777" w:rsidR="00941101" w:rsidRDefault="00941101" w:rsidP="00941101"/>
    <w:p w14:paraId="3EE7E7E3" w14:textId="77777777" w:rsidR="000778C1" w:rsidRDefault="000778C1" w:rsidP="00941101"/>
    <w:p w14:paraId="611D393E" w14:textId="77777777" w:rsidR="000778C1" w:rsidRDefault="000778C1" w:rsidP="00941101"/>
    <w:p w14:paraId="5BDBB4C7" w14:textId="77777777" w:rsidR="005A51AC" w:rsidRDefault="005A51AC" w:rsidP="00EF011E">
      <w:pPr>
        <w:pStyle w:val="Caption"/>
        <w:rPr>
          <w:b/>
          <w:bCs/>
          <w:i w:val="0"/>
          <w:iCs w:val="0"/>
          <w:color w:val="auto"/>
          <w:sz w:val="24"/>
          <w:szCs w:val="24"/>
        </w:rPr>
      </w:pPr>
      <w:bookmarkStart w:id="69" w:name="_Toc235390732"/>
    </w:p>
    <w:p w14:paraId="0000022D" w14:textId="0812FF60" w:rsidR="00E420E3" w:rsidRDefault="001867AC" w:rsidP="00EF011E">
      <w:pPr>
        <w:pStyle w:val="Caption"/>
        <w:rPr>
          <w:i w:val="0"/>
          <w:iCs w:val="0"/>
          <w:color w:val="auto"/>
          <w:sz w:val="24"/>
          <w:szCs w:val="24"/>
        </w:rPr>
      </w:pPr>
      <w:r w:rsidRPr="00096BD8">
        <w:rPr>
          <w:b/>
          <w:bCs/>
          <w:i w:val="0"/>
          <w:iCs w:val="0"/>
          <w:color w:val="auto"/>
          <w:sz w:val="24"/>
          <w:szCs w:val="24"/>
        </w:rPr>
        <w:t>Figure</w:t>
      </w:r>
      <w:r w:rsidR="00201466">
        <w:rPr>
          <w:b/>
          <w:bCs/>
          <w:i w:val="0"/>
          <w:iCs w:val="0"/>
          <w:color w:val="auto"/>
          <w:sz w:val="24"/>
          <w:szCs w:val="24"/>
        </w:rPr>
        <w:t xml:space="preserve"> 10.</w:t>
      </w:r>
      <w:r w:rsidRPr="00096BD8">
        <w:rPr>
          <w:b/>
          <w:bCs/>
          <w:i w:val="0"/>
          <w:iCs w:val="0"/>
          <w:color w:val="auto"/>
          <w:sz w:val="24"/>
          <w:szCs w:val="24"/>
        </w:rPr>
        <w:t xml:space="preserve"> </w:t>
      </w:r>
      <w:r w:rsidRPr="00096BD8">
        <w:rPr>
          <w:i w:val="0"/>
          <w:iCs w:val="0"/>
          <w:color w:val="auto"/>
          <w:sz w:val="24"/>
          <w:szCs w:val="24"/>
        </w:rPr>
        <w:t>Experimental design and sa</w:t>
      </w:r>
      <w:r w:rsidRPr="00EF011E">
        <w:rPr>
          <w:i w:val="0"/>
          <w:iCs w:val="0"/>
          <w:color w:val="auto"/>
          <w:sz w:val="24"/>
          <w:szCs w:val="24"/>
        </w:rPr>
        <w:t>mpling schem</w:t>
      </w:r>
      <w:r w:rsidR="00C9301B" w:rsidRPr="00EF011E">
        <w:rPr>
          <w:i w:val="0"/>
          <w:iCs w:val="0"/>
          <w:color w:val="auto"/>
          <w:sz w:val="24"/>
          <w:szCs w:val="24"/>
        </w:rPr>
        <w:t>e.</w:t>
      </w:r>
      <w:bookmarkEnd w:id="69"/>
      <w:r w:rsidR="00EF011E" w:rsidRPr="00EF011E">
        <w:rPr>
          <w:i w:val="0"/>
          <w:iCs w:val="0"/>
          <w:color w:val="auto"/>
          <w:sz w:val="24"/>
          <w:szCs w:val="24"/>
        </w:rPr>
        <w:t xml:space="preserve"> </w:t>
      </w:r>
      <w:r w:rsidRPr="00EF011E">
        <w:rPr>
          <w:i w:val="0"/>
          <w:iCs w:val="0"/>
          <w:color w:val="auto"/>
          <w:sz w:val="24"/>
          <w:szCs w:val="24"/>
        </w:rPr>
        <w:t>All plants began ant-free; three of nine plants per species were subsequently exposed to freely roaming ghost ants, while the remaining plants were assigned either to a fertiliser-only (without ants) treatment or a without-ants control. The schematic illustrates the experimental timeline and the three treatments (ants present, fertiliser + without ants, without ants). Four tissues (leaf, tuber, warty domatium wall and smooth domatium wall) were sampled at the end of the experiment for RNA extraction and bulk RNA sequencing (plant outlines created using AI-assisted illustration).</w:t>
      </w:r>
    </w:p>
    <w:p w14:paraId="0000022E" w14:textId="75B8A1D1" w:rsidR="00E420E3" w:rsidRPr="001F08D2" w:rsidRDefault="008E5528" w:rsidP="001F08D2">
      <w:pPr>
        <w:pStyle w:val="Heading4"/>
      </w:pPr>
      <w:bookmarkStart w:id="70" w:name="_heading=h.umgxybujo4un" w:colFirst="0" w:colLast="0"/>
      <w:bookmarkStart w:id="71" w:name="_Toc235393009"/>
      <w:bookmarkEnd w:id="70"/>
      <w:r w:rsidRPr="001F08D2">
        <w:t>4.3.2 RNA extraction and sequencing</w:t>
      </w:r>
      <w:bookmarkEnd w:id="71"/>
    </w:p>
    <w:p w14:paraId="0000022F" w14:textId="77777777" w:rsidR="00E420E3" w:rsidRPr="001F08D2" w:rsidRDefault="008E5528" w:rsidP="001F08D2">
      <w:pPr>
        <w:rPr>
          <w:b/>
          <w:bCs/>
        </w:rPr>
      </w:pPr>
      <w:bookmarkStart w:id="72" w:name="_heading=h.m51k7larh4k3" w:colFirst="0" w:colLast="0"/>
      <w:bookmarkEnd w:id="72"/>
      <w:r w:rsidRPr="001F08D2">
        <w:t xml:space="preserve">Plants were dissected and samples were collected and immediately flash-frozen in liquid nitrogen on the same day. They were then kept in a -80 degrees C freezer until they were ground in liquid nitrogen using a mortar and pestle. RNA was extracted from four different plant tissues: leaves and three tissues from the domatium, namely warty surface tissue (i.e. about 1 </w:t>
      </w:r>
      <w:r w:rsidRPr="001F08D2">
        <w:lastRenderedPageBreak/>
        <w:t xml:space="preserve">mm deep of tissue around warty surfaces), smooth surface tissue (i.e. about 1 mm deep of tissue around smooth surfaces) and tuber tissue (tissue without inner surface within the domatium) from both </w:t>
      </w:r>
      <w:r w:rsidRPr="001F08D2">
        <w:rPr>
          <w:i/>
          <w:iCs/>
        </w:rPr>
        <w:t xml:space="preserve">M. </w:t>
      </w:r>
      <w:proofErr w:type="spellStart"/>
      <w:r w:rsidRPr="001F08D2">
        <w:rPr>
          <w:i/>
          <w:iCs/>
        </w:rPr>
        <w:t>beccarii</w:t>
      </w:r>
      <w:proofErr w:type="spellEnd"/>
      <w:r w:rsidRPr="001F08D2">
        <w:t xml:space="preserve"> and </w:t>
      </w:r>
      <w:r w:rsidRPr="001F08D2">
        <w:rPr>
          <w:i/>
          <w:iCs/>
        </w:rPr>
        <w:t xml:space="preserve">H. </w:t>
      </w:r>
      <w:proofErr w:type="spellStart"/>
      <w:r w:rsidRPr="001F08D2">
        <w:rPr>
          <w:i/>
          <w:iCs/>
        </w:rPr>
        <w:t>moseleyanum</w:t>
      </w:r>
      <w:proofErr w:type="spellEnd"/>
      <w:r w:rsidRPr="001F08D2">
        <w:t xml:space="preserve"> both grown from seeds and acquired as ~20 cm high plants from root-houseplants.com. Similarly, to obligate vs. facultative </w:t>
      </w:r>
      <w:proofErr w:type="spellStart"/>
      <w:r w:rsidRPr="00F03833">
        <w:rPr>
          <w:i/>
          <w:iCs/>
        </w:rPr>
        <w:t>Squamellaria</w:t>
      </w:r>
      <w:proofErr w:type="spellEnd"/>
      <w:r w:rsidRPr="001F08D2">
        <w:t xml:space="preserve"> species (Chomicki and Renner, 2019), </w:t>
      </w:r>
      <w:r w:rsidRPr="001F08D2">
        <w:rPr>
          <w:i/>
          <w:iCs/>
        </w:rPr>
        <w:t xml:space="preserve">M. </w:t>
      </w:r>
      <w:proofErr w:type="spellStart"/>
      <w:r w:rsidRPr="001F08D2">
        <w:rPr>
          <w:i/>
          <w:iCs/>
        </w:rPr>
        <w:t>beccarii</w:t>
      </w:r>
      <w:proofErr w:type="spellEnd"/>
      <w:r w:rsidRPr="001F08D2">
        <w:t xml:space="preserve"> has a clear-cut differentiation between warty and smooth walls, while </w:t>
      </w:r>
      <w:r w:rsidRPr="001F08D2">
        <w:rPr>
          <w:i/>
          <w:iCs/>
        </w:rPr>
        <w:t xml:space="preserve">H. </w:t>
      </w:r>
      <w:proofErr w:type="spellStart"/>
      <w:r w:rsidRPr="001F08D2">
        <w:rPr>
          <w:i/>
          <w:iCs/>
        </w:rPr>
        <w:t>moseleyanum</w:t>
      </w:r>
      <w:proofErr w:type="spellEnd"/>
      <w:r w:rsidRPr="001F08D2">
        <w:t xml:space="preserve"> has less differentiated surfaces, with 'smooth-like' and 'warty-like' areas. RNA extraction relied on the RNeasy Plant Mini Kit (Qiagen). For all RNA-</w:t>
      </w:r>
      <w:proofErr w:type="spellStart"/>
      <w:r w:rsidRPr="001F08D2">
        <w:t>seq</w:t>
      </w:r>
      <w:proofErr w:type="spellEnd"/>
      <w:r w:rsidRPr="001F08D2">
        <w:t xml:space="preserve"> treatment, triplicates were used (with three distinct plant individuals).</w:t>
      </w:r>
    </w:p>
    <w:p w14:paraId="00000230" w14:textId="10B46BBE" w:rsidR="00E420E3" w:rsidRPr="001F08D2" w:rsidRDefault="008E5528" w:rsidP="001F08D2">
      <w:pPr>
        <w:rPr>
          <w:b/>
          <w:bCs/>
        </w:rPr>
      </w:pPr>
      <w:bookmarkStart w:id="73" w:name="_heading=h.colwweqwhc1w" w:colFirst="0" w:colLast="0"/>
      <w:bookmarkEnd w:id="73"/>
      <w:r w:rsidRPr="001F08D2">
        <w:t xml:space="preserve">Following extraction, the quality of each sample was checked by first determining the RNA concentration using </w:t>
      </w:r>
      <w:r w:rsidR="0022628B" w:rsidRPr="001F08D2">
        <w:t>Nanodrop and</w:t>
      </w:r>
      <w:r w:rsidRPr="001F08D2">
        <w:t xml:space="preserve"> then quantifying the integrity </w:t>
      </w:r>
      <w:r w:rsidRPr="005A51AC">
        <w:t>(</w:t>
      </w:r>
      <w:r w:rsidR="00DF5FC0" w:rsidRPr="005A51AC">
        <w:t>t</w:t>
      </w:r>
      <w:r w:rsidRPr="005A51AC">
        <w:t xml:space="preserve">he </w:t>
      </w:r>
      <w:r w:rsidRPr="001F08D2">
        <w:t xml:space="preserve">degree to which RNA is undegraded and suitable for sequencing) of RNA using a 4200 </w:t>
      </w:r>
      <w:proofErr w:type="spellStart"/>
      <w:r w:rsidRPr="001F08D2">
        <w:t>TapeStation</w:t>
      </w:r>
      <w:proofErr w:type="spellEnd"/>
      <w:r w:rsidRPr="001F08D2">
        <w:t xml:space="preserve"> system. Samples with RNA concentrations greater than 10 ng/</w:t>
      </w:r>
      <w:proofErr w:type="spellStart"/>
      <w:r w:rsidRPr="001F08D2">
        <w:t>uL</w:t>
      </w:r>
      <w:proofErr w:type="spellEnd"/>
      <w:r w:rsidRPr="001F08D2">
        <w:t xml:space="preserve"> and RNA Integrity Number (RIN) values close to or above 7 were submitted for sequencing. To generate the </w:t>
      </w:r>
      <w:proofErr w:type="spellStart"/>
      <w:r w:rsidRPr="001F08D2">
        <w:t>RNAseq</w:t>
      </w:r>
      <w:proofErr w:type="spellEnd"/>
      <w:r w:rsidRPr="001F08D2">
        <w:t xml:space="preserve"> libraries we used </w:t>
      </w:r>
      <w:proofErr w:type="spellStart"/>
      <w:r w:rsidRPr="001F08D2">
        <w:t>NEBNext</w:t>
      </w:r>
      <w:proofErr w:type="spellEnd"/>
      <w:r w:rsidRPr="001F08D2">
        <w:t xml:space="preserve"> Poly(A) mRNA Magnetic Isolation Module followed by </w:t>
      </w:r>
      <w:proofErr w:type="spellStart"/>
      <w:r w:rsidRPr="001F08D2">
        <w:t>NEBNext</w:t>
      </w:r>
      <w:proofErr w:type="spellEnd"/>
      <w:r w:rsidRPr="001F08D2">
        <w:t xml:space="preserve"> Ultra II Directional RNA Library Prep Kit for Illumina and sequenced using the Illumina HiSeq 2500 Genome Sequencer (Illumina, San Diego). Libraries were sequenced to generate at least 20 million pairs of reads of 100-bp length. RNA sequencing was performed at the NERC Environmental Omics Facility (NEOF), Centre for Genomic Research, University of Liverpool. Control cavity tubers refer to tuber tissue sampled from the no-ants control plants, which were sequenced alongside the ant-present and fertiliser treatments to provide a baseline for gene expression comparisons.</w:t>
      </w:r>
    </w:p>
    <w:p w14:paraId="00000231" w14:textId="77777777" w:rsidR="00E420E3" w:rsidRPr="001F08D2" w:rsidRDefault="008E5528" w:rsidP="001F08D2">
      <w:pPr>
        <w:pStyle w:val="Heading4"/>
      </w:pPr>
      <w:bookmarkStart w:id="74" w:name="_heading=h.hk1dfk8hna1f" w:colFirst="0" w:colLast="0"/>
      <w:bookmarkStart w:id="75" w:name="_Toc235393010"/>
      <w:bookmarkEnd w:id="74"/>
      <w:r w:rsidRPr="001F08D2">
        <w:t>4.3.3 Transcriptome assembly and analysis</w:t>
      </w:r>
      <w:bookmarkEnd w:id="75"/>
    </w:p>
    <w:p w14:paraId="00000232" w14:textId="77777777" w:rsidR="00E420E3" w:rsidRPr="001F08D2" w:rsidRDefault="008E5528" w:rsidP="001F08D2">
      <w:pPr>
        <w:rPr>
          <w:b/>
          <w:bCs/>
        </w:rPr>
      </w:pPr>
      <w:bookmarkStart w:id="76" w:name="_heading=h.752nqayajwkm" w:colFirst="0" w:colLast="0"/>
      <w:bookmarkEnd w:id="76"/>
      <w:r w:rsidRPr="001F08D2">
        <w:t xml:space="preserve">Raw FASTQ files were pre-processed to remove adapter sequences and trim low-quality bases. Adapter sequences were trimmed using </w:t>
      </w:r>
      <w:proofErr w:type="spellStart"/>
      <w:r w:rsidRPr="001F08D2">
        <w:t>Cutadapt</w:t>
      </w:r>
      <w:proofErr w:type="spellEnd"/>
      <w:r w:rsidRPr="001F08D2">
        <w:t xml:space="preserve"> version 4.5 (Martin, 2011), with the option -O 3, ensuring that trimming occurred if at least 3 base pairs of the adapter sequence were present at the 3' end of the read. The reads were further trimmed to remove low-quality bases, with a minimum window quality score of 20. Reads shorter than 15 base pairs after trimming were discarded. Trimmed RNA-</w:t>
      </w:r>
      <w:proofErr w:type="spellStart"/>
      <w:r w:rsidRPr="001F08D2">
        <w:t>seq</w:t>
      </w:r>
      <w:proofErr w:type="spellEnd"/>
      <w:r w:rsidRPr="001F08D2">
        <w:t xml:space="preserve"> reads from each species were mapped to their respective reference genomes (</w:t>
      </w:r>
      <w:r w:rsidRPr="00B62F60">
        <w:rPr>
          <w:i/>
          <w:iCs/>
        </w:rPr>
        <w:t xml:space="preserve">H. </w:t>
      </w:r>
      <w:proofErr w:type="spellStart"/>
      <w:r w:rsidRPr="00B62F60">
        <w:rPr>
          <w:i/>
          <w:iCs/>
        </w:rPr>
        <w:t>moseleyanum</w:t>
      </w:r>
      <w:proofErr w:type="spellEnd"/>
      <w:r w:rsidRPr="001F08D2">
        <w:t xml:space="preserve"> and </w:t>
      </w:r>
      <w:r w:rsidRPr="00B62F60">
        <w:rPr>
          <w:i/>
          <w:iCs/>
        </w:rPr>
        <w:t xml:space="preserve">M. </w:t>
      </w:r>
      <w:proofErr w:type="spellStart"/>
      <w:r w:rsidRPr="00B62F60">
        <w:rPr>
          <w:i/>
          <w:iCs/>
        </w:rPr>
        <w:t>beccarii</w:t>
      </w:r>
      <w:proofErr w:type="spellEnd"/>
      <w:r w:rsidRPr="001F08D2">
        <w:t xml:space="preserve"> genome assemblies described in Chapter 2) using HISAT2 version 2.2.1 (Kim et al., 2019) with default parameters and </w:t>
      </w:r>
      <w:proofErr w:type="spellStart"/>
      <w:r w:rsidRPr="001F08D2">
        <w:t>Samtools</w:t>
      </w:r>
      <w:proofErr w:type="spellEnd"/>
      <w:r w:rsidRPr="001F08D2">
        <w:t xml:space="preserve"> 1.16.1 (Li et al., 2009) to convert the SAM file generated by HISAT2 into a sorted BAM file. Raw count matrices were generated using </w:t>
      </w:r>
      <w:proofErr w:type="spellStart"/>
      <w:r w:rsidRPr="001F08D2">
        <w:t>FeatureCounts</w:t>
      </w:r>
      <w:proofErr w:type="spellEnd"/>
      <w:r w:rsidRPr="001F08D2">
        <w:t xml:space="preserve"> v2.0.2 (Liao et al., 2014). Among the four </w:t>
      </w:r>
      <w:r w:rsidRPr="001F08D2">
        <w:lastRenderedPageBreak/>
        <w:t>tissue types (warty surfaces, smooth surfaces, tuber tissue and leaf tissue), pairwise differential expression analyses and likelihood ratio test (LRT) were performed using DESeq2 version 1.38.3 (Love et al., 2014). P-values were adjusted for multiple testing using the Benjamini-Hochberg false discovery rate procedure.</w:t>
      </w:r>
    </w:p>
    <w:p w14:paraId="00000233" w14:textId="77777777" w:rsidR="00E420E3" w:rsidRPr="001F08D2" w:rsidRDefault="008E5528" w:rsidP="001F08D2">
      <w:pPr>
        <w:pStyle w:val="Heading4"/>
      </w:pPr>
      <w:bookmarkStart w:id="77" w:name="_heading=h.l68xq1ujxaax" w:colFirst="0" w:colLast="0"/>
      <w:bookmarkStart w:id="78" w:name="_Toc235393011"/>
      <w:bookmarkEnd w:id="77"/>
      <w:r w:rsidRPr="001F08D2">
        <w:t>4.3.4 Identification of nitrogen-related genes</w:t>
      </w:r>
      <w:bookmarkEnd w:id="78"/>
    </w:p>
    <w:p w14:paraId="5151C562" w14:textId="77777777" w:rsidR="006A4787" w:rsidRDefault="008E5528" w:rsidP="001F08D2">
      <w:bookmarkStart w:id="79" w:name="_heading=h.ak5cs4pdjfos" w:colFirst="0" w:colLast="0"/>
      <w:bookmarkEnd w:id="79"/>
      <w:r w:rsidRPr="001F08D2">
        <w:t>Nitrogen-related genes were identified based on a combination of literature review (</w:t>
      </w:r>
      <w:proofErr w:type="spellStart"/>
      <w:r w:rsidRPr="001F08D2">
        <w:t>Pinton</w:t>
      </w:r>
      <w:proofErr w:type="spellEnd"/>
      <w:r w:rsidRPr="001F08D2">
        <w:t xml:space="preserve"> et al., 2016; Hachiya and Sakakibara, 2017) and functional annotation. Candidate genes associated with nitrogen function and assimilation were first selected by consulting published studies describing nitrogen metabolism pathways and the specific nitrogen-related gene families analysed in this chapter (e.g. ammonium transporters, nitrite/nitrate transporters, urease and cytochrome c biogenesis genes). Defence-related genes including cytochrome P450, NPR1-interacting genes, PDR ABC transporters, multicopper oxidases and gamma-</w:t>
      </w:r>
      <w:proofErr w:type="spellStart"/>
      <w:r w:rsidRPr="001F08D2">
        <w:t>thionins</w:t>
      </w:r>
      <w:proofErr w:type="spellEnd"/>
      <w:r w:rsidRPr="001F08D2">
        <w:t xml:space="preserve"> were identified through </w:t>
      </w:r>
      <w:proofErr w:type="spellStart"/>
      <w:r w:rsidRPr="001F08D2">
        <w:t>InterProScan</w:t>
      </w:r>
      <w:proofErr w:type="spellEnd"/>
      <w:r w:rsidRPr="001F08D2">
        <w:t xml:space="preserve"> annotations using terms such as 'defence', 'pathogenesis', and 'stress response', and were included in the analysis to assess whether ant presence triggers broader immune or stress responses beyond nitrogen acquisition. </w:t>
      </w:r>
    </w:p>
    <w:p w14:paraId="00000234" w14:textId="5AE2FEB1" w:rsidR="00E420E3" w:rsidRPr="001F08D2" w:rsidRDefault="008E5528" w:rsidP="001F08D2">
      <w:pPr>
        <w:rPr>
          <w:b/>
          <w:bCs/>
        </w:rPr>
      </w:pPr>
      <w:r w:rsidRPr="001F08D2">
        <w:t xml:space="preserve">To annotate gene function, we ran </w:t>
      </w:r>
      <w:proofErr w:type="spellStart"/>
      <w:r w:rsidRPr="001F08D2">
        <w:t>InterProScan</w:t>
      </w:r>
      <w:proofErr w:type="spellEnd"/>
      <w:r w:rsidRPr="001F08D2">
        <w:t xml:space="preserve"> on the predicted protein sequences derived from the reference genome predictions for both species (</w:t>
      </w:r>
      <w:r w:rsidRPr="001F08D2">
        <w:rPr>
          <w:i/>
          <w:iCs/>
        </w:rPr>
        <w:t xml:space="preserve">M. </w:t>
      </w:r>
      <w:proofErr w:type="spellStart"/>
      <w:r w:rsidRPr="001F08D2">
        <w:rPr>
          <w:i/>
          <w:iCs/>
        </w:rPr>
        <w:t>beccarii</w:t>
      </w:r>
      <w:proofErr w:type="spellEnd"/>
      <w:r w:rsidRPr="001F08D2">
        <w:t xml:space="preserve"> and </w:t>
      </w:r>
      <w:r w:rsidRPr="001F08D2">
        <w:rPr>
          <w:i/>
          <w:iCs/>
        </w:rPr>
        <w:t xml:space="preserve">H. </w:t>
      </w:r>
      <w:proofErr w:type="spellStart"/>
      <w:r w:rsidRPr="001F08D2">
        <w:rPr>
          <w:i/>
          <w:iCs/>
        </w:rPr>
        <w:t>moseleyanum</w:t>
      </w:r>
      <w:proofErr w:type="spellEnd"/>
      <w:r w:rsidRPr="001F08D2">
        <w:t xml:space="preserve">), which provided domain-based functional information, including gene names and descriptions. Using a custom R pipeline, we filtered the </w:t>
      </w:r>
      <w:proofErr w:type="spellStart"/>
      <w:r w:rsidRPr="001F08D2">
        <w:t>InterProScan</w:t>
      </w:r>
      <w:proofErr w:type="spellEnd"/>
      <w:r w:rsidRPr="001F08D2">
        <w:t xml:space="preserve"> output for annotations containing key nitrogen gene related terms and cross-referenced these with genes identified in relevant nitrogen studies. Genes meeting these criteria were selected for downstream analysis.</w:t>
      </w:r>
    </w:p>
    <w:p w14:paraId="00000236" w14:textId="77777777" w:rsidR="00E420E3" w:rsidRPr="001F08D2" w:rsidRDefault="008E5528" w:rsidP="001F08D2">
      <w:pPr>
        <w:pStyle w:val="Heading3"/>
      </w:pPr>
      <w:bookmarkStart w:id="80" w:name="_Toc235393012"/>
      <w:r w:rsidRPr="001F08D2">
        <w:t>4.4 Results</w:t>
      </w:r>
      <w:bookmarkEnd w:id="80"/>
      <w:r w:rsidRPr="001F08D2">
        <w:t xml:space="preserve"> </w:t>
      </w:r>
    </w:p>
    <w:p w14:paraId="00000237" w14:textId="77777777" w:rsidR="00E420E3" w:rsidRPr="001F08D2" w:rsidRDefault="008E5528" w:rsidP="001F08D2">
      <w:r w:rsidRPr="001F08D2">
        <w:t xml:space="preserve">To test the hypothesis of inducibility in </w:t>
      </w:r>
      <w:r w:rsidRPr="001F08D2">
        <w:rPr>
          <w:i/>
          <w:iCs/>
        </w:rPr>
        <w:t xml:space="preserve">H. </w:t>
      </w:r>
      <w:proofErr w:type="spellStart"/>
      <w:r w:rsidRPr="001F08D2">
        <w:rPr>
          <w:i/>
          <w:iCs/>
        </w:rPr>
        <w:t>moseleyanum</w:t>
      </w:r>
      <w:proofErr w:type="spellEnd"/>
      <w:r w:rsidRPr="001F08D2">
        <w:t xml:space="preserve"> and constitutive expression in </w:t>
      </w:r>
      <w:r w:rsidRPr="001F08D2">
        <w:rPr>
          <w:i/>
          <w:iCs/>
        </w:rPr>
        <w:t xml:space="preserve">M. </w:t>
      </w:r>
      <w:proofErr w:type="spellStart"/>
      <w:r w:rsidRPr="001F08D2">
        <w:rPr>
          <w:i/>
          <w:iCs/>
        </w:rPr>
        <w:t>beccarii</w:t>
      </w:r>
      <w:proofErr w:type="spellEnd"/>
      <w:r w:rsidRPr="001F08D2">
        <w:t>, gene expression was compared between the ants present and no-</w:t>
      </w:r>
      <w:proofErr w:type="gramStart"/>
      <w:r w:rsidRPr="001F08D2">
        <w:t>ants</w:t>
      </w:r>
      <w:proofErr w:type="gramEnd"/>
      <w:r w:rsidRPr="001F08D2">
        <w:t xml:space="preserve"> treatments within each tissue and species. A gene is considered inducible if its expression is significantly higher in the </w:t>
      </w:r>
      <w:proofErr w:type="gramStart"/>
      <w:r w:rsidRPr="001F08D2">
        <w:t>ants</w:t>
      </w:r>
      <w:proofErr w:type="gramEnd"/>
      <w:r w:rsidRPr="001F08D2">
        <w:t xml:space="preserve"> present treatment relative to no-ants, and constitutive if it shows no significant difference between treatments. Direct comparison between the two species is not required to test these hypotheses each species is evaluated independently against its own no-ants baseline. The following genes are described in detail as they showed the most notable treatment-dependent expression patterns. Genes showing broadly constitutive or non-significant expression are summarised briefly.</w:t>
      </w:r>
    </w:p>
    <w:p w14:paraId="00000239" w14:textId="77777777" w:rsidR="00E420E3" w:rsidRPr="001F08D2" w:rsidRDefault="008E5528" w:rsidP="00312D45">
      <w:pPr>
        <w:pStyle w:val="Heading4"/>
      </w:pPr>
      <w:bookmarkStart w:id="81" w:name="_Toc235393013"/>
      <w:r w:rsidRPr="001F08D2">
        <w:lastRenderedPageBreak/>
        <w:t>4.4.1 Ant-induced regulation of defence-related genes in warty tissues</w:t>
      </w:r>
      <w:bookmarkEnd w:id="81"/>
      <w:r w:rsidRPr="001F08D2">
        <w:t xml:space="preserve"> </w:t>
      </w:r>
    </w:p>
    <w:p w14:paraId="0000023A" w14:textId="77777777" w:rsidR="00E420E3" w:rsidRPr="001F08D2" w:rsidRDefault="008E5528" w:rsidP="001F08D2">
      <w:r w:rsidRPr="001F08D2">
        <w:t>The following genes are described in detail as they showed the most notable treatment-dependent expression patterns. Genes showing broadly constitutive or non-significant expression are summarised briefly.</w:t>
      </w:r>
    </w:p>
    <w:p w14:paraId="0000023B" w14:textId="324CEF10" w:rsidR="00E420E3" w:rsidRDefault="008E5528" w:rsidP="001F08D2">
      <w:r w:rsidRPr="001F08D2">
        <w:t xml:space="preserve">In </w:t>
      </w:r>
      <w:proofErr w:type="spellStart"/>
      <w:r w:rsidRPr="001F08D2">
        <w:rPr>
          <w:i/>
          <w:iCs/>
        </w:rPr>
        <w:t>Hydnophytum</w:t>
      </w:r>
      <w:proofErr w:type="spellEnd"/>
      <w:r w:rsidRPr="001F08D2">
        <w:rPr>
          <w:i/>
          <w:iCs/>
        </w:rPr>
        <w:t xml:space="preserve"> </w:t>
      </w:r>
      <w:proofErr w:type="spellStart"/>
      <w:r w:rsidRPr="001F08D2">
        <w:rPr>
          <w:i/>
          <w:iCs/>
        </w:rPr>
        <w:t>moseleyanum</w:t>
      </w:r>
      <w:proofErr w:type="spellEnd"/>
      <w:r w:rsidRPr="001F08D2">
        <w:t xml:space="preserve">, several defence-related genes were differentially expressed </w:t>
      </w:r>
      <w:r w:rsidR="00C01490" w:rsidRPr="001F08D2">
        <w:t>in warty</w:t>
      </w:r>
      <w:r w:rsidRPr="001F08D2">
        <w:t xml:space="preserve">-like tissue in the </w:t>
      </w:r>
      <w:proofErr w:type="gramStart"/>
      <w:r w:rsidR="00C01490" w:rsidRPr="001F08D2">
        <w:t>ants</w:t>
      </w:r>
      <w:proofErr w:type="gramEnd"/>
      <w:r w:rsidRPr="001F08D2">
        <w:t xml:space="preserve"> vs no-</w:t>
      </w:r>
      <w:proofErr w:type="gramStart"/>
      <w:r w:rsidRPr="001F08D2">
        <w:t>ants</w:t>
      </w:r>
      <w:proofErr w:type="gramEnd"/>
      <w:r w:rsidRPr="001F08D2">
        <w:t xml:space="preserve"> treatments (Fig.</w:t>
      </w:r>
      <w:r w:rsidR="00231040">
        <w:t xml:space="preserve"> 11</w:t>
      </w:r>
      <w:r w:rsidRPr="001F08D2">
        <w:t xml:space="preserve">). A cytochrome P450 </w:t>
      </w:r>
      <w:r w:rsidR="00C01490" w:rsidRPr="001F08D2">
        <w:t>was downregulated</w:t>
      </w:r>
      <w:r w:rsidRPr="001F08D2">
        <w:t xml:space="preserve">, whereas the NPR1-interacting gene, PDR ABC transporter, and a </w:t>
      </w:r>
      <w:r w:rsidR="00C01490" w:rsidRPr="001F08D2">
        <w:t>multicopper oxidase</w:t>
      </w:r>
      <w:r w:rsidRPr="001F08D2">
        <w:t xml:space="preserve"> were both upregulated in the presence of ants.  </w:t>
      </w:r>
    </w:p>
    <w:p w14:paraId="419CEED0" w14:textId="45C70A4C" w:rsidR="004533C2" w:rsidRDefault="004533C2" w:rsidP="001F08D2"/>
    <w:p w14:paraId="72078FA5" w14:textId="54AECF64" w:rsidR="004533C2" w:rsidRDefault="004533C2" w:rsidP="001F08D2"/>
    <w:p w14:paraId="5A4AAB36" w14:textId="5614AF03" w:rsidR="004533C2" w:rsidRDefault="004533C2" w:rsidP="001F08D2"/>
    <w:p w14:paraId="28987C15" w14:textId="0762FA34" w:rsidR="004533C2" w:rsidRDefault="004533C2" w:rsidP="001F08D2"/>
    <w:p w14:paraId="42EBFBDC" w14:textId="53705D23" w:rsidR="004533C2" w:rsidRDefault="004533C2" w:rsidP="001F08D2"/>
    <w:p w14:paraId="4DAEAA11" w14:textId="6F37FF6B" w:rsidR="004533C2" w:rsidRDefault="004533C2" w:rsidP="001F08D2"/>
    <w:p w14:paraId="0199E5AE" w14:textId="24C0E094" w:rsidR="004533C2" w:rsidRDefault="004533C2" w:rsidP="001F08D2"/>
    <w:p w14:paraId="7378B8C4" w14:textId="622F2B11" w:rsidR="004533C2" w:rsidRDefault="004533C2" w:rsidP="001F08D2"/>
    <w:p w14:paraId="51B35B3D" w14:textId="77777777" w:rsidR="004533C2" w:rsidRDefault="004533C2" w:rsidP="001F08D2"/>
    <w:p w14:paraId="2B048792" w14:textId="77777777" w:rsidR="004533C2" w:rsidRDefault="004533C2" w:rsidP="001F08D2"/>
    <w:p w14:paraId="723D0177" w14:textId="77777777" w:rsidR="004533C2" w:rsidRDefault="004533C2" w:rsidP="001F08D2"/>
    <w:p w14:paraId="004A43D7" w14:textId="77777777" w:rsidR="004533C2" w:rsidRDefault="004533C2" w:rsidP="001F08D2"/>
    <w:p w14:paraId="2D72DE74" w14:textId="77777777" w:rsidR="004533C2" w:rsidRDefault="004533C2" w:rsidP="001F08D2"/>
    <w:p w14:paraId="100097A1" w14:textId="08D4C209" w:rsidR="004533C2" w:rsidRDefault="004533C2" w:rsidP="001F08D2"/>
    <w:p w14:paraId="5BB8A45A" w14:textId="69A79907" w:rsidR="001C2B27" w:rsidRDefault="001C2B27" w:rsidP="001F08D2"/>
    <w:p w14:paraId="122C45C6" w14:textId="77777777" w:rsidR="001C2B27" w:rsidRDefault="001C2B27" w:rsidP="001F08D2"/>
    <w:p w14:paraId="52EC8731" w14:textId="39BC4029" w:rsidR="004533C2" w:rsidRDefault="004533C2" w:rsidP="001F08D2"/>
    <w:p w14:paraId="66CE7DFA" w14:textId="77777777" w:rsidR="004533C2" w:rsidRDefault="004533C2" w:rsidP="001F08D2"/>
    <w:p w14:paraId="675C3903" w14:textId="7FE2D927" w:rsidR="004533C2" w:rsidRDefault="005A51AC" w:rsidP="001F08D2">
      <w:r>
        <w:rPr>
          <w:noProof/>
        </w:rPr>
        <w:lastRenderedPageBreak/>
        <w:drawing>
          <wp:anchor distT="0" distB="0" distL="114300" distR="114300" simplePos="0" relativeHeight="251673606" behindDoc="0" locked="0" layoutInCell="1" allowOverlap="1" wp14:anchorId="404BFC91" wp14:editId="1988FED9">
            <wp:simplePos x="0" y="0"/>
            <wp:positionH relativeFrom="margin">
              <wp:posOffset>-384175</wp:posOffset>
            </wp:positionH>
            <wp:positionV relativeFrom="paragraph">
              <wp:posOffset>-218440</wp:posOffset>
            </wp:positionV>
            <wp:extent cx="6648450" cy="5038725"/>
            <wp:effectExtent l="0" t="0" r="0" b="9525"/>
            <wp:wrapNone/>
            <wp:docPr id="276519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19129" name=""/>
                    <pic:cNvPicPr/>
                  </pic:nvPicPr>
                  <pic:blipFill>
                    <a:blip r:embed="rId26">
                      <a:extLst>
                        <a:ext uri="{28A0092B-C50C-407E-A947-70E740481C1C}">
                          <a14:useLocalDpi xmlns:a14="http://schemas.microsoft.com/office/drawing/2010/main" val="0"/>
                        </a:ext>
                      </a:extLst>
                    </a:blip>
                    <a:stretch>
                      <a:fillRect/>
                    </a:stretch>
                  </pic:blipFill>
                  <pic:spPr>
                    <a:xfrm>
                      <a:off x="0" y="0"/>
                      <a:ext cx="6648450" cy="5038725"/>
                    </a:xfrm>
                    <a:prstGeom prst="rect">
                      <a:avLst/>
                    </a:prstGeom>
                  </pic:spPr>
                </pic:pic>
              </a:graphicData>
            </a:graphic>
          </wp:anchor>
        </w:drawing>
      </w:r>
    </w:p>
    <w:p w14:paraId="34A6DC6D" w14:textId="1F563AE2" w:rsidR="001C2B27" w:rsidRDefault="001C2B27" w:rsidP="001F08D2"/>
    <w:p w14:paraId="192782F1" w14:textId="16DD60D6" w:rsidR="001C2B27" w:rsidRDefault="001C2B27" w:rsidP="001F08D2"/>
    <w:p w14:paraId="04A02681" w14:textId="77777777" w:rsidR="005A51AC" w:rsidRDefault="005A51AC" w:rsidP="001F08D2"/>
    <w:p w14:paraId="701A295E" w14:textId="77777777" w:rsidR="005A51AC" w:rsidRDefault="005A51AC" w:rsidP="001F08D2"/>
    <w:p w14:paraId="63B9EC3D" w14:textId="77777777" w:rsidR="005A51AC" w:rsidRDefault="005A51AC" w:rsidP="001F08D2"/>
    <w:p w14:paraId="5BEB6D0A" w14:textId="77777777" w:rsidR="005A51AC" w:rsidRDefault="005A51AC" w:rsidP="001F08D2"/>
    <w:p w14:paraId="1B340420" w14:textId="77777777" w:rsidR="001C2B27" w:rsidRDefault="001C2B27" w:rsidP="001F08D2"/>
    <w:p w14:paraId="481F5D78" w14:textId="77777777" w:rsidR="001C2B27" w:rsidRDefault="001C2B27" w:rsidP="001F08D2"/>
    <w:p w14:paraId="36CFDC1F" w14:textId="77777777" w:rsidR="001C2B27" w:rsidRDefault="001C2B27" w:rsidP="001F08D2"/>
    <w:p w14:paraId="2CE84A7B" w14:textId="77777777" w:rsidR="001C2B27" w:rsidRDefault="001C2B27" w:rsidP="001F08D2"/>
    <w:p w14:paraId="0D49D55C" w14:textId="77777777" w:rsidR="001C2B27" w:rsidRDefault="001C2B27" w:rsidP="001F08D2"/>
    <w:p w14:paraId="4091B9A8" w14:textId="77777777" w:rsidR="001C2B27" w:rsidRDefault="001C2B27" w:rsidP="001F08D2"/>
    <w:p w14:paraId="6974C79E" w14:textId="77777777" w:rsidR="001C2B27" w:rsidRDefault="001C2B27" w:rsidP="001F08D2"/>
    <w:p w14:paraId="1CD0556D" w14:textId="1C280EEA" w:rsidR="00EF1B73" w:rsidRPr="00652C94" w:rsidRDefault="007C6201" w:rsidP="008A65B6">
      <w:pPr>
        <w:pStyle w:val="Caption"/>
        <w:rPr>
          <w:rFonts w:cs="Times New Roman"/>
        </w:rPr>
      </w:pPr>
      <w:bookmarkStart w:id="82" w:name="_Toc235390733"/>
      <w:r w:rsidRPr="00096BD8">
        <w:rPr>
          <w:b/>
          <w:bCs/>
          <w:i w:val="0"/>
          <w:iCs w:val="0"/>
          <w:color w:val="auto"/>
          <w:sz w:val="24"/>
          <w:szCs w:val="24"/>
        </w:rPr>
        <w:t xml:space="preserve">Figure </w:t>
      </w:r>
      <w:r w:rsidRPr="00096BD8">
        <w:rPr>
          <w:b/>
          <w:bCs/>
          <w:i w:val="0"/>
          <w:iCs w:val="0"/>
          <w:color w:val="auto"/>
          <w:sz w:val="24"/>
          <w:szCs w:val="24"/>
        </w:rPr>
        <w:fldChar w:fldCharType="begin"/>
      </w:r>
      <w:r w:rsidRPr="00096BD8">
        <w:rPr>
          <w:b/>
          <w:bCs/>
          <w:i w:val="0"/>
          <w:iCs w:val="0"/>
          <w:color w:val="auto"/>
          <w:sz w:val="24"/>
          <w:szCs w:val="24"/>
        </w:rPr>
        <w:instrText xml:space="preserve"> SEQ Figure \* ARABIC </w:instrText>
      </w:r>
      <w:r w:rsidRPr="00096BD8">
        <w:rPr>
          <w:b/>
          <w:bCs/>
          <w:i w:val="0"/>
          <w:iCs w:val="0"/>
          <w:color w:val="auto"/>
          <w:sz w:val="24"/>
          <w:szCs w:val="24"/>
        </w:rPr>
        <w:fldChar w:fldCharType="separate"/>
      </w:r>
      <w:r w:rsidR="008248B6" w:rsidRPr="00096BD8">
        <w:rPr>
          <w:b/>
          <w:bCs/>
          <w:i w:val="0"/>
          <w:iCs w:val="0"/>
          <w:noProof/>
          <w:color w:val="auto"/>
          <w:sz w:val="24"/>
          <w:szCs w:val="24"/>
        </w:rPr>
        <w:t>11</w:t>
      </w:r>
      <w:r w:rsidRPr="00096BD8">
        <w:rPr>
          <w:b/>
          <w:bCs/>
          <w:i w:val="0"/>
          <w:iCs w:val="0"/>
          <w:color w:val="auto"/>
          <w:sz w:val="24"/>
          <w:szCs w:val="24"/>
        </w:rPr>
        <w:fldChar w:fldCharType="end"/>
      </w:r>
      <w:r w:rsidR="00201466">
        <w:rPr>
          <w:b/>
          <w:bCs/>
          <w:i w:val="0"/>
          <w:iCs w:val="0"/>
          <w:color w:val="auto"/>
          <w:sz w:val="24"/>
          <w:szCs w:val="24"/>
        </w:rPr>
        <w:t>.</w:t>
      </w:r>
      <w:r w:rsidRPr="00096BD8">
        <w:rPr>
          <w:b/>
          <w:bCs/>
          <w:i w:val="0"/>
          <w:iCs w:val="0"/>
          <w:color w:val="auto"/>
          <w:sz w:val="24"/>
          <w:szCs w:val="24"/>
        </w:rPr>
        <w:t xml:space="preserve"> </w:t>
      </w:r>
      <w:r w:rsidRPr="00096BD8">
        <w:rPr>
          <w:i w:val="0"/>
          <w:iCs w:val="0"/>
          <w:color w:val="auto"/>
          <w:sz w:val="24"/>
          <w:szCs w:val="24"/>
        </w:rPr>
        <w:t xml:space="preserve">Volcano plot of differential gene expression between warty-like tissues of </w:t>
      </w:r>
      <w:r w:rsidRPr="0066107C">
        <w:rPr>
          <w:color w:val="auto"/>
          <w:sz w:val="24"/>
          <w:szCs w:val="24"/>
        </w:rPr>
        <w:t>H</w:t>
      </w:r>
      <w:r w:rsidR="0066107C" w:rsidRPr="0066107C">
        <w:rPr>
          <w:color w:val="auto"/>
          <w:sz w:val="24"/>
          <w:szCs w:val="24"/>
        </w:rPr>
        <w:t>.</w:t>
      </w:r>
      <w:r w:rsidRPr="0066107C">
        <w:rPr>
          <w:color w:val="auto"/>
          <w:sz w:val="24"/>
          <w:szCs w:val="24"/>
        </w:rPr>
        <w:t xml:space="preserve"> </w:t>
      </w:r>
      <w:proofErr w:type="spellStart"/>
      <w:r w:rsidRPr="0066107C">
        <w:rPr>
          <w:color w:val="auto"/>
          <w:sz w:val="24"/>
          <w:szCs w:val="24"/>
        </w:rPr>
        <w:t>moseleyanum</w:t>
      </w:r>
      <w:proofErr w:type="spellEnd"/>
      <w:r w:rsidRPr="0066107C">
        <w:rPr>
          <w:color w:val="auto"/>
          <w:sz w:val="24"/>
          <w:szCs w:val="24"/>
        </w:rPr>
        <w:t xml:space="preserve"> </w:t>
      </w:r>
      <w:r w:rsidRPr="00096BD8">
        <w:rPr>
          <w:i w:val="0"/>
          <w:iCs w:val="0"/>
          <w:color w:val="auto"/>
          <w:sz w:val="24"/>
          <w:szCs w:val="24"/>
        </w:rPr>
        <w:t xml:space="preserve">with ants and without </w:t>
      </w:r>
      <w:r w:rsidRPr="008A65B6">
        <w:rPr>
          <w:i w:val="0"/>
          <w:iCs w:val="0"/>
          <w:color w:val="auto"/>
          <w:sz w:val="24"/>
          <w:szCs w:val="24"/>
        </w:rPr>
        <w:t>ants.</w:t>
      </w:r>
      <w:bookmarkEnd w:id="82"/>
      <w:r w:rsidR="008A65B6" w:rsidRPr="008A65B6">
        <w:rPr>
          <w:i w:val="0"/>
          <w:iCs w:val="0"/>
          <w:color w:val="auto"/>
          <w:sz w:val="24"/>
          <w:szCs w:val="24"/>
        </w:rPr>
        <w:t xml:space="preserve"> </w:t>
      </w:r>
      <w:r w:rsidR="00652C94" w:rsidRPr="008A65B6">
        <w:rPr>
          <w:rFonts w:cs="Times New Roman"/>
          <w:i w:val="0"/>
          <w:iCs w:val="0"/>
          <w:color w:val="auto"/>
          <w:sz w:val="24"/>
          <w:szCs w:val="24"/>
        </w:rPr>
        <w:t xml:space="preserve">Each point represents a single gene. The x-axis shows </w:t>
      </w:r>
      <w:r w:rsidR="00652C94" w:rsidRPr="008A65B6">
        <w:rPr>
          <w:rFonts w:eastAsia="Caudex" w:cs="Times New Roman"/>
          <w:i w:val="0"/>
          <w:iCs w:val="0"/>
          <w:color w:val="auto"/>
          <w:sz w:val="24"/>
          <w:szCs w:val="24"/>
        </w:rPr>
        <w:t>Log₂ Fold Change, where positive values indicate higher expression in ant-present tissue relative to ant-absent tissue, and negative values indicate lower expression. The y-axis shows −Log₁₀(p-value). Dashed vertical lines indicate the Log₂ Fold Change threshold and the horizontal dashed line indicates the significance threshold (p</w:t>
      </w:r>
      <w:r w:rsidR="003D25FA" w:rsidRPr="008A65B6">
        <w:rPr>
          <w:rFonts w:eastAsia="Caudex" w:cs="Times New Roman"/>
          <w:i w:val="0"/>
          <w:iCs w:val="0"/>
          <w:color w:val="auto"/>
          <w:sz w:val="24"/>
          <w:szCs w:val="24"/>
        </w:rPr>
        <w:t xml:space="preserve"> </w:t>
      </w:r>
      <w:r w:rsidR="00652C94" w:rsidRPr="008A65B6">
        <w:rPr>
          <w:rFonts w:eastAsia="Caudex" w:cs="Times New Roman"/>
          <w:i w:val="0"/>
          <w:iCs w:val="0"/>
          <w:color w:val="auto"/>
          <w:sz w:val="24"/>
          <w:szCs w:val="24"/>
        </w:rPr>
        <w:t>&lt;</w:t>
      </w:r>
      <w:r w:rsidR="003D25FA" w:rsidRPr="008A65B6">
        <w:rPr>
          <w:rFonts w:eastAsia="Caudex" w:cs="Times New Roman"/>
          <w:i w:val="0"/>
          <w:iCs w:val="0"/>
          <w:color w:val="auto"/>
          <w:sz w:val="24"/>
          <w:szCs w:val="24"/>
        </w:rPr>
        <w:t xml:space="preserve"> 0.05). Genes exceeding both thresholds are considered statistically significant differentially expressed.</w:t>
      </w:r>
    </w:p>
    <w:p w14:paraId="0000023F" w14:textId="06480B29" w:rsidR="00E420E3" w:rsidRPr="00AF6830" w:rsidRDefault="008E5528" w:rsidP="00231040">
      <w:pPr>
        <w:rPr>
          <w:rFonts w:eastAsia="Times New Roman" w:cs="Times New Roman"/>
          <w:szCs w:val="24"/>
        </w:rPr>
      </w:pPr>
      <w:r w:rsidRPr="00AF6830">
        <w:rPr>
          <w:rFonts w:eastAsia="Times New Roman" w:cs="Times New Roman"/>
          <w:szCs w:val="24"/>
        </w:rPr>
        <w:t xml:space="preserve">In </w:t>
      </w:r>
      <w:proofErr w:type="spellStart"/>
      <w:r w:rsidRPr="00AF6830">
        <w:rPr>
          <w:rFonts w:eastAsia="Times New Roman" w:cs="Times New Roman"/>
          <w:i/>
          <w:iCs/>
          <w:szCs w:val="24"/>
        </w:rPr>
        <w:t>Myrmecodia</w:t>
      </w:r>
      <w:proofErr w:type="spellEnd"/>
      <w:r w:rsidRPr="00AF6830">
        <w:rPr>
          <w:rFonts w:eastAsia="Times New Roman" w:cs="Times New Roman"/>
          <w:i/>
          <w:iCs/>
          <w:szCs w:val="24"/>
        </w:rPr>
        <w:t xml:space="preserve"> </w:t>
      </w:r>
      <w:proofErr w:type="spellStart"/>
      <w:r w:rsidRPr="00AF6830">
        <w:rPr>
          <w:rFonts w:eastAsia="Times New Roman" w:cs="Times New Roman"/>
          <w:i/>
          <w:iCs/>
          <w:szCs w:val="24"/>
        </w:rPr>
        <w:t>beccarii</w:t>
      </w:r>
      <w:proofErr w:type="spellEnd"/>
      <w:r w:rsidRPr="00AF6830">
        <w:rPr>
          <w:rFonts w:eastAsia="Times New Roman" w:cs="Times New Roman"/>
          <w:szCs w:val="24"/>
        </w:rPr>
        <w:t xml:space="preserve"> warty tissue, multiple cytochrome P450 genes were selectively expressed under ant presence: two cytochrome P450 genes were upregulated, one was downregulated, and the other cytochrome P450 gene was also downregulated (Fig. </w:t>
      </w:r>
      <w:r w:rsidR="00AF6830">
        <w:rPr>
          <w:rFonts w:eastAsia="Times New Roman" w:cs="Times New Roman"/>
          <w:szCs w:val="24"/>
        </w:rPr>
        <w:t>12</w:t>
      </w:r>
      <w:r w:rsidRPr="00AF6830">
        <w:rPr>
          <w:rFonts w:eastAsia="Times New Roman" w:cs="Times New Roman"/>
          <w:szCs w:val="24"/>
        </w:rPr>
        <w:t xml:space="preserve">). The D-mannose-binding lectin gene implicated in pathogen recognition and immune </w:t>
      </w:r>
      <w:r w:rsidR="001501D6" w:rsidRPr="00AF6830">
        <w:rPr>
          <w:rFonts w:eastAsia="Times New Roman" w:cs="Times New Roman"/>
          <w:szCs w:val="24"/>
        </w:rPr>
        <w:t>signalling and</w:t>
      </w:r>
      <w:r w:rsidRPr="00AF6830">
        <w:rPr>
          <w:rFonts w:eastAsia="Times New Roman" w:cs="Times New Roman"/>
          <w:szCs w:val="24"/>
        </w:rPr>
        <w:t xml:space="preserve"> the allene oxide cyclase-like gene involved in </w:t>
      </w:r>
      <w:proofErr w:type="spellStart"/>
      <w:r w:rsidRPr="00AF6830">
        <w:rPr>
          <w:rFonts w:eastAsia="Times New Roman" w:cs="Times New Roman"/>
          <w:szCs w:val="24"/>
        </w:rPr>
        <w:t>jasmonate</w:t>
      </w:r>
      <w:proofErr w:type="spellEnd"/>
      <w:r w:rsidRPr="00AF6830">
        <w:rPr>
          <w:rFonts w:eastAsia="Times New Roman" w:cs="Times New Roman"/>
          <w:szCs w:val="24"/>
        </w:rPr>
        <w:t xml:space="preserve"> biosynthesis and wound response were both upregulated, although the latter only weakly (Fig. </w:t>
      </w:r>
      <w:r w:rsidR="00AF6830" w:rsidRPr="00AF6830">
        <w:rPr>
          <w:rFonts w:eastAsia="Times New Roman" w:cs="Times New Roman"/>
          <w:szCs w:val="24"/>
        </w:rPr>
        <w:t>12</w:t>
      </w:r>
      <w:r w:rsidRPr="00AF6830">
        <w:rPr>
          <w:rFonts w:eastAsia="Times New Roman" w:cs="Times New Roman"/>
          <w:szCs w:val="24"/>
        </w:rPr>
        <w:t>). Additionally, the nitrogen-related UDP-</w:t>
      </w:r>
      <w:proofErr w:type="spellStart"/>
      <w:r w:rsidRPr="00AF6830">
        <w:rPr>
          <w:rFonts w:eastAsia="Times New Roman" w:cs="Times New Roman"/>
          <w:szCs w:val="24"/>
        </w:rPr>
        <w:t>glucuronosyl</w:t>
      </w:r>
      <w:proofErr w:type="spellEnd"/>
      <w:r w:rsidRPr="00AF6830">
        <w:rPr>
          <w:rFonts w:eastAsia="Times New Roman" w:cs="Times New Roman"/>
          <w:szCs w:val="24"/>
        </w:rPr>
        <w:t xml:space="preserve">/UDP-glucosyltransferase gene involved in detoxification and cell wall modification was upregulated in the presence of ants (Fig. </w:t>
      </w:r>
      <w:r w:rsidR="00AF6830" w:rsidRPr="00AF6830">
        <w:rPr>
          <w:rFonts w:eastAsia="Times New Roman" w:cs="Times New Roman"/>
          <w:szCs w:val="24"/>
        </w:rPr>
        <w:t>12</w:t>
      </w:r>
      <w:r w:rsidRPr="00AF6830">
        <w:rPr>
          <w:rFonts w:eastAsia="Times New Roman" w:cs="Times New Roman"/>
          <w:szCs w:val="24"/>
        </w:rPr>
        <w:t>).</w:t>
      </w:r>
    </w:p>
    <w:p w14:paraId="00000240" w14:textId="06BE4FBC" w:rsidR="00E420E3" w:rsidRDefault="00E420E3" w:rsidP="00231040">
      <w:pPr>
        <w:rPr>
          <w:rFonts w:eastAsia="Times New Roman" w:cs="Times New Roman"/>
          <w:b/>
          <w:bCs/>
          <w:szCs w:val="24"/>
        </w:rPr>
      </w:pPr>
    </w:p>
    <w:p w14:paraId="65FF0307" w14:textId="4E05A401" w:rsidR="00007EC1" w:rsidRDefault="005A51AC" w:rsidP="00231040">
      <w:pPr>
        <w:rPr>
          <w:rFonts w:eastAsia="Times New Roman" w:cs="Times New Roman"/>
          <w:b/>
          <w:bCs/>
          <w:szCs w:val="24"/>
        </w:rPr>
      </w:pPr>
      <w:r>
        <w:rPr>
          <w:noProof/>
        </w:rPr>
        <w:lastRenderedPageBreak/>
        <w:drawing>
          <wp:anchor distT="0" distB="0" distL="114300" distR="114300" simplePos="0" relativeHeight="251674630" behindDoc="0" locked="0" layoutInCell="1" allowOverlap="1" wp14:anchorId="175F39C1" wp14:editId="0A575137">
            <wp:simplePos x="0" y="0"/>
            <wp:positionH relativeFrom="margin">
              <wp:align>right</wp:align>
            </wp:positionH>
            <wp:positionV relativeFrom="paragraph">
              <wp:posOffset>-88900</wp:posOffset>
            </wp:positionV>
            <wp:extent cx="5781675" cy="4991100"/>
            <wp:effectExtent l="0" t="0" r="9525" b="0"/>
            <wp:wrapNone/>
            <wp:docPr id="1255805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05092" name=""/>
                    <pic:cNvPicPr/>
                  </pic:nvPicPr>
                  <pic:blipFill>
                    <a:blip r:embed="rId27">
                      <a:extLst>
                        <a:ext uri="{28A0092B-C50C-407E-A947-70E740481C1C}">
                          <a14:useLocalDpi xmlns:a14="http://schemas.microsoft.com/office/drawing/2010/main" val="0"/>
                        </a:ext>
                      </a:extLst>
                    </a:blip>
                    <a:stretch>
                      <a:fillRect/>
                    </a:stretch>
                  </pic:blipFill>
                  <pic:spPr>
                    <a:xfrm>
                      <a:off x="0" y="0"/>
                      <a:ext cx="5781675" cy="4991100"/>
                    </a:xfrm>
                    <a:prstGeom prst="rect">
                      <a:avLst/>
                    </a:prstGeom>
                  </pic:spPr>
                </pic:pic>
              </a:graphicData>
            </a:graphic>
          </wp:anchor>
        </w:drawing>
      </w:r>
    </w:p>
    <w:p w14:paraId="445988FE" w14:textId="77777777" w:rsidR="00007EC1" w:rsidRDefault="00007EC1" w:rsidP="00231040">
      <w:pPr>
        <w:rPr>
          <w:rFonts w:eastAsia="Times New Roman" w:cs="Times New Roman"/>
          <w:b/>
          <w:bCs/>
          <w:szCs w:val="24"/>
        </w:rPr>
      </w:pPr>
    </w:p>
    <w:p w14:paraId="497CA799" w14:textId="77777777" w:rsidR="00007EC1" w:rsidRDefault="00007EC1" w:rsidP="00231040">
      <w:pPr>
        <w:rPr>
          <w:rFonts w:eastAsia="Times New Roman" w:cs="Times New Roman"/>
          <w:b/>
          <w:bCs/>
          <w:szCs w:val="24"/>
        </w:rPr>
      </w:pPr>
    </w:p>
    <w:p w14:paraId="1B741807" w14:textId="77777777" w:rsidR="00007EC1" w:rsidRDefault="00007EC1" w:rsidP="00231040">
      <w:pPr>
        <w:rPr>
          <w:rFonts w:eastAsia="Times New Roman" w:cs="Times New Roman"/>
          <w:b/>
          <w:bCs/>
          <w:szCs w:val="24"/>
        </w:rPr>
      </w:pPr>
    </w:p>
    <w:p w14:paraId="4D764121" w14:textId="77777777" w:rsidR="00392BB3" w:rsidRDefault="00392BB3" w:rsidP="00231040">
      <w:pPr>
        <w:rPr>
          <w:rFonts w:eastAsia="Times New Roman" w:cs="Times New Roman"/>
          <w:b/>
          <w:bCs/>
          <w:szCs w:val="24"/>
        </w:rPr>
      </w:pPr>
    </w:p>
    <w:p w14:paraId="3D855B54" w14:textId="77777777" w:rsidR="00007EC1" w:rsidRDefault="00007EC1" w:rsidP="00231040">
      <w:pPr>
        <w:rPr>
          <w:rFonts w:eastAsia="Times New Roman" w:cs="Times New Roman"/>
          <w:b/>
          <w:bCs/>
          <w:szCs w:val="24"/>
        </w:rPr>
      </w:pPr>
    </w:p>
    <w:p w14:paraId="5A82E6FD" w14:textId="77777777" w:rsidR="00007EC1" w:rsidRDefault="00007EC1" w:rsidP="00231040">
      <w:pPr>
        <w:rPr>
          <w:rFonts w:eastAsia="Times New Roman" w:cs="Times New Roman"/>
          <w:b/>
          <w:bCs/>
          <w:szCs w:val="24"/>
        </w:rPr>
      </w:pPr>
    </w:p>
    <w:p w14:paraId="56AD8710" w14:textId="77777777" w:rsidR="00007EC1" w:rsidRDefault="00007EC1" w:rsidP="00231040">
      <w:pPr>
        <w:rPr>
          <w:rFonts w:eastAsia="Times New Roman" w:cs="Times New Roman"/>
          <w:b/>
          <w:bCs/>
          <w:szCs w:val="24"/>
        </w:rPr>
      </w:pPr>
    </w:p>
    <w:p w14:paraId="1A6ED240" w14:textId="77777777" w:rsidR="00007EC1" w:rsidRDefault="00007EC1" w:rsidP="00231040">
      <w:pPr>
        <w:rPr>
          <w:rFonts w:eastAsia="Times New Roman" w:cs="Times New Roman"/>
          <w:b/>
          <w:bCs/>
          <w:szCs w:val="24"/>
        </w:rPr>
      </w:pPr>
    </w:p>
    <w:p w14:paraId="053E47B9" w14:textId="77777777" w:rsidR="00007EC1" w:rsidRDefault="00007EC1" w:rsidP="00231040">
      <w:pPr>
        <w:rPr>
          <w:rFonts w:eastAsia="Times New Roman" w:cs="Times New Roman"/>
          <w:b/>
          <w:bCs/>
          <w:szCs w:val="24"/>
        </w:rPr>
      </w:pPr>
    </w:p>
    <w:p w14:paraId="62A78309" w14:textId="77777777" w:rsidR="00007EC1" w:rsidRDefault="00007EC1" w:rsidP="00231040">
      <w:pPr>
        <w:rPr>
          <w:rFonts w:eastAsia="Times New Roman" w:cs="Times New Roman"/>
          <w:b/>
          <w:bCs/>
          <w:szCs w:val="24"/>
        </w:rPr>
      </w:pPr>
    </w:p>
    <w:p w14:paraId="00000242" w14:textId="5F212157" w:rsidR="00E420E3" w:rsidRDefault="00E420E3" w:rsidP="00007EC1"/>
    <w:p w14:paraId="00000243" w14:textId="0D2F366C" w:rsidR="00E420E3" w:rsidRDefault="00E420E3" w:rsidP="00007EC1"/>
    <w:p w14:paraId="51304B37" w14:textId="77777777" w:rsidR="005A51AC" w:rsidRDefault="005A51AC" w:rsidP="00201466">
      <w:pPr>
        <w:pStyle w:val="Caption"/>
        <w:rPr>
          <w:b/>
          <w:bCs/>
          <w:i w:val="0"/>
          <w:iCs w:val="0"/>
          <w:color w:val="auto"/>
          <w:sz w:val="24"/>
          <w:szCs w:val="24"/>
        </w:rPr>
      </w:pPr>
      <w:bookmarkStart w:id="83" w:name="_Toc235390734"/>
    </w:p>
    <w:p w14:paraId="26E50F06" w14:textId="6EB5D81A" w:rsidR="004F202D" w:rsidRDefault="007C6201" w:rsidP="00201466">
      <w:pPr>
        <w:pStyle w:val="Caption"/>
        <w:rPr>
          <w:rFonts w:eastAsia="Caudex" w:cs="Times New Roman"/>
          <w:i w:val="0"/>
          <w:iCs w:val="0"/>
          <w:color w:val="auto"/>
          <w:sz w:val="24"/>
          <w:szCs w:val="24"/>
        </w:rPr>
      </w:pPr>
      <w:r w:rsidRPr="00096BD8">
        <w:rPr>
          <w:b/>
          <w:bCs/>
          <w:i w:val="0"/>
          <w:iCs w:val="0"/>
          <w:color w:val="auto"/>
          <w:sz w:val="24"/>
          <w:szCs w:val="24"/>
        </w:rPr>
        <w:t xml:space="preserve">Figure </w:t>
      </w:r>
      <w:r w:rsidRPr="00096BD8">
        <w:rPr>
          <w:b/>
          <w:bCs/>
          <w:i w:val="0"/>
          <w:iCs w:val="0"/>
          <w:color w:val="auto"/>
          <w:sz w:val="24"/>
          <w:szCs w:val="24"/>
        </w:rPr>
        <w:fldChar w:fldCharType="begin"/>
      </w:r>
      <w:r w:rsidRPr="00096BD8">
        <w:rPr>
          <w:b/>
          <w:bCs/>
          <w:i w:val="0"/>
          <w:iCs w:val="0"/>
          <w:color w:val="auto"/>
          <w:sz w:val="24"/>
          <w:szCs w:val="24"/>
        </w:rPr>
        <w:instrText xml:space="preserve"> SEQ Figure \* ARABIC </w:instrText>
      </w:r>
      <w:r w:rsidRPr="00096BD8">
        <w:rPr>
          <w:b/>
          <w:bCs/>
          <w:i w:val="0"/>
          <w:iCs w:val="0"/>
          <w:color w:val="auto"/>
          <w:sz w:val="24"/>
          <w:szCs w:val="24"/>
        </w:rPr>
        <w:fldChar w:fldCharType="separate"/>
      </w:r>
      <w:r w:rsidR="008248B6" w:rsidRPr="00096BD8">
        <w:rPr>
          <w:b/>
          <w:bCs/>
          <w:i w:val="0"/>
          <w:iCs w:val="0"/>
          <w:noProof/>
          <w:color w:val="auto"/>
          <w:sz w:val="24"/>
          <w:szCs w:val="24"/>
        </w:rPr>
        <w:t>12</w:t>
      </w:r>
      <w:r w:rsidRPr="00096BD8">
        <w:rPr>
          <w:b/>
          <w:bCs/>
          <w:i w:val="0"/>
          <w:iCs w:val="0"/>
          <w:color w:val="auto"/>
          <w:sz w:val="24"/>
          <w:szCs w:val="24"/>
        </w:rPr>
        <w:fldChar w:fldCharType="end"/>
      </w:r>
      <w:r w:rsidRPr="00096BD8">
        <w:rPr>
          <w:b/>
          <w:bCs/>
          <w:i w:val="0"/>
          <w:iCs w:val="0"/>
          <w:color w:val="auto"/>
          <w:sz w:val="24"/>
          <w:szCs w:val="24"/>
        </w:rPr>
        <w:t xml:space="preserve">: </w:t>
      </w:r>
      <w:r w:rsidRPr="00096BD8">
        <w:rPr>
          <w:i w:val="0"/>
          <w:iCs w:val="0"/>
          <w:color w:val="auto"/>
          <w:sz w:val="24"/>
          <w:szCs w:val="24"/>
        </w:rPr>
        <w:t xml:space="preserve">Volcano plot of differential gene expression between warty tissues of </w:t>
      </w:r>
      <w:r w:rsidRPr="00201466">
        <w:rPr>
          <w:color w:val="auto"/>
          <w:sz w:val="24"/>
          <w:szCs w:val="24"/>
        </w:rPr>
        <w:t>M</w:t>
      </w:r>
      <w:r w:rsidR="0066107C">
        <w:rPr>
          <w:color w:val="auto"/>
          <w:sz w:val="24"/>
          <w:szCs w:val="24"/>
        </w:rPr>
        <w:t>.</w:t>
      </w:r>
      <w:r w:rsidRPr="00201466">
        <w:rPr>
          <w:color w:val="auto"/>
          <w:sz w:val="24"/>
          <w:szCs w:val="24"/>
        </w:rPr>
        <w:t xml:space="preserve"> </w:t>
      </w:r>
      <w:proofErr w:type="spellStart"/>
      <w:r w:rsidRPr="00201466">
        <w:rPr>
          <w:color w:val="auto"/>
          <w:sz w:val="24"/>
          <w:szCs w:val="24"/>
        </w:rPr>
        <w:t>beccarii</w:t>
      </w:r>
      <w:proofErr w:type="spellEnd"/>
      <w:r w:rsidRPr="00096BD8">
        <w:rPr>
          <w:i w:val="0"/>
          <w:iCs w:val="0"/>
          <w:color w:val="auto"/>
          <w:sz w:val="24"/>
          <w:szCs w:val="24"/>
        </w:rPr>
        <w:t xml:space="preserve"> with ants and without </w:t>
      </w:r>
      <w:r w:rsidRPr="00201466">
        <w:rPr>
          <w:i w:val="0"/>
          <w:iCs w:val="0"/>
          <w:color w:val="auto"/>
          <w:sz w:val="24"/>
          <w:szCs w:val="24"/>
        </w:rPr>
        <w:t>ants.</w:t>
      </w:r>
      <w:bookmarkEnd w:id="83"/>
      <w:r w:rsidR="00201466" w:rsidRPr="00201466">
        <w:rPr>
          <w:i w:val="0"/>
          <w:iCs w:val="0"/>
          <w:color w:val="auto"/>
          <w:sz w:val="24"/>
          <w:szCs w:val="24"/>
        </w:rPr>
        <w:t xml:space="preserve"> </w:t>
      </w:r>
      <w:r w:rsidRPr="00201466">
        <w:rPr>
          <w:rFonts w:eastAsia="Times New Roman" w:cs="Times New Roman"/>
          <w:i w:val="0"/>
          <w:iCs w:val="0"/>
          <w:color w:val="auto"/>
          <w:sz w:val="24"/>
          <w:szCs w:val="24"/>
        </w:rPr>
        <w:t xml:space="preserve">The x-axis shows log₂ fold change, and the y-axis </w:t>
      </w:r>
      <w:r w:rsidR="001501D6" w:rsidRPr="00201466">
        <w:rPr>
          <w:rFonts w:eastAsia="Times New Roman" w:cs="Times New Roman"/>
          <w:i w:val="0"/>
          <w:iCs w:val="0"/>
          <w:color w:val="auto"/>
          <w:sz w:val="24"/>
          <w:szCs w:val="24"/>
        </w:rPr>
        <w:t>shows –</w:t>
      </w:r>
      <w:r w:rsidRPr="00201466">
        <w:rPr>
          <w:rFonts w:eastAsia="Times New Roman" w:cs="Times New Roman"/>
          <w:i w:val="0"/>
          <w:iCs w:val="0"/>
          <w:color w:val="auto"/>
          <w:sz w:val="24"/>
          <w:szCs w:val="24"/>
        </w:rPr>
        <w:t xml:space="preserve">log₁₀ p-values. </w:t>
      </w:r>
      <w:sdt>
        <w:sdtPr>
          <w:rPr>
            <w:i w:val="0"/>
            <w:iCs w:val="0"/>
            <w:color w:val="auto"/>
            <w:sz w:val="24"/>
            <w:szCs w:val="24"/>
          </w:rPr>
          <w:tag w:val="goog_rdk_9"/>
          <w:id w:val="702468016"/>
        </w:sdtPr>
        <w:sdtContent/>
      </w:sdt>
      <w:r w:rsidRPr="00201466">
        <w:rPr>
          <w:rFonts w:eastAsia="Times New Roman" w:cs="Times New Roman"/>
          <w:i w:val="0"/>
          <w:iCs w:val="0"/>
          <w:color w:val="auto"/>
          <w:sz w:val="24"/>
          <w:szCs w:val="24"/>
        </w:rPr>
        <w:t>Red dots indicate significantly differentially expressed genes (p &lt; 0.05).</w:t>
      </w:r>
      <w:r w:rsidR="00D5477A" w:rsidRPr="00201466">
        <w:rPr>
          <w:rFonts w:eastAsia="Times New Roman" w:cs="Times New Roman"/>
          <w:i w:val="0"/>
          <w:iCs w:val="0"/>
          <w:color w:val="auto"/>
          <w:sz w:val="24"/>
          <w:szCs w:val="24"/>
        </w:rPr>
        <w:t xml:space="preserve"> </w:t>
      </w:r>
      <w:r w:rsidR="004F202D" w:rsidRPr="00201466">
        <w:rPr>
          <w:rFonts w:cs="Times New Roman"/>
          <w:i w:val="0"/>
          <w:iCs w:val="0"/>
          <w:color w:val="auto"/>
          <w:sz w:val="24"/>
          <w:szCs w:val="24"/>
        </w:rPr>
        <w:t xml:space="preserve">Each point represents a single gene. The x-axis shows </w:t>
      </w:r>
      <w:r w:rsidR="004F202D" w:rsidRPr="00201466">
        <w:rPr>
          <w:rFonts w:eastAsia="Caudex" w:cs="Times New Roman"/>
          <w:i w:val="0"/>
          <w:iCs w:val="0"/>
          <w:color w:val="auto"/>
          <w:sz w:val="24"/>
          <w:szCs w:val="24"/>
        </w:rPr>
        <w:t>Log₂ Fold Change, where positive values indicate higher expression in ant-present tissue relative to ant-absent tissue</w:t>
      </w:r>
      <w:r w:rsidR="0019662A" w:rsidRPr="00201466">
        <w:rPr>
          <w:rFonts w:eastAsia="Caudex" w:cs="Times New Roman"/>
          <w:i w:val="0"/>
          <w:iCs w:val="0"/>
          <w:color w:val="auto"/>
          <w:sz w:val="24"/>
          <w:szCs w:val="24"/>
        </w:rPr>
        <w:t>, and</w:t>
      </w:r>
      <w:r w:rsidR="004F202D" w:rsidRPr="00201466">
        <w:rPr>
          <w:rFonts w:eastAsia="Caudex" w:cs="Times New Roman"/>
          <w:i w:val="0"/>
          <w:iCs w:val="0"/>
          <w:color w:val="auto"/>
          <w:sz w:val="24"/>
          <w:szCs w:val="24"/>
        </w:rPr>
        <w:t xml:space="preserve"> negative values indicate lower expression. The y-axis shows −Log₁₀(p-value). Dashed vertical lines indicate the Log₂ Fold Change threshold and the horizontal dashed line indicates the significance threshold (p &lt; 0.05). Genes exceeding both thresholds are considered statistically significant differentially expressed.</w:t>
      </w:r>
    </w:p>
    <w:p w14:paraId="00000248" w14:textId="77777777" w:rsidR="00E420E3" w:rsidRPr="0019662A" w:rsidRDefault="008E5528" w:rsidP="0019662A">
      <w:pPr>
        <w:pStyle w:val="Heading4"/>
      </w:pPr>
      <w:bookmarkStart w:id="84" w:name="_Toc235393014"/>
      <w:r w:rsidRPr="0019662A">
        <w:t xml:space="preserve">4.4.2 Tissue-specific regulation of ammonium transporter genes in H. </w:t>
      </w:r>
      <w:proofErr w:type="spellStart"/>
      <w:r w:rsidRPr="0019662A">
        <w:t>moseleyanum</w:t>
      </w:r>
      <w:bookmarkEnd w:id="84"/>
      <w:proofErr w:type="spellEnd"/>
      <w:r w:rsidRPr="0019662A">
        <w:t xml:space="preserve"> </w:t>
      </w:r>
    </w:p>
    <w:p w14:paraId="00000249" w14:textId="5BAFB8FE" w:rsidR="00E420E3" w:rsidRDefault="008E5528" w:rsidP="0019662A">
      <w:r w:rsidRPr="0019662A">
        <w:t xml:space="preserve">Principal component analyses (PCA) of normalised gene expression data for all nitrogen-related genes are shown in Supplementary Fig. S6 and Fig. S7 for </w:t>
      </w:r>
      <w:r w:rsidRPr="0019662A">
        <w:rPr>
          <w:i/>
          <w:iCs/>
        </w:rPr>
        <w:t xml:space="preserve">H. </w:t>
      </w:r>
      <w:proofErr w:type="spellStart"/>
      <w:r w:rsidRPr="0019662A">
        <w:rPr>
          <w:i/>
          <w:iCs/>
        </w:rPr>
        <w:t>moseleyanum</w:t>
      </w:r>
      <w:proofErr w:type="spellEnd"/>
      <w:r w:rsidRPr="0019662A">
        <w:t xml:space="preserve"> and </w:t>
      </w:r>
      <w:r w:rsidRPr="0019662A">
        <w:rPr>
          <w:i/>
          <w:iCs/>
        </w:rPr>
        <w:t xml:space="preserve">M. </w:t>
      </w:r>
      <w:proofErr w:type="spellStart"/>
      <w:r w:rsidRPr="0019662A">
        <w:rPr>
          <w:i/>
          <w:iCs/>
        </w:rPr>
        <w:t>beccarii</w:t>
      </w:r>
      <w:proofErr w:type="spellEnd"/>
      <w:r w:rsidRPr="0019662A">
        <w:t xml:space="preserve"> respectively, illustrating the separation between treatments across tissues. Ammonium transporter genes were highly expressed across multiple tissues, with particularly strong expression in warty-like and smooth-like tissues, both when ants were present </w:t>
      </w:r>
      <w:r w:rsidR="001501D6" w:rsidRPr="0019662A">
        <w:t>and</w:t>
      </w:r>
      <w:r w:rsidRPr="0019662A">
        <w:t xml:space="preserve"> absent (Fig. </w:t>
      </w:r>
      <w:r w:rsidR="0003561B">
        <w:t>13</w:t>
      </w:r>
      <w:r w:rsidRPr="0019662A">
        <w:t xml:space="preserve">). AMT1;1_Hm02 and AMT3-1_Hm01 ammonium transporters were constitutively expressed across all tissues but showed increased expression in the presence of ants with no </w:t>
      </w:r>
      <w:r w:rsidRPr="0019662A">
        <w:lastRenderedPageBreak/>
        <w:t>significance (Fig. 1</w:t>
      </w:r>
      <w:r w:rsidR="00C410B0">
        <w:t>4</w:t>
      </w:r>
      <w:r w:rsidRPr="0019662A">
        <w:t>). Similarly, AMT1;2_Hm01 and AMT1;2_Hm02 showed comparable expression patterns across tissues, with consistently higher expression in all tissues under ant presence. By contrast, fertiliser treatment only slightly increased expression in tuber tissue, with little change in warty and smooth tissues (Fig10</w:t>
      </w:r>
      <w:r w:rsidR="00F85CCC">
        <w:t>xx</w:t>
      </w:r>
      <w:r w:rsidRPr="0019662A">
        <w:t xml:space="preserve">). In contrast, AMT1;1_Hm01 and AMT2_Hm02 showed nearly identical expression patterns across all tissues except for tuber tissue. In tuber tissue in the treatment with ants, both genes tended to decrease in expression, whereas expression increased in ants warty and </w:t>
      </w:r>
      <w:proofErr w:type="gramStart"/>
      <w:r w:rsidRPr="0019662A">
        <w:t>ants</w:t>
      </w:r>
      <w:proofErr w:type="gramEnd"/>
      <w:r w:rsidRPr="0019662A">
        <w:t xml:space="preserve"> smooth relative to the no-ants treatment (Fig. 1</w:t>
      </w:r>
      <w:r w:rsidR="00C410B0">
        <w:t>4</w:t>
      </w:r>
      <w:r w:rsidRPr="0019662A">
        <w:t>). Under the fertiliser treatment, both genes showed relatively high expression in tuber tissue of no-ants control plants than in tuber tissue of fertiliser-treated plants, suggesting that the presence of inorganic nitrogen via fertiliser suppresses rather than induces ammonium transporter expression in tuber tissue.</w:t>
      </w:r>
    </w:p>
    <w:p w14:paraId="78325AD7" w14:textId="2A2ACAC8" w:rsidR="00F85CCC" w:rsidRDefault="00F85CCC" w:rsidP="0019662A"/>
    <w:p w14:paraId="34A502C6" w14:textId="7A1B9112" w:rsidR="00F85CCC" w:rsidRDefault="00F85CCC" w:rsidP="0019662A"/>
    <w:p w14:paraId="6EF5FF26" w14:textId="49C92584" w:rsidR="00F85CCC" w:rsidRDefault="00F85CCC" w:rsidP="0019662A"/>
    <w:p w14:paraId="35137AD2" w14:textId="271288A8" w:rsidR="00F85CCC" w:rsidRDefault="00F85CCC" w:rsidP="0019662A"/>
    <w:p w14:paraId="497B8839" w14:textId="56FFEA03" w:rsidR="00F85CCC" w:rsidRDefault="00F85CCC" w:rsidP="0019662A"/>
    <w:p w14:paraId="6BFABA85" w14:textId="2D4BA336" w:rsidR="00F85CCC" w:rsidRDefault="00F85CCC" w:rsidP="0019662A"/>
    <w:p w14:paraId="020F4646" w14:textId="77777777" w:rsidR="00F85CCC" w:rsidRDefault="00F85CCC" w:rsidP="0019662A"/>
    <w:p w14:paraId="0448065D" w14:textId="06F445F5" w:rsidR="00F85CCC" w:rsidRDefault="00F85CCC" w:rsidP="0019662A"/>
    <w:p w14:paraId="68EB604A" w14:textId="77777777" w:rsidR="00F85CCC" w:rsidRDefault="00F85CCC" w:rsidP="0019662A"/>
    <w:p w14:paraId="49064569" w14:textId="77777777" w:rsidR="00F85CCC" w:rsidRDefault="00F85CCC" w:rsidP="0019662A"/>
    <w:p w14:paraId="2575D8E0" w14:textId="38879263" w:rsidR="00F85CCC" w:rsidRDefault="00F85CCC" w:rsidP="0019662A"/>
    <w:p w14:paraId="6D576EBE" w14:textId="77777777" w:rsidR="00F85CCC" w:rsidRDefault="00F85CCC" w:rsidP="0019662A"/>
    <w:p w14:paraId="3F2824E4" w14:textId="77777777" w:rsidR="00D77D76" w:rsidRDefault="00D77D76" w:rsidP="0019662A"/>
    <w:p w14:paraId="080B4AE7" w14:textId="77777777" w:rsidR="00D77D76" w:rsidRDefault="00D77D76" w:rsidP="0019662A"/>
    <w:p w14:paraId="75CD5358" w14:textId="77777777" w:rsidR="004533C2" w:rsidRDefault="004533C2" w:rsidP="0019662A"/>
    <w:p w14:paraId="586D8225" w14:textId="77777777" w:rsidR="004533C2" w:rsidRDefault="004533C2" w:rsidP="0019662A"/>
    <w:p w14:paraId="7F60B519" w14:textId="0D02433E" w:rsidR="005A51AC" w:rsidRDefault="005A51AC" w:rsidP="0019662A">
      <w:pPr>
        <w:rPr>
          <w:noProof/>
        </w:rPr>
      </w:pPr>
      <w:r>
        <w:rPr>
          <w:noProof/>
        </w:rPr>
        <w:lastRenderedPageBreak/>
        <w:drawing>
          <wp:anchor distT="0" distB="0" distL="114300" distR="114300" simplePos="0" relativeHeight="251658240" behindDoc="0" locked="0" layoutInCell="1" allowOverlap="1" wp14:anchorId="01E536AE" wp14:editId="2ADA5021">
            <wp:simplePos x="0" y="0"/>
            <wp:positionH relativeFrom="margin">
              <wp:align>center</wp:align>
            </wp:positionH>
            <wp:positionV relativeFrom="paragraph">
              <wp:posOffset>92710</wp:posOffset>
            </wp:positionV>
            <wp:extent cx="6229350" cy="5934075"/>
            <wp:effectExtent l="0" t="0" r="0" b="9525"/>
            <wp:wrapNone/>
            <wp:docPr id="680982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82101" name=""/>
                    <pic:cNvPicPr/>
                  </pic:nvPicPr>
                  <pic:blipFill>
                    <a:blip r:embed="rId28">
                      <a:extLst>
                        <a:ext uri="{28A0092B-C50C-407E-A947-70E740481C1C}">
                          <a14:useLocalDpi xmlns:a14="http://schemas.microsoft.com/office/drawing/2010/main" val="0"/>
                        </a:ext>
                      </a:extLst>
                    </a:blip>
                    <a:stretch>
                      <a:fillRect/>
                    </a:stretch>
                  </pic:blipFill>
                  <pic:spPr>
                    <a:xfrm>
                      <a:off x="0" y="0"/>
                      <a:ext cx="6229350" cy="5934075"/>
                    </a:xfrm>
                    <a:prstGeom prst="rect">
                      <a:avLst/>
                    </a:prstGeom>
                  </pic:spPr>
                </pic:pic>
              </a:graphicData>
            </a:graphic>
            <wp14:sizeRelH relativeFrom="page">
              <wp14:pctWidth>0</wp14:pctWidth>
            </wp14:sizeRelH>
            <wp14:sizeRelV relativeFrom="page">
              <wp14:pctHeight>0</wp14:pctHeight>
            </wp14:sizeRelV>
          </wp:anchor>
        </w:drawing>
      </w:r>
    </w:p>
    <w:p w14:paraId="5E27D882" w14:textId="77777777" w:rsidR="005A51AC" w:rsidRDefault="005A51AC" w:rsidP="0019662A">
      <w:pPr>
        <w:rPr>
          <w:noProof/>
        </w:rPr>
      </w:pPr>
    </w:p>
    <w:p w14:paraId="45E44C0A" w14:textId="77777777" w:rsidR="005A51AC" w:rsidRDefault="005A51AC" w:rsidP="0019662A">
      <w:pPr>
        <w:rPr>
          <w:noProof/>
        </w:rPr>
      </w:pPr>
    </w:p>
    <w:p w14:paraId="3362380D" w14:textId="77777777" w:rsidR="005A51AC" w:rsidRDefault="005A51AC" w:rsidP="0019662A">
      <w:pPr>
        <w:rPr>
          <w:noProof/>
        </w:rPr>
      </w:pPr>
    </w:p>
    <w:p w14:paraId="40EDCBC6" w14:textId="77777777" w:rsidR="005A51AC" w:rsidRDefault="005A51AC" w:rsidP="0019662A">
      <w:pPr>
        <w:rPr>
          <w:noProof/>
        </w:rPr>
      </w:pPr>
    </w:p>
    <w:p w14:paraId="70D8FD67" w14:textId="2BB655B1" w:rsidR="004533C2" w:rsidRDefault="004533C2" w:rsidP="0019662A"/>
    <w:p w14:paraId="3C00EA2F" w14:textId="77777777" w:rsidR="004533C2" w:rsidRDefault="004533C2" w:rsidP="0019662A"/>
    <w:p w14:paraId="42FDE4BA" w14:textId="77777777" w:rsidR="004533C2" w:rsidRDefault="004533C2" w:rsidP="0019662A"/>
    <w:p w14:paraId="28F5FEBE" w14:textId="77777777" w:rsidR="004533C2" w:rsidRDefault="004533C2" w:rsidP="0019662A"/>
    <w:p w14:paraId="623B1123" w14:textId="77777777" w:rsidR="004533C2" w:rsidRDefault="004533C2" w:rsidP="0019662A"/>
    <w:p w14:paraId="14E184E5" w14:textId="77777777" w:rsidR="00F85CCC" w:rsidRDefault="00F85CCC" w:rsidP="0019662A"/>
    <w:p w14:paraId="56E717D1" w14:textId="77777777" w:rsidR="00F85CCC" w:rsidRDefault="00F85CCC" w:rsidP="0019662A"/>
    <w:p w14:paraId="1DB505B4" w14:textId="77777777" w:rsidR="00F85CCC" w:rsidRPr="0019662A" w:rsidRDefault="00F85CCC" w:rsidP="0019662A"/>
    <w:p w14:paraId="0000024A" w14:textId="016BA227" w:rsidR="00E420E3" w:rsidRDefault="00E420E3" w:rsidP="00007EC1">
      <w:pPr>
        <w:rPr>
          <w:rFonts w:eastAsia="Times New Roman" w:cs="Times New Roman"/>
          <w:szCs w:val="24"/>
        </w:rPr>
      </w:pPr>
    </w:p>
    <w:p w14:paraId="0000024B" w14:textId="6F9F4A90" w:rsidR="00E420E3" w:rsidRDefault="00E420E3" w:rsidP="00007EC1"/>
    <w:p w14:paraId="7B3D9EF2" w14:textId="77777777" w:rsidR="005A51AC" w:rsidRDefault="005A51AC" w:rsidP="00007EC1"/>
    <w:p w14:paraId="7021668A" w14:textId="77777777" w:rsidR="005A51AC" w:rsidRDefault="005A51AC" w:rsidP="00007EC1"/>
    <w:p w14:paraId="0000024D" w14:textId="4DDA4D35" w:rsidR="00E420E3" w:rsidRDefault="007C6201" w:rsidP="008A65B6">
      <w:pPr>
        <w:pStyle w:val="Caption"/>
        <w:rPr>
          <w:rFonts w:eastAsia="Times New Roman" w:cs="Times New Roman"/>
          <w:szCs w:val="24"/>
        </w:rPr>
      </w:pPr>
      <w:bookmarkStart w:id="85" w:name="_Toc235390735"/>
      <w:r w:rsidRPr="00096BD8">
        <w:rPr>
          <w:b/>
          <w:bCs/>
          <w:i w:val="0"/>
          <w:iCs w:val="0"/>
          <w:color w:val="auto"/>
          <w:sz w:val="24"/>
          <w:szCs w:val="24"/>
        </w:rPr>
        <w:t xml:space="preserve">Figure </w:t>
      </w:r>
      <w:r w:rsidRPr="00096BD8">
        <w:rPr>
          <w:b/>
          <w:bCs/>
          <w:i w:val="0"/>
          <w:iCs w:val="0"/>
          <w:color w:val="auto"/>
          <w:sz w:val="24"/>
          <w:szCs w:val="24"/>
        </w:rPr>
        <w:fldChar w:fldCharType="begin"/>
      </w:r>
      <w:r w:rsidRPr="00096BD8">
        <w:rPr>
          <w:b/>
          <w:bCs/>
          <w:i w:val="0"/>
          <w:iCs w:val="0"/>
          <w:color w:val="auto"/>
          <w:sz w:val="24"/>
          <w:szCs w:val="24"/>
        </w:rPr>
        <w:instrText xml:space="preserve"> SEQ Figure \* ARABIC </w:instrText>
      </w:r>
      <w:r w:rsidRPr="00096BD8">
        <w:rPr>
          <w:b/>
          <w:bCs/>
          <w:i w:val="0"/>
          <w:iCs w:val="0"/>
          <w:color w:val="auto"/>
          <w:sz w:val="24"/>
          <w:szCs w:val="24"/>
        </w:rPr>
        <w:fldChar w:fldCharType="separate"/>
      </w:r>
      <w:r w:rsidR="008248B6" w:rsidRPr="00096BD8">
        <w:rPr>
          <w:b/>
          <w:bCs/>
          <w:i w:val="0"/>
          <w:iCs w:val="0"/>
          <w:noProof/>
          <w:color w:val="auto"/>
          <w:sz w:val="24"/>
          <w:szCs w:val="24"/>
        </w:rPr>
        <w:t>13</w:t>
      </w:r>
      <w:r w:rsidRPr="00096BD8">
        <w:rPr>
          <w:b/>
          <w:bCs/>
          <w:i w:val="0"/>
          <w:iCs w:val="0"/>
          <w:color w:val="auto"/>
          <w:sz w:val="24"/>
          <w:szCs w:val="24"/>
        </w:rPr>
        <w:fldChar w:fldCharType="end"/>
      </w:r>
      <w:r w:rsidR="00201466">
        <w:rPr>
          <w:b/>
          <w:bCs/>
          <w:i w:val="0"/>
          <w:iCs w:val="0"/>
          <w:color w:val="auto"/>
          <w:sz w:val="24"/>
          <w:szCs w:val="24"/>
        </w:rPr>
        <w:t>.</w:t>
      </w:r>
      <w:r w:rsidRPr="00096BD8">
        <w:rPr>
          <w:b/>
          <w:bCs/>
          <w:i w:val="0"/>
          <w:iCs w:val="0"/>
          <w:color w:val="auto"/>
          <w:sz w:val="24"/>
          <w:szCs w:val="24"/>
        </w:rPr>
        <w:t xml:space="preserve"> </w:t>
      </w:r>
      <w:r w:rsidRPr="00096BD8">
        <w:rPr>
          <w:i w:val="0"/>
          <w:iCs w:val="0"/>
          <w:color w:val="auto"/>
          <w:sz w:val="24"/>
          <w:szCs w:val="24"/>
        </w:rPr>
        <w:t xml:space="preserve">Heatmap of nitrogen-related genes in </w:t>
      </w:r>
      <w:r w:rsidRPr="008A65B6">
        <w:rPr>
          <w:color w:val="auto"/>
          <w:sz w:val="24"/>
          <w:szCs w:val="24"/>
        </w:rPr>
        <w:t>H</w:t>
      </w:r>
      <w:r w:rsidR="0066107C">
        <w:rPr>
          <w:color w:val="auto"/>
          <w:sz w:val="24"/>
          <w:szCs w:val="24"/>
        </w:rPr>
        <w:t>.</w:t>
      </w:r>
      <w:r w:rsidRPr="008A65B6">
        <w:rPr>
          <w:color w:val="auto"/>
          <w:sz w:val="24"/>
          <w:szCs w:val="24"/>
        </w:rPr>
        <w:t xml:space="preserve"> </w:t>
      </w:r>
      <w:proofErr w:type="spellStart"/>
      <w:r w:rsidRPr="008A65B6">
        <w:rPr>
          <w:color w:val="auto"/>
          <w:sz w:val="24"/>
          <w:szCs w:val="24"/>
        </w:rPr>
        <w:t>moseleyanum</w:t>
      </w:r>
      <w:proofErr w:type="spellEnd"/>
      <w:r w:rsidRPr="00096BD8">
        <w:rPr>
          <w:i w:val="0"/>
          <w:iCs w:val="0"/>
          <w:color w:val="auto"/>
          <w:sz w:val="24"/>
          <w:szCs w:val="24"/>
        </w:rPr>
        <w:t xml:space="preserve"> showing log₂-transformed normalised expression values from DESeq2 (variance-</w:t>
      </w:r>
      <w:r w:rsidRPr="008A65B6">
        <w:rPr>
          <w:i w:val="0"/>
          <w:iCs w:val="0"/>
          <w:color w:val="auto"/>
          <w:sz w:val="24"/>
          <w:szCs w:val="24"/>
        </w:rPr>
        <w:t>stabilised counts).</w:t>
      </w:r>
      <w:bookmarkEnd w:id="85"/>
      <w:r w:rsidR="008A65B6" w:rsidRPr="008A65B6">
        <w:rPr>
          <w:i w:val="0"/>
          <w:iCs w:val="0"/>
          <w:color w:val="auto"/>
          <w:sz w:val="24"/>
          <w:szCs w:val="24"/>
        </w:rPr>
        <w:t xml:space="preserve"> </w:t>
      </w:r>
      <w:r w:rsidRPr="008A65B6">
        <w:rPr>
          <w:rFonts w:eastAsia="Times New Roman" w:cs="Times New Roman"/>
          <w:i w:val="0"/>
          <w:iCs w:val="0"/>
          <w:color w:val="auto"/>
          <w:sz w:val="24"/>
          <w:szCs w:val="24"/>
        </w:rPr>
        <w:t xml:space="preserve">Columns </w:t>
      </w:r>
      <w:r w:rsidR="001501D6" w:rsidRPr="008A65B6">
        <w:rPr>
          <w:rFonts w:eastAsia="Times New Roman" w:cs="Times New Roman"/>
          <w:i w:val="0"/>
          <w:iCs w:val="0"/>
          <w:color w:val="auto"/>
          <w:sz w:val="24"/>
          <w:szCs w:val="24"/>
        </w:rPr>
        <w:t>represent samples</w:t>
      </w:r>
      <w:r w:rsidRPr="008A65B6">
        <w:rPr>
          <w:rFonts w:eastAsia="Times New Roman" w:cs="Times New Roman"/>
          <w:i w:val="0"/>
          <w:iCs w:val="0"/>
          <w:color w:val="auto"/>
          <w:sz w:val="24"/>
          <w:szCs w:val="24"/>
        </w:rPr>
        <w:t xml:space="preserve"> include no ants and </w:t>
      </w:r>
      <w:proofErr w:type="gramStart"/>
      <w:r w:rsidRPr="008A65B6">
        <w:rPr>
          <w:rFonts w:eastAsia="Times New Roman" w:cs="Times New Roman"/>
          <w:i w:val="0"/>
          <w:iCs w:val="0"/>
          <w:color w:val="auto"/>
          <w:sz w:val="24"/>
          <w:szCs w:val="24"/>
        </w:rPr>
        <w:t>ants</w:t>
      </w:r>
      <w:proofErr w:type="gramEnd"/>
      <w:r w:rsidRPr="008A65B6">
        <w:rPr>
          <w:rFonts w:eastAsia="Times New Roman" w:cs="Times New Roman"/>
          <w:i w:val="0"/>
          <w:iCs w:val="0"/>
          <w:color w:val="auto"/>
          <w:sz w:val="24"/>
          <w:szCs w:val="24"/>
        </w:rPr>
        <w:t xml:space="preserve"> treatments and warty-like, smooth-like and tuber tissues, </w:t>
      </w:r>
      <w:r w:rsidR="001501D6" w:rsidRPr="008A65B6">
        <w:rPr>
          <w:rFonts w:eastAsia="Times New Roman" w:cs="Times New Roman"/>
          <w:i w:val="0"/>
          <w:iCs w:val="0"/>
          <w:color w:val="auto"/>
          <w:sz w:val="24"/>
          <w:szCs w:val="24"/>
        </w:rPr>
        <w:t>with three</w:t>
      </w:r>
      <w:r w:rsidRPr="008A65B6">
        <w:rPr>
          <w:rFonts w:eastAsia="Times New Roman" w:cs="Times New Roman"/>
          <w:i w:val="0"/>
          <w:iCs w:val="0"/>
          <w:color w:val="auto"/>
          <w:sz w:val="24"/>
          <w:szCs w:val="24"/>
        </w:rPr>
        <w:t xml:space="preserve"> biological replicates for each condition. Rows represent genes, which are </w:t>
      </w:r>
      <w:r w:rsidR="001501D6" w:rsidRPr="008A65B6">
        <w:rPr>
          <w:rFonts w:eastAsia="Times New Roman" w:cs="Times New Roman"/>
          <w:i w:val="0"/>
          <w:iCs w:val="0"/>
          <w:color w:val="auto"/>
          <w:sz w:val="24"/>
          <w:szCs w:val="24"/>
        </w:rPr>
        <w:t>hierarchically clustered</w:t>
      </w:r>
      <w:r w:rsidRPr="008A65B6">
        <w:rPr>
          <w:rFonts w:eastAsia="Times New Roman" w:cs="Times New Roman"/>
          <w:i w:val="0"/>
          <w:iCs w:val="0"/>
          <w:color w:val="auto"/>
          <w:sz w:val="24"/>
          <w:szCs w:val="24"/>
        </w:rPr>
        <w:t xml:space="preserve"> based on expression similarity. Functional annotations are shown alongside </w:t>
      </w:r>
      <w:r w:rsidR="001501D6" w:rsidRPr="008A65B6">
        <w:rPr>
          <w:rFonts w:eastAsia="Times New Roman" w:cs="Times New Roman"/>
          <w:i w:val="0"/>
          <w:iCs w:val="0"/>
          <w:color w:val="auto"/>
          <w:sz w:val="24"/>
          <w:szCs w:val="24"/>
        </w:rPr>
        <w:t>the corresponding</w:t>
      </w:r>
      <w:r w:rsidRPr="008A65B6">
        <w:rPr>
          <w:rFonts w:eastAsia="Times New Roman" w:cs="Times New Roman"/>
          <w:i w:val="0"/>
          <w:iCs w:val="0"/>
          <w:color w:val="auto"/>
          <w:sz w:val="24"/>
          <w:szCs w:val="24"/>
        </w:rPr>
        <w:t xml:space="preserve"> Helixer gene IDs on the left.</w:t>
      </w:r>
    </w:p>
    <w:p w14:paraId="5BA26F0B" w14:textId="624FD207" w:rsidR="00BE1DE5" w:rsidRDefault="008E5528" w:rsidP="00F85CCC">
      <w:r w:rsidRPr="00F85CCC">
        <w:t xml:space="preserve">In contrast to AMT1 genes, AMT2;5_Hm01 had relatively low expression in warty tissue, which increased with ants present, although this was not significant (adjusted p = 0.47) (Fig. </w:t>
      </w:r>
      <w:r w:rsidR="00C410B0">
        <w:t>13</w:t>
      </w:r>
      <w:r w:rsidRPr="00F85CCC">
        <w:t xml:space="preserve">). Under ant presence, the largest expression increase occurred in tuber tissue. In contrast, AMT2_Hm02 showed a tendency for lower expression in tuber and higher expression in smooth tissue, although this difference was not statistically significant (Likelihood Ratio Test, </w:t>
      </w:r>
      <w:r w:rsidRPr="00F85CCC">
        <w:lastRenderedPageBreak/>
        <w:t xml:space="preserve">p = 0.07). Across tissues in the fertiliser treatment (no-ants plants injected with fertiliser), AMT1;3_Hm01 and AMT2;5_Hm01 showed relatively constitutive expression, but both were expressed more highly in control cavity tubers than in fertiliser-treated cavity tubers. </w:t>
      </w:r>
    </w:p>
    <w:p w14:paraId="4C5C0EE3" w14:textId="5491BC90" w:rsidR="00BE1DE5" w:rsidRDefault="008E5528" w:rsidP="00F85CCC">
      <w:r w:rsidRPr="00F85CCC">
        <w:t xml:space="preserve">The strongest increase in AMT1;1_Hm01 expression was observed in tuber tissue of ant-colonised plants (Fig. </w:t>
      </w:r>
      <w:r w:rsidR="00C410B0">
        <w:t>13</w:t>
      </w:r>
      <w:r w:rsidRPr="00F85CCC">
        <w:t xml:space="preserve">), potentially compensating for reduced expression in other tissues, though this increase was not statistically significant (Likelihood Ratio Test, adjusted p = 0.07). </w:t>
      </w:r>
      <w:r w:rsidR="00B02451" w:rsidRPr="00F85CCC">
        <w:t>However,</w:t>
      </w:r>
      <w:r w:rsidRPr="00F85CCC">
        <w:t xml:space="preserve"> there was no proof that ants caused this increase in the tuber according to AMT1;1_Hm01 (Likelihood Ratio Test, adjusted p = 0.07) and AMT2_Hm02 (Likelihood Ratio Test, adjusted p = 0.14) in the same tissue. </w:t>
      </w:r>
    </w:p>
    <w:p w14:paraId="0000024E" w14:textId="4DC139B9" w:rsidR="00E420E3" w:rsidRPr="00F85CCC" w:rsidRDefault="008E5528" w:rsidP="00F85CCC">
      <w:r w:rsidRPr="00F85CCC">
        <w:t xml:space="preserve">Under fertiliser, AMT1;1_Hm01 (Likelihood Ratio Test, adjusted p = 0.07) and AMT2_Hm02 (Likelihood Ratio Test, FDR-adjusted p-value = 0.14) both genes were relatively constitutive, with higher expression in control cavity tubers than in fertilised cavity tubers. Overall, in </w:t>
      </w:r>
      <w:r w:rsidRPr="00F85CCC">
        <w:rPr>
          <w:i/>
          <w:iCs/>
        </w:rPr>
        <w:t>H</w:t>
      </w:r>
      <w:r w:rsidR="00BE1DE5">
        <w:rPr>
          <w:i/>
          <w:iCs/>
        </w:rPr>
        <w:t>.</w:t>
      </w:r>
      <w:r w:rsidRPr="00F85CCC">
        <w:rPr>
          <w:i/>
          <w:iCs/>
        </w:rPr>
        <w:t xml:space="preserve"> </w:t>
      </w:r>
      <w:proofErr w:type="spellStart"/>
      <w:r w:rsidRPr="00F85CCC">
        <w:rPr>
          <w:i/>
          <w:iCs/>
        </w:rPr>
        <w:t>moseleyanum</w:t>
      </w:r>
      <w:proofErr w:type="spellEnd"/>
      <w:r w:rsidRPr="00F85CCC">
        <w:t>, while the baseline expression for many transporters is high, ammonium genes had greater gene expression but not necessarily because of ants as most genes were not found to be induced by ants. In the presence of ants, tuber gene expression was drastically reduced.</w:t>
      </w:r>
    </w:p>
    <w:p w14:paraId="58986E87" w14:textId="77777777" w:rsidR="00064BA7" w:rsidRDefault="008E5528" w:rsidP="00F85CCC">
      <w:r w:rsidRPr="00F85CCC">
        <w:t>AMT3-1_Hm02 and AMT3-1_Hm03 under fertiliser saw a decrease in tuber tissue expression whereas ants had much further decrease (</w:t>
      </w:r>
      <w:r w:rsidR="00A012E0" w:rsidRPr="006505A6">
        <w:t>F</w:t>
      </w:r>
      <w:r w:rsidRPr="006505A6">
        <w:t>ig</w:t>
      </w:r>
      <w:r w:rsidR="00A91D85" w:rsidRPr="006505A6">
        <w:t>.</w:t>
      </w:r>
      <w:r w:rsidR="00B425F5" w:rsidRPr="006505A6">
        <w:t xml:space="preserve"> S4</w:t>
      </w:r>
      <w:r w:rsidRPr="006505A6">
        <w:t>).</w:t>
      </w:r>
      <w:r w:rsidRPr="00F85CCC">
        <w:t xml:space="preserve"> AMT2;5_Hm03 exhibited relatively low expression across all tissues, with the highest levels observed in tuber tissue </w:t>
      </w:r>
      <w:r w:rsidRPr="006505A6">
        <w:t>(</w:t>
      </w:r>
      <w:r w:rsidR="00A012E0" w:rsidRPr="006505A6">
        <w:t>Fig</w:t>
      </w:r>
      <w:r w:rsidR="00A91D85" w:rsidRPr="006505A6">
        <w:t>.</w:t>
      </w:r>
      <w:r w:rsidR="00A012E0" w:rsidRPr="006505A6">
        <w:t xml:space="preserve"> S4</w:t>
      </w:r>
      <w:r w:rsidRPr="006505A6">
        <w:t>).</w:t>
      </w:r>
      <w:r w:rsidRPr="00F85CCC">
        <w:t xml:space="preserve"> In the presence of ants, its expression in tuber tissue dropped to nearly zero, while it increased in warty-like and smooth-like tissues. Fertiliser generally increased ammonium gene expression across all tissues compared to control cavity tissues. AMT2;5_Hm02 had generally low expression across all tissues, with only a slight increase in tuber tissue under ant presence and reduced expression under fertiliser.</w:t>
      </w:r>
      <w:r w:rsidR="003A5CEF" w:rsidRPr="00F85CCC">
        <w:t xml:space="preserve"> </w:t>
      </w:r>
    </w:p>
    <w:p w14:paraId="0000024F" w14:textId="694DAED1" w:rsidR="00E420E3" w:rsidRDefault="003A5CEF" w:rsidP="00F85CCC">
      <w:r w:rsidRPr="00F85CCC">
        <w:t>Overall, fertiliser treatment had only minor effects on ammonium transporter expression. Most AMT genes retained similar expression patterns across tissues, indicating that fertiliser did not induce widespread transcriptional regulation comparable to that observed under ant treatments</w:t>
      </w:r>
      <w:r w:rsidR="00064BA7">
        <w:t>.</w:t>
      </w:r>
    </w:p>
    <w:p w14:paraId="284A8B35" w14:textId="28F82818" w:rsidR="00064BA7" w:rsidRDefault="00064BA7" w:rsidP="00F85CCC"/>
    <w:p w14:paraId="67EC0C21" w14:textId="4733A756" w:rsidR="00064BA7" w:rsidRDefault="00064BA7" w:rsidP="00F85CCC"/>
    <w:p w14:paraId="6A690E79" w14:textId="77777777" w:rsidR="00064BA7" w:rsidRDefault="00064BA7" w:rsidP="00F85CCC"/>
    <w:p w14:paraId="15223520" w14:textId="77777777" w:rsidR="008A65B6" w:rsidRDefault="008A65B6" w:rsidP="00F85CCC"/>
    <w:p w14:paraId="1F15B30A" w14:textId="0328DEEC" w:rsidR="00064BA7" w:rsidRDefault="00064BA7" w:rsidP="00F85CCC"/>
    <w:p w14:paraId="069A033A" w14:textId="5326E0B5" w:rsidR="00064BA7" w:rsidRDefault="00D77D76" w:rsidP="00F85CCC">
      <w:r>
        <w:rPr>
          <w:noProof/>
        </w:rPr>
        <w:drawing>
          <wp:anchor distT="0" distB="0" distL="114300" distR="114300" simplePos="0" relativeHeight="251658241" behindDoc="0" locked="0" layoutInCell="1" allowOverlap="1" wp14:anchorId="7036D097" wp14:editId="31D37706">
            <wp:simplePos x="0" y="0"/>
            <wp:positionH relativeFrom="margin">
              <wp:align>center</wp:align>
            </wp:positionH>
            <wp:positionV relativeFrom="paragraph">
              <wp:posOffset>-257976</wp:posOffset>
            </wp:positionV>
            <wp:extent cx="6910070" cy="3845560"/>
            <wp:effectExtent l="0" t="0" r="5080" b="2540"/>
            <wp:wrapNone/>
            <wp:docPr id="1825249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49877" name=""/>
                    <pic:cNvPicPr/>
                  </pic:nvPicPr>
                  <pic:blipFill>
                    <a:blip r:embed="rId29">
                      <a:extLst>
                        <a:ext uri="{28A0092B-C50C-407E-A947-70E740481C1C}">
                          <a14:useLocalDpi xmlns:a14="http://schemas.microsoft.com/office/drawing/2010/main" val="0"/>
                        </a:ext>
                      </a:extLst>
                    </a:blip>
                    <a:stretch>
                      <a:fillRect/>
                    </a:stretch>
                  </pic:blipFill>
                  <pic:spPr>
                    <a:xfrm>
                      <a:off x="0" y="0"/>
                      <a:ext cx="6910070" cy="3845560"/>
                    </a:xfrm>
                    <a:prstGeom prst="rect">
                      <a:avLst/>
                    </a:prstGeom>
                  </pic:spPr>
                </pic:pic>
              </a:graphicData>
            </a:graphic>
            <wp14:sizeRelH relativeFrom="page">
              <wp14:pctWidth>0</wp14:pctWidth>
            </wp14:sizeRelH>
            <wp14:sizeRelV relativeFrom="page">
              <wp14:pctHeight>0</wp14:pctHeight>
            </wp14:sizeRelV>
          </wp:anchor>
        </w:drawing>
      </w:r>
    </w:p>
    <w:p w14:paraId="3C1F5B59" w14:textId="77777777" w:rsidR="00064BA7" w:rsidRDefault="00064BA7" w:rsidP="00F85CCC"/>
    <w:p w14:paraId="76437CEF" w14:textId="77777777" w:rsidR="00064BA7" w:rsidRDefault="00064BA7" w:rsidP="00F85CCC"/>
    <w:p w14:paraId="2E52B4C2" w14:textId="77777777" w:rsidR="00064BA7" w:rsidRDefault="00064BA7" w:rsidP="00F85CCC"/>
    <w:p w14:paraId="6BF587AF" w14:textId="77777777" w:rsidR="00064BA7" w:rsidRDefault="00064BA7" w:rsidP="00F85CCC"/>
    <w:p w14:paraId="075BD135" w14:textId="77777777" w:rsidR="00064BA7" w:rsidRDefault="00064BA7" w:rsidP="00F85CCC"/>
    <w:p w14:paraId="1325F375" w14:textId="77777777" w:rsidR="00064BA7" w:rsidRDefault="00064BA7" w:rsidP="00F85CCC"/>
    <w:p w14:paraId="688CE2ED" w14:textId="77777777" w:rsidR="00D77D76" w:rsidRDefault="00D77D76" w:rsidP="00F85CCC"/>
    <w:p w14:paraId="647D5C06" w14:textId="77777777" w:rsidR="00D77D76" w:rsidRDefault="00D77D76" w:rsidP="00F85CCC"/>
    <w:p w14:paraId="161B517C" w14:textId="77777777" w:rsidR="00D77D76" w:rsidRPr="00F85CCC" w:rsidRDefault="00D77D76" w:rsidP="00F85CCC"/>
    <w:p w14:paraId="51F35E8F" w14:textId="77777777" w:rsidR="004533C2" w:rsidRDefault="004533C2" w:rsidP="00064BA7">
      <w:pPr>
        <w:rPr>
          <w:b/>
          <w:bCs/>
        </w:rPr>
      </w:pPr>
    </w:p>
    <w:p w14:paraId="72704D52" w14:textId="4430D336" w:rsidR="007C6201" w:rsidRPr="00096BD8" w:rsidRDefault="007C6201" w:rsidP="007C6201">
      <w:pPr>
        <w:pStyle w:val="Caption"/>
        <w:rPr>
          <w:b/>
          <w:bCs/>
          <w:i w:val="0"/>
          <w:iCs w:val="0"/>
          <w:color w:val="auto"/>
          <w:sz w:val="24"/>
          <w:szCs w:val="24"/>
        </w:rPr>
      </w:pPr>
      <w:bookmarkStart w:id="86" w:name="_heading=h.lf4lbhcfrmye" w:colFirst="0" w:colLast="0"/>
      <w:bookmarkStart w:id="87" w:name="_Toc235390736"/>
      <w:bookmarkEnd w:id="86"/>
      <w:r w:rsidRPr="00096BD8">
        <w:rPr>
          <w:b/>
          <w:bCs/>
          <w:i w:val="0"/>
          <w:iCs w:val="0"/>
          <w:color w:val="auto"/>
          <w:sz w:val="24"/>
          <w:szCs w:val="24"/>
        </w:rPr>
        <w:t xml:space="preserve">Figure </w:t>
      </w:r>
      <w:r w:rsidRPr="00096BD8">
        <w:rPr>
          <w:b/>
          <w:bCs/>
          <w:i w:val="0"/>
          <w:iCs w:val="0"/>
          <w:color w:val="auto"/>
          <w:sz w:val="24"/>
          <w:szCs w:val="24"/>
        </w:rPr>
        <w:fldChar w:fldCharType="begin"/>
      </w:r>
      <w:r w:rsidRPr="00096BD8">
        <w:rPr>
          <w:b/>
          <w:bCs/>
          <w:i w:val="0"/>
          <w:iCs w:val="0"/>
          <w:color w:val="auto"/>
          <w:sz w:val="24"/>
          <w:szCs w:val="24"/>
        </w:rPr>
        <w:instrText xml:space="preserve"> SEQ Figure \* ARABIC </w:instrText>
      </w:r>
      <w:r w:rsidRPr="00096BD8">
        <w:rPr>
          <w:b/>
          <w:bCs/>
          <w:i w:val="0"/>
          <w:iCs w:val="0"/>
          <w:color w:val="auto"/>
          <w:sz w:val="24"/>
          <w:szCs w:val="24"/>
        </w:rPr>
        <w:fldChar w:fldCharType="separate"/>
      </w:r>
      <w:r w:rsidR="008248B6" w:rsidRPr="00096BD8">
        <w:rPr>
          <w:b/>
          <w:bCs/>
          <w:i w:val="0"/>
          <w:iCs w:val="0"/>
          <w:noProof/>
          <w:color w:val="auto"/>
          <w:sz w:val="24"/>
          <w:szCs w:val="24"/>
        </w:rPr>
        <w:t>14</w:t>
      </w:r>
      <w:r w:rsidRPr="00096BD8">
        <w:rPr>
          <w:b/>
          <w:bCs/>
          <w:i w:val="0"/>
          <w:iCs w:val="0"/>
          <w:color w:val="auto"/>
          <w:sz w:val="24"/>
          <w:szCs w:val="24"/>
        </w:rPr>
        <w:fldChar w:fldCharType="end"/>
      </w:r>
      <w:r w:rsidR="00201466">
        <w:rPr>
          <w:b/>
          <w:bCs/>
          <w:i w:val="0"/>
          <w:iCs w:val="0"/>
          <w:color w:val="auto"/>
          <w:sz w:val="24"/>
          <w:szCs w:val="24"/>
        </w:rPr>
        <w:t>.</w:t>
      </w:r>
      <w:r w:rsidRPr="00096BD8">
        <w:rPr>
          <w:b/>
          <w:bCs/>
          <w:i w:val="0"/>
          <w:iCs w:val="0"/>
          <w:color w:val="auto"/>
          <w:sz w:val="24"/>
          <w:szCs w:val="24"/>
        </w:rPr>
        <w:t xml:space="preserve"> </w:t>
      </w:r>
      <w:r w:rsidRPr="00096BD8">
        <w:rPr>
          <w:i w:val="0"/>
          <w:iCs w:val="0"/>
          <w:color w:val="auto"/>
          <w:sz w:val="24"/>
          <w:szCs w:val="24"/>
        </w:rPr>
        <w:t xml:space="preserve">Bar plot of ammonium transporter gene expression in </w:t>
      </w:r>
      <w:r w:rsidRPr="008A65B6">
        <w:rPr>
          <w:color w:val="auto"/>
          <w:sz w:val="24"/>
          <w:szCs w:val="24"/>
        </w:rPr>
        <w:t>H</w:t>
      </w:r>
      <w:r w:rsidR="0066107C">
        <w:rPr>
          <w:color w:val="auto"/>
          <w:sz w:val="24"/>
          <w:szCs w:val="24"/>
        </w:rPr>
        <w:t>.</w:t>
      </w:r>
      <w:r w:rsidRPr="008A65B6">
        <w:rPr>
          <w:color w:val="auto"/>
          <w:sz w:val="24"/>
          <w:szCs w:val="24"/>
        </w:rPr>
        <w:t xml:space="preserve"> </w:t>
      </w:r>
      <w:proofErr w:type="spellStart"/>
      <w:r w:rsidRPr="008A65B6">
        <w:rPr>
          <w:color w:val="auto"/>
          <w:sz w:val="24"/>
          <w:szCs w:val="24"/>
        </w:rPr>
        <w:t>moseleyanum</w:t>
      </w:r>
      <w:proofErr w:type="spellEnd"/>
      <w:r w:rsidRPr="00096BD8">
        <w:rPr>
          <w:i w:val="0"/>
          <w:iCs w:val="0"/>
          <w:color w:val="auto"/>
          <w:sz w:val="24"/>
          <w:szCs w:val="24"/>
        </w:rPr>
        <w:t xml:space="preserve"> showing mean log₂-transformed normalised expression values from DESeq2 (variance-stabilised counts) for ants and no </w:t>
      </w:r>
      <w:proofErr w:type="gramStart"/>
      <w:r w:rsidRPr="00096BD8">
        <w:rPr>
          <w:i w:val="0"/>
          <w:iCs w:val="0"/>
          <w:color w:val="auto"/>
          <w:sz w:val="24"/>
          <w:szCs w:val="24"/>
        </w:rPr>
        <w:t>ants</w:t>
      </w:r>
      <w:proofErr w:type="gramEnd"/>
      <w:r w:rsidRPr="00096BD8">
        <w:rPr>
          <w:i w:val="0"/>
          <w:iCs w:val="0"/>
          <w:color w:val="auto"/>
          <w:sz w:val="24"/>
          <w:szCs w:val="24"/>
        </w:rPr>
        <w:t xml:space="preserve"> treatments. Error bars indicate ± standard error across three bi</w:t>
      </w:r>
      <w:r w:rsidR="006E36A6" w:rsidRPr="00096BD8">
        <w:rPr>
          <w:i w:val="0"/>
          <w:iCs w:val="0"/>
          <w:color w:val="auto"/>
          <w:sz w:val="24"/>
          <w:szCs w:val="24"/>
        </w:rPr>
        <w:t>ological replicates.</w:t>
      </w:r>
      <w:bookmarkEnd w:id="87"/>
    </w:p>
    <w:p w14:paraId="00000250" w14:textId="77777777" w:rsidR="00E420E3" w:rsidRDefault="008E5528" w:rsidP="00A84F1A">
      <w:pPr>
        <w:pStyle w:val="Heading4"/>
      </w:pPr>
      <w:bookmarkStart w:id="88" w:name="_Toc235393015"/>
      <w:r>
        <w:t xml:space="preserve">4.4.3 Urease-related gene expression patterns in H. </w:t>
      </w:r>
      <w:proofErr w:type="spellStart"/>
      <w:r>
        <w:t>moseleyanum</w:t>
      </w:r>
      <w:bookmarkEnd w:id="88"/>
      <w:proofErr w:type="spellEnd"/>
    </w:p>
    <w:p w14:paraId="76D60094" w14:textId="5F988B90" w:rsidR="007C278B" w:rsidRPr="007C278B" w:rsidRDefault="008E5528" w:rsidP="00064BA7">
      <w:bookmarkStart w:id="89" w:name="_heading=h.pw4ikyfe5aj4" w:colFirst="0" w:colLast="0"/>
      <w:bookmarkEnd w:id="89"/>
      <w:r>
        <w:t xml:space="preserve">Ure_Hm02 (Urease, gamma-subunit) (Likelihood Ratio Test, FDR-adjusted p-value = 0.01) showed nearly identical expression patterns in warty tissue compared to other tissues. Ure_Hm02 was expressed at relatively high levels across tissues, but their expression decreased in the presence of ants (Fig. </w:t>
      </w:r>
      <w:r w:rsidR="00C410B0">
        <w:t>13</w:t>
      </w:r>
      <w:r>
        <w:t xml:space="preserve">). Under fertiliser treatment, Ure_Hm02 was largely constitutive, with only a slight increase in expression in warty tissue </w:t>
      </w:r>
      <w:r w:rsidRPr="006505A6">
        <w:t>(Fig. S4).</w:t>
      </w:r>
      <w:r>
        <w:t xml:space="preserve"> UreD_Hm01 showed relatively uniform expression across tissues in control plants, but its expression was lower across all tissues in the presence of ants, whereas fertiliser increased its expression in warty and tuber tissues. Ure_Hm04 (urease accessory protein) and UreF_Hm01 showed constitutive expression across all tissues under both treatments (non-significant, p &gt; 0.05). Ure_Hm05 (urease alpha-subunit, N-terminal domain) and Ure_Hm07 (urease, gamma-subunit) remained unaffected by ant presence or fertiliser treatment (p &gt; 0.05) across all tissues, except Ure_Hm07 which was induced in tuber tissue under fertiliser (FDR-adjusted p-value = </w:t>
      </w:r>
      <w:r>
        <w:lastRenderedPageBreak/>
        <w:t>0.03).</w:t>
      </w:r>
      <w:r w:rsidR="007C278B" w:rsidRPr="007C278B">
        <w:t xml:space="preserve"> </w:t>
      </w:r>
      <w:r w:rsidR="009F535D" w:rsidRPr="009F535D">
        <w:t>Overall, fertiliser treatment resulted in only modest changes in urease-related gene expression, with most genes remaining constitutively expressed across tissues and showing no evidence of strong fertiliser-induced regulation.</w:t>
      </w:r>
    </w:p>
    <w:p w14:paraId="00000252" w14:textId="77777777" w:rsidR="00E420E3" w:rsidRDefault="008E5528" w:rsidP="00A84F1A">
      <w:pPr>
        <w:pStyle w:val="Heading4"/>
      </w:pPr>
      <w:bookmarkStart w:id="90" w:name="_heading=h.795k9v1t55ng" w:colFirst="0" w:colLast="0"/>
      <w:bookmarkStart w:id="91" w:name="_Toc235393016"/>
      <w:bookmarkEnd w:id="90"/>
      <w:r>
        <w:t xml:space="preserve">4.4.4 Cytochrome C biogenesis genes expression patterns in H. </w:t>
      </w:r>
      <w:proofErr w:type="spellStart"/>
      <w:r>
        <w:t>moseleyanum</w:t>
      </w:r>
      <w:bookmarkEnd w:id="91"/>
      <w:proofErr w:type="spellEnd"/>
    </w:p>
    <w:p w14:paraId="1F9EA878" w14:textId="226B97EB" w:rsidR="00200820" w:rsidRDefault="008E5528" w:rsidP="00064BA7">
      <w:bookmarkStart w:id="92" w:name="_heading=h.kpuaz6df4r2o" w:colFirst="0" w:colLast="0"/>
      <w:bookmarkEnd w:id="92"/>
      <w:r>
        <w:t xml:space="preserve">Cytochrome c biogenesis genes in </w:t>
      </w:r>
      <w:r>
        <w:rPr>
          <w:i/>
          <w:iCs/>
        </w:rPr>
        <w:t xml:space="preserve">H. </w:t>
      </w:r>
      <w:proofErr w:type="spellStart"/>
      <w:r>
        <w:rPr>
          <w:i/>
          <w:iCs/>
        </w:rPr>
        <w:t>moseleyanum</w:t>
      </w:r>
      <w:proofErr w:type="spellEnd"/>
      <w:r>
        <w:t xml:space="preserve"> CYTC-1_Hm01 showed constitutive expression, with no detectable changes across tissues in response to ant presence (Fig. </w:t>
      </w:r>
      <w:r w:rsidR="00C410B0">
        <w:t>13</w:t>
      </w:r>
      <w:r>
        <w:t>). Under fertiliser treatment, its expression remained largely unchanged, apart from a slight increase in tuber tissue (</w:t>
      </w:r>
      <w:r w:rsidRPr="006505A6">
        <w:t>Fig. S4).</w:t>
      </w:r>
      <w:r>
        <w:t xml:space="preserve"> CYTC-1_Hm02 and CYTC-1_Hm03 were both highly expressed across tissues, showing slight increases under both ant and fertiliser treatments, with CYTC-1_Hm03 notably increasing in tuber tissue under ant presence. </w:t>
      </w:r>
    </w:p>
    <w:p w14:paraId="00000253" w14:textId="23C571F0" w:rsidR="00E420E3" w:rsidRDefault="008E5528" w:rsidP="00064BA7">
      <w:r>
        <w:t>All other cytochrome c genes showed little to no detectable expression changes under either treatment (</w:t>
      </w:r>
      <w:r w:rsidRPr="006505A6">
        <w:t>Fig. S4).</w:t>
      </w:r>
      <w:r w:rsidR="00FF2B33">
        <w:t xml:space="preserve"> </w:t>
      </w:r>
      <w:r w:rsidR="00FF2B33" w:rsidRPr="00FF2B33">
        <w:t>Collectively, these results indicate that fertiliser treatment had little influence on cytochrome c biogenesis gene expression, with expression remaining largely constitutive across tissues.</w:t>
      </w:r>
    </w:p>
    <w:p w14:paraId="09F489A8" w14:textId="2C6B0D85" w:rsidR="00200820" w:rsidRDefault="00200820" w:rsidP="007478AE"/>
    <w:p w14:paraId="28166019" w14:textId="3DC253C6" w:rsidR="00200820" w:rsidRDefault="00200820" w:rsidP="007478AE"/>
    <w:p w14:paraId="0427B3B2" w14:textId="6A8E2060" w:rsidR="00200820" w:rsidRDefault="00200820" w:rsidP="007478AE"/>
    <w:p w14:paraId="711214D1" w14:textId="77777777" w:rsidR="00200820" w:rsidRDefault="00200820" w:rsidP="007478AE"/>
    <w:p w14:paraId="15F7CA96" w14:textId="77777777" w:rsidR="00200820" w:rsidRDefault="00200820" w:rsidP="007478AE"/>
    <w:p w14:paraId="1696006A" w14:textId="77777777" w:rsidR="00200820" w:rsidRDefault="00200820" w:rsidP="007478AE"/>
    <w:p w14:paraId="2CD791F4" w14:textId="1999EFF5" w:rsidR="00200820" w:rsidRDefault="00200820" w:rsidP="007478AE"/>
    <w:p w14:paraId="58E96036" w14:textId="6696BCE0" w:rsidR="00200820" w:rsidRDefault="00200820" w:rsidP="007478AE"/>
    <w:p w14:paraId="4C147F37" w14:textId="58134994" w:rsidR="00200820" w:rsidRDefault="00200820" w:rsidP="007478AE"/>
    <w:p w14:paraId="30EC898B" w14:textId="5F8F1F63" w:rsidR="00200820" w:rsidRDefault="00200820" w:rsidP="007478AE"/>
    <w:p w14:paraId="29B2FC34" w14:textId="77777777" w:rsidR="00D77D76" w:rsidRDefault="00D77D76" w:rsidP="007478AE"/>
    <w:p w14:paraId="50FFAF35" w14:textId="77777777" w:rsidR="00D77D76" w:rsidRDefault="00D77D76" w:rsidP="007478AE"/>
    <w:p w14:paraId="33D08C6A" w14:textId="26C729AC" w:rsidR="00200820" w:rsidRDefault="00200820" w:rsidP="007478AE"/>
    <w:p w14:paraId="7F41EE10" w14:textId="325C07EA" w:rsidR="004533C2" w:rsidRDefault="004533C2" w:rsidP="00200820">
      <w:pPr>
        <w:rPr>
          <w:rFonts w:eastAsia="Times New Roman" w:cs="Times New Roman"/>
          <w:b/>
          <w:bCs/>
          <w:szCs w:val="24"/>
        </w:rPr>
      </w:pPr>
      <w:bookmarkStart w:id="93" w:name="_heading=h.qnnovi49ajn7" w:colFirst="0" w:colLast="0"/>
      <w:bookmarkEnd w:id="93"/>
    </w:p>
    <w:p w14:paraId="63CD2568" w14:textId="29F91877" w:rsidR="004533C2" w:rsidRDefault="006E36A6" w:rsidP="00200820">
      <w:pPr>
        <w:rPr>
          <w:rFonts w:eastAsia="Times New Roman" w:cs="Times New Roman"/>
          <w:b/>
          <w:bCs/>
          <w:szCs w:val="24"/>
        </w:rPr>
      </w:pPr>
      <w:r>
        <w:rPr>
          <w:noProof/>
        </w:rPr>
        <w:drawing>
          <wp:anchor distT="0" distB="0" distL="114300" distR="114300" simplePos="0" relativeHeight="251662342" behindDoc="0" locked="0" layoutInCell="1" allowOverlap="1" wp14:anchorId="3F713BFC" wp14:editId="4A9D90A3">
            <wp:simplePos x="0" y="0"/>
            <wp:positionH relativeFrom="margin">
              <wp:posOffset>-262393</wp:posOffset>
            </wp:positionH>
            <wp:positionV relativeFrom="paragraph">
              <wp:posOffset>-67669</wp:posOffset>
            </wp:positionV>
            <wp:extent cx="6488264" cy="4384720"/>
            <wp:effectExtent l="0" t="0" r="8255" b="0"/>
            <wp:wrapNone/>
            <wp:docPr id="300586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586112" name=""/>
                    <pic:cNvPicPr/>
                  </pic:nvPicPr>
                  <pic:blipFill>
                    <a:blip r:embed="rId30">
                      <a:extLst>
                        <a:ext uri="{28A0092B-C50C-407E-A947-70E740481C1C}">
                          <a14:useLocalDpi xmlns:a14="http://schemas.microsoft.com/office/drawing/2010/main" val="0"/>
                        </a:ext>
                      </a:extLst>
                    </a:blip>
                    <a:stretch>
                      <a:fillRect/>
                    </a:stretch>
                  </pic:blipFill>
                  <pic:spPr>
                    <a:xfrm>
                      <a:off x="0" y="0"/>
                      <a:ext cx="6488264" cy="4384720"/>
                    </a:xfrm>
                    <a:prstGeom prst="rect">
                      <a:avLst/>
                    </a:prstGeom>
                  </pic:spPr>
                </pic:pic>
              </a:graphicData>
            </a:graphic>
            <wp14:sizeRelH relativeFrom="page">
              <wp14:pctWidth>0</wp14:pctWidth>
            </wp14:sizeRelH>
            <wp14:sizeRelV relativeFrom="page">
              <wp14:pctHeight>0</wp14:pctHeight>
            </wp14:sizeRelV>
          </wp:anchor>
        </w:drawing>
      </w:r>
    </w:p>
    <w:p w14:paraId="19E59376" w14:textId="59082ED2" w:rsidR="004533C2" w:rsidRDefault="004533C2" w:rsidP="00200820">
      <w:pPr>
        <w:rPr>
          <w:rFonts w:eastAsia="Times New Roman" w:cs="Times New Roman"/>
          <w:b/>
          <w:bCs/>
          <w:szCs w:val="24"/>
        </w:rPr>
      </w:pPr>
    </w:p>
    <w:p w14:paraId="77CA62E3" w14:textId="77777777" w:rsidR="004533C2" w:rsidRDefault="004533C2" w:rsidP="00200820">
      <w:pPr>
        <w:rPr>
          <w:rFonts w:eastAsia="Times New Roman" w:cs="Times New Roman"/>
          <w:b/>
          <w:bCs/>
          <w:szCs w:val="24"/>
        </w:rPr>
      </w:pPr>
    </w:p>
    <w:p w14:paraId="0B59005A" w14:textId="77777777" w:rsidR="004533C2" w:rsidRDefault="004533C2" w:rsidP="00200820">
      <w:pPr>
        <w:rPr>
          <w:rFonts w:eastAsia="Times New Roman" w:cs="Times New Roman"/>
          <w:b/>
          <w:bCs/>
          <w:szCs w:val="24"/>
        </w:rPr>
      </w:pPr>
    </w:p>
    <w:p w14:paraId="7683638A" w14:textId="77777777" w:rsidR="004533C2" w:rsidRDefault="004533C2" w:rsidP="00200820">
      <w:pPr>
        <w:rPr>
          <w:rFonts w:eastAsia="Times New Roman" w:cs="Times New Roman"/>
          <w:b/>
          <w:bCs/>
          <w:szCs w:val="24"/>
        </w:rPr>
      </w:pPr>
    </w:p>
    <w:p w14:paraId="5E3BFF14" w14:textId="77777777" w:rsidR="004533C2" w:rsidRDefault="004533C2" w:rsidP="00200820">
      <w:pPr>
        <w:rPr>
          <w:rFonts w:eastAsia="Times New Roman" w:cs="Times New Roman"/>
          <w:b/>
          <w:bCs/>
          <w:szCs w:val="24"/>
        </w:rPr>
      </w:pPr>
    </w:p>
    <w:p w14:paraId="537548D5" w14:textId="77777777" w:rsidR="004533C2" w:rsidRDefault="004533C2" w:rsidP="00200820">
      <w:pPr>
        <w:rPr>
          <w:rFonts w:eastAsia="Times New Roman" w:cs="Times New Roman"/>
          <w:b/>
          <w:bCs/>
          <w:szCs w:val="24"/>
        </w:rPr>
      </w:pPr>
    </w:p>
    <w:p w14:paraId="776C5123" w14:textId="77777777" w:rsidR="004533C2" w:rsidRDefault="004533C2" w:rsidP="00200820">
      <w:pPr>
        <w:rPr>
          <w:rFonts w:eastAsia="Times New Roman" w:cs="Times New Roman"/>
          <w:b/>
          <w:bCs/>
          <w:szCs w:val="24"/>
        </w:rPr>
      </w:pPr>
    </w:p>
    <w:p w14:paraId="51DCFC88" w14:textId="77777777" w:rsidR="004533C2" w:rsidRDefault="004533C2" w:rsidP="00200820">
      <w:pPr>
        <w:rPr>
          <w:rFonts w:eastAsia="Times New Roman" w:cs="Times New Roman"/>
          <w:b/>
          <w:bCs/>
          <w:szCs w:val="24"/>
        </w:rPr>
      </w:pPr>
    </w:p>
    <w:p w14:paraId="57EE113C" w14:textId="77777777" w:rsidR="004533C2" w:rsidRDefault="004533C2" w:rsidP="00200820">
      <w:pPr>
        <w:rPr>
          <w:rFonts w:eastAsia="Times New Roman" w:cs="Times New Roman"/>
          <w:b/>
          <w:bCs/>
          <w:szCs w:val="24"/>
        </w:rPr>
      </w:pPr>
    </w:p>
    <w:p w14:paraId="2E1FF43D" w14:textId="77777777" w:rsidR="004533C2" w:rsidRDefault="004533C2" w:rsidP="00200820">
      <w:pPr>
        <w:rPr>
          <w:rFonts w:eastAsia="Times New Roman" w:cs="Times New Roman"/>
          <w:b/>
          <w:bCs/>
          <w:szCs w:val="24"/>
        </w:rPr>
      </w:pPr>
    </w:p>
    <w:p w14:paraId="2A7B777B" w14:textId="77777777" w:rsidR="006E36A6" w:rsidRDefault="006E36A6" w:rsidP="00200820">
      <w:pPr>
        <w:rPr>
          <w:rFonts w:eastAsia="Times New Roman" w:cs="Times New Roman"/>
          <w:b/>
          <w:bCs/>
          <w:szCs w:val="24"/>
        </w:rPr>
      </w:pPr>
    </w:p>
    <w:p w14:paraId="61C36256" w14:textId="77777777" w:rsidR="006E36A6" w:rsidRDefault="006E36A6" w:rsidP="00200820">
      <w:pPr>
        <w:rPr>
          <w:rFonts w:eastAsia="Times New Roman" w:cs="Times New Roman"/>
          <w:b/>
          <w:bCs/>
          <w:szCs w:val="24"/>
        </w:rPr>
      </w:pPr>
    </w:p>
    <w:p w14:paraId="547259A8" w14:textId="123D5F6D" w:rsidR="007478AE" w:rsidRPr="00200820" w:rsidRDefault="006E36A6" w:rsidP="008A65B6">
      <w:pPr>
        <w:pStyle w:val="Caption"/>
        <w:rPr>
          <w:rFonts w:eastAsia="Times New Roman" w:cs="Times New Roman"/>
          <w:szCs w:val="24"/>
        </w:rPr>
      </w:pPr>
      <w:bookmarkStart w:id="94" w:name="_Toc235390737"/>
      <w:r w:rsidRPr="00096BD8">
        <w:rPr>
          <w:b/>
          <w:bCs/>
          <w:i w:val="0"/>
          <w:iCs w:val="0"/>
          <w:color w:val="auto"/>
          <w:sz w:val="24"/>
          <w:szCs w:val="24"/>
        </w:rPr>
        <w:t xml:space="preserve">Figure </w:t>
      </w:r>
      <w:r w:rsidRPr="00096BD8">
        <w:rPr>
          <w:b/>
          <w:bCs/>
          <w:i w:val="0"/>
          <w:iCs w:val="0"/>
          <w:color w:val="auto"/>
          <w:sz w:val="24"/>
          <w:szCs w:val="24"/>
        </w:rPr>
        <w:fldChar w:fldCharType="begin"/>
      </w:r>
      <w:r w:rsidRPr="00096BD8">
        <w:rPr>
          <w:b/>
          <w:bCs/>
          <w:i w:val="0"/>
          <w:iCs w:val="0"/>
          <w:color w:val="auto"/>
          <w:sz w:val="24"/>
          <w:szCs w:val="24"/>
        </w:rPr>
        <w:instrText xml:space="preserve"> SEQ Figure \* ARABIC </w:instrText>
      </w:r>
      <w:r w:rsidRPr="00096BD8">
        <w:rPr>
          <w:b/>
          <w:bCs/>
          <w:i w:val="0"/>
          <w:iCs w:val="0"/>
          <w:color w:val="auto"/>
          <w:sz w:val="24"/>
          <w:szCs w:val="24"/>
        </w:rPr>
        <w:fldChar w:fldCharType="separate"/>
      </w:r>
      <w:r w:rsidR="008248B6" w:rsidRPr="00096BD8">
        <w:rPr>
          <w:b/>
          <w:bCs/>
          <w:i w:val="0"/>
          <w:iCs w:val="0"/>
          <w:noProof/>
          <w:color w:val="auto"/>
          <w:sz w:val="24"/>
          <w:szCs w:val="24"/>
        </w:rPr>
        <w:t>15</w:t>
      </w:r>
      <w:r w:rsidRPr="00096BD8">
        <w:rPr>
          <w:b/>
          <w:bCs/>
          <w:i w:val="0"/>
          <w:iCs w:val="0"/>
          <w:color w:val="auto"/>
          <w:sz w:val="24"/>
          <w:szCs w:val="24"/>
        </w:rPr>
        <w:fldChar w:fldCharType="end"/>
      </w:r>
      <w:r w:rsidR="00201466">
        <w:rPr>
          <w:b/>
          <w:bCs/>
          <w:i w:val="0"/>
          <w:iCs w:val="0"/>
          <w:color w:val="auto"/>
          <w:sz w:val="24"/>
          <w:szCs w:val="24"/>
        </w:rPr>
        <w:t>.</w:t>
      </w:r>
      <w:r w:rsidRPr="00096BD8">
        <w:rPr>
          <w:b/>
          <w:bCs/>
          <w:i w:val="0"/>
          <w:iCs w:val="0"/>
          <w:color w:val="auto"/>
          <w:sz w:val="24"/>
          <w:szCs w:val="24"/>
        </w:rPr>
        <w:t xml:space="preserve"> </w:t>
      </w:r>
      <w:r w:rsidRPr="00096BD8">
        <w:rPr>
          <w:i w:val="0"/>
          <w:iCs w:val="0"/>
          <w:color w:val="auto"/>
          <w:sz w:val="24"/>
          <w:szCs w:val="24"/>
        </w:rPr>
        <w:t xml:space="preserve">Heatmap of nitrogen-related genes in </w:t>
      </w:r>
      <w:r w:rsidRPr="008A65B6">
        <w:rPr>
          <w:color w:val="auto"/>
          <w:sz w:val="24"/>
          <w:szCs w:val="24"/>
        </w:rPr>
        <w:t>H</w:t>
      </w:r>
      <w:r w:rsidR="0066107C">
        <w:rPr>
          <w:color w:val="auto"/>
          <w:sz w:val="24"/>
          <w:szCs w:val="24"/>
        </w:rPr>
        <w:t>.</w:t>
      </w:r>
      <w:r w:rsidRPr="008A65B6">
        <w:rPr>
          <w:color w:val="auto"/>
          <w:sz w:val="24"/>
          <w:szCs w:val="24"/>
        </w:rPr>
        <w:t xml:space="preserve"> </w:t>
      </w:r>
      <w:proofErr w:type="spellStart"/>
      <w:r w:rsidRPr="008A65B6">
        <w:rPr>
          <w:color w:val="auto"/>
          <w:sz w:val="24"/>
          <w:szCs w:val="24"/>
        </w:rPr>
        <w:t>moseleyanum</w:t>
      </w:r>
      <w:proofErr w:type="spellEnd"/>
      <w:r w:rsidRPr="00096BD8">
        <w:rPr>
          <w:i w:val="0"/>
          <w:iCs w:val="0"/>
          <w:color w:val="auto"/>
          <w:sz w:val="24"/>
          <w:szCs w:val="24"/>
        </w:rPr>
        <w:t xml:space="preserve"> showing log₂-transformed normalised expression values from DESeq2 (</w:t>
      </w:r>
      <w:r w:rsidRPr="008A65B6">
        <w:rPr>
          <w:i w:val="0"/>
          <w:iCs w:val="0"/>
          <w:color w:val="auto"/>
          <w:sz w:val="24"/>
          <w:szCs w:val="24"/>
        </w:rPr>
        <w:t>variance-stabilised counts).</w:t>
      </w:r>
      <w:bookmarkEnd w:id="94"/>
      <w:r w:rsidR="008A65B6" w:rsidRPr="008A65B6">
        <w:rPr>
          <w:i w:val="0"/>
          <w:iCs w:val="0"/>
          <w:color w:val="auto"/>
          <w:sz w:val="24"/>
          <w:szCs w:val="24"/>
        </w:rPr>
        <w:t xml:space="preserve"> </w:t>
      </w:r>
      <w:r w:rsidR="007478AE" w:rsidRPr="008A65B6">
        <w:rPr>
          <w:rFonts w:eastAsia="Times New Roman" w:cs="Times New Roman"/>
          <w:i w:val="0"/>
          <w:iCs w:val="0"/>
          <w:color w:val="auto"/>
          <w:sz w:val="24"/>
          <w:szCs w:val="24"/>
        </w:rPr>
        <w:t xml:space="preserve">Columns represent samples from no-ants and </w:t>
      </w:r>
      <w:proofErr w:type="gramStart"/>
      <w:r w:rsidR="007478AE" w:rsidRPr="008A65B6">
        <w:rPr>
          <w:rFonts w:eastAsia="Times New Roman" w:cs="Times New Roman"/>
          <w:i w:val="0"/>
          <w:iCs w:val="0"/>
          <w:color w:val="auto"/>
          <w:sz w:val="24"/>
          <w:szCs w:val="24"/>
        </w:rPr>
        <w:t>ants</w:t>
      </w:r>
      <w:proofErr w:type="gramEnd"/>
      <w:r w:rsidR="007478AE" w:rsidRPr="008A65B6">
        <w:rPr>
          <w:rFonts w:eastAsia="Times New Roman" w:cs="Times New Roman"/>
          <w:i w:val="0"/>
          <w:iCs w:val="0"/>
          <w:color w:val="auto"/>
          <w:sz w:val="24"/>
          <w:szCs w:val="24"/>
        </w:rPr>
        <w:t xml:space="preserve"> treatments across warty, smooth and tuber tissues (three biological replicates per condition). Rows represent genes, hierarchically clustered based on expression similarity. Helixer gene IDs and corresponding functional annotations are shown on the left.</w:t>
      </w:r>
    </w:p>
    <w:p w14:paraId="00000254" w14:textId="40C0A3F4" w:rsidR="00E420E3" w:rsidRPr="00200820" w:rsidRDefault="008E5528" w:rsidP="00200820">
      <w:pPr>
        <w:pStyle w:val="Heading4"/>
      </w:pPr>
      <w:bookmarkStart w:id="95" w:name="_Toc235393017"/>
      <w:r w:rsidRPr="00200820">
        <w:t xml:space="preserve">4.4.5 Regulation of nitrite and nitrate transporter genes in response to ant presence in H. </w:t>
      </w:r>
      <w:proofErr w:type="spellStart"/>
      <w:r w:rsidRPr="00200820">
        <w:t>moseleyanum</w:t>
      </w:r>
      <w:bookmarkEnd w:id="95"/>
      <w:proofErr w:type="spellEnd"/>
    </w:p>
    <w:p w14:paraId="00000255" w14:textId="3DA7A103" w:rsidR="00E420E3" w:rsidRPr="00200820" w:rsidRDefault="008E5528" w:rsidP="00200820">
      <w:pPr>
        <w:rPr>
          <w:rFonts w:eastAsia="Times New Roman" w:cs="Times New Roman"/>
          <w:szCs w:val="24"/>
        </w:rPr>
      </w:pPr>
      <w:bookmarkStart w:id="96" w:name="_heading=h.vz1olifk13cm" w:colFirst="0" w:colLast="0"/>
      <w:bookmarkEnd w:id="96"/>
      <w:r w:rsidRPr="00200820">
        <w:rPr>
          <w:rFonts w:eastAsia="Times New Roman" w:cs="Times New Roman"/>
          <w:szCs w:val="24"/>
        </w:rPr>
        <w:t xml:space="preserve">The genes Nirs_Hm01 and Nirs_Hm02 (C-terminal </w:t>
      </w:r>
      <w:proofErr w:type="spellStart"/>
      <w:r w:rsidRPr="00200820">
        <w:rPr>
          <w:rFonts w:eastAsia="Times New Roman" w:cs="Times New Roman"/>
          <w:szCs w:val="24"/>
        </w:rPr>
        <w:t>heme</w:t>
      </w:r>
      <w:proofErr w:type="spellEnd"/>
      <w:r w:rsidRPr="00200820">
        <w:rPr>
          <w:rFonts w:eastAsia="Times New Roman" w:cs="Times New Roman"/>
          <w:szCs w:val="24"/>
        </w:rPr>
        <w:t xml:space="preserve"> d1 domain of cytochrome cd1 nitrite reductase), along with </w:t>
      </w:r>
      <w:r w:rsidR="000C7736">
        <w:rPr>
          <w:rFonts w:eastAsia="Times New Roman" w:cs="Times New Roman"/>
          <w:szCs w:val="24"/>
        </w:rPr>
        <w:t>n</w:t>
      </w:r>
      <w:r w:rsidRPr="00200820">
        <w:rPr>
          <w:rFonts w:eastAsia="Times New Roman" w:cs="Times New Roman"/>
          <w:szCs w:val="24"/>
        </w:rPr>
        <w:t>itrite and sulphite reductase 4Fe-4S domain-like genes, showed consistently high expression across all tissues, remaining unchanged in response to ants (Fig. 1</w:t>
      </w:r>
      <w:r w:rsidR="00C410B0">
        <w:rPr>
          <w:rFonts w:eastAsia="Times New Roman" w:cs="Times New Roman"/>
          <w:szCs w:val="24"/>
        </w:rPr>
        <w:t>5</w:t>
      </w:r>
      <w:r w:rsidRPr="00200820">
        <w:rPr>
          <w:rFonts w:eastAsia="Times New Roman" w:cs="Times New Roman"/>
          <w:szCs w:val="24"/>
        </w:rPr>
        <w:t xml:space="preserve">) or fertiliser treatments </w:t>
      </w:r>
      <w:r w:rsidRPr="006505A6">
        <w:rPr>
          <w:rFonts w:eastAsia="Times New Roman" w:cs="Times New Roman"/>
          <w:szCs w:val="24"/>
        </w:rPr>
        <w:t>(Fig. S3 and Fig.S4).</w:t>
      </w:r>
      <w:r w:rsidRPr="00200820">
        <w:rPr>
          <w:rFonts w:eastAsia="Times New Roman" w:cs="Times New Roman"/>
          <w:szCs w:val="24"/>
        </w:rPr>
        <w:t xml:space="preserve"> In contrast, Nirs_Hm03 (C-terminal </w:t>
      </w:r>
      <w:proofErr w:type="spellStart"/>
      <w:r w:rsidRPr="00200820">
        <w:rPr>
          <w:rFonts w:eastAsia="Times New Roman" w:cs="Times New Roman"/>
          <w:szCs w:val="24"/>
        </w:rPr>
        <w:t>heme</w:t>
      </w:r>
      <w:proofErr w:type="spellEnd"/>
      <w:r w:rsidRPr="00200820">
        <w:rPr>
          <w:rFonts w:eastAsia="Times New Roman" w:cs="Times New Roman"/>
          <w:szCs w:val="24"/>
        </w:rPr>
        <w:t xml:space="preserve"> d1 domain of cytochrome cd1 nitrite reductase) showed high expression levels that were further induced in warty-like and smooth-like tissues in the presence of ants, while tuber tissue expression increased only slightly. In contrast, Nirs_Hm04 (FDR-adjusted p-value = 0.02) </w:t>
      </w:r>
      <w:r w:rsidR="00861ACC">
        <w:rPr>
          <w:rFonts w:eastAsia="Times New Roman" w:cs="Times New Roman"/>
          <w:szCs w:val="24"/>
        </w:rPr>
        <w:t xml:space="preserve">(S8) </w:t>
      </w:r>
      <w:r w:rsidRPr="00200820">
        <w:rPr>
          <w:rFonts w:eastAsia="Times New Roman" w:cs="Times New Roman"/>
          <w:szCs w:val="24"/>
        </w:rPr>
        <w:lastRenderedPageBreak/>
        <w:t>and Nirs_Hm05 (Nitrite/sulphite reductase ferredoxin-like half domain) were highly expressed across tissues in the absence of ants but showed reduced expression when ants were present. Under fertiliser treatment, both genes were largely constitutive and showed little change across tissues (</w:t>
      </w:r>
      <w:r w:rsidRPr="006505A6">
        <w:rPr>
          <w:rFonts w:eastAsia="Times New Roman" w:cs="Times New Roman"/>
          <w:szCs w:val="24"/>
        </w:rPr>
        <w:t>Fig. S4).</w:t>
      </w:r>
    </w:p>
    <w:p w14:paraId="18AFC052" w14:textId="484D7693" w:rsidR="00834F0F" w:rsidRDefault="008E5528" w:rsidP="00200820">
      <w:pPr>
        <w:rPr>
          <w:rFonts w:eastAsia="Times New Roman" w:cs="Times New Roman"/>
          <w:szCs w:val="24"/>
        </w:rPr>
      </w:pPr>
      <w:bookmarkStart w:id="97" w:name="_heading=h.eucdx2rosl6m" w:colFirst="0" w:colLast="0"/>
      <w:bookmarkEnd w:id="97"/>
      <w:r w:rsidRPr="00200820">
        <w:rPr>
          <w:rFonts w:eastAsia="Times New Roman" w:cs="Times New Roman"/>
          <w:szCs w:val="24"/>
        </w:rPr>
        <w:t>NAR2.1_Hm04 showed increased expression only in warty-like tissue in the presence of ants (FDR-adjusted p-value = 0.02)</w:t>
      </w:r>
      <w:r w:rsidR="00861ACC">
        <w:rPr>
          <w:rFonts w:eastAsia="Times New Roman" w:cs="Times New Roman"/>
          <w:szCs w:val="24"/>
        </w:rPr>
        <w:t xml:space="preserve"> (S8)</w:t>
      </w:r>
      <w:r w:rsidRPr="00200820">
        <w:rPr>
          <w:rFonts w:eastAsia="Times New Roman" w:cs="Times New Roman"/>
          <w:szCs w:val="24"/>
        </w:rPr>
        <w:t>, consistent with this tissue being a major site of nutrient uptake, whereas fertiliser produced minimal changes in expression across tissues. NirA_Hm01 and NirA_Hm02 were upregulated in the presence of ants across multiple tissues except in tuber where expression decreased, and fertiliser treatment generally elicited much lower expression in all tissues. High-affinity nitrate transporter accessory, Ig-like domain genes were expressed at low levels in the absence of ants but were clearly induced in warty-like tissue when ants were present (Fig. 1</w:t>
      </w:r>
      <w:r w:rsidR="00B6792B">
        <w:rPr>
          <w:rFonts w:eastAsia="Times New Roman" w:cs="Times New Roman"/>
          <w:szCs w:val="24"/>
        </w:rPr>
        <w:t>6</w:t>
      </w:r>
      <w:r w:rsidRPr="00200820">
        <w:rPr>
          <w:rFonts w:eastAsia="Times New Roman" w:cs="Times New Roman"/>
          <w:szCs w:val="24"/>
        </w:rPr>
        <w:t xml:space="preserve">). Fertiliser treatment produced a broadly similar spatial pattern </w:t>
      </w:r>
      <w:r w:rsidRPr="006505A6">
        <w:rPr>
          <w:rFonts w:eastAsia="Times New Roman" w:cs="Times New Roman"/>
          <w:szCs w:val="24"/>
        </w:rPr>
        <w:t>(Fig. S5),</w:t>
      </w:r>
      <w:r w:rsidRPr="00200820">
        <w:rPr>
          <w:rFonts w:eastAsia="Times New Roman" w:cs="Times New Roman"/>
          <w:szCs w:val="24"/>
        </w:rPr>
        <w:t xml:space="preserve"> but induction by ants was markedly stronger than under fertiliser treatments.</w:t>
      </w:r>
      <w:r w:rsidR="00834F0F" w:rsidRPr="00200820">
        <w:rPr>
          <w:rFonts w:eastAsia="Times New Roman" w:cs="Times New Roman"/>
          <w:szCs w:val="24"/>
        </w:rPr>
        <w:t xml:space="preserve"> Overall, fertiliser treatment produced relatively minor changes in nitrate- and nitrite-related gene expression compared with ant treatments, with most genes maintaining constitutive expression across tissues.</w:t>
      </w:r>
    </w:p>
    <w:p w14:paraId="20995808" w14:textId="77777777" w:rsidR="004533C2" w:rsidRDefault="004533C2" w:rsidP="00200820">
      <w:pPr>
        <w:rPr>
          <w:rFonts w:eastAsia="Times New Roman" w:cs="Times New Roman"/>
          <w:szCs w:val="24"/>
        </w:rPr>
      </w:pPr>
    </w:p>
    <w:p w14:paraId="789585A5" w14:textId="77777777" w:rsidR="004533C2" w:rsidRDefault="004533C2" w:rsidP="00200820">
      <w:pPr>
        <w:rPr>
          <w:rFonts w:eastAsia="Times New Roman" w:cs="Times New Roman"/>
          <w:szCs w:val="24"/>
        </w:rPr>
      </w:pPr>
    </w:p>
    <w:p w14:paraId="5D4F984F" w14:textId="77777777" w:rsidR="004533C2" w:rsidRDefault="004533C2" w:rsidP="00200820">
      <w:pPr>
        <w:rPr>
          <w:rFonts w:eastAsia="Times New Roman" w:cs="Times New Roman"/>
          <w:szCs w:val="24"/>
        </w:rPr>
      </w:pPr>
    </w:p>
    <w:p w14:paraId="0BA22B4D" w14:textId="77777777" w:rsidR="004533C2" w:rsidRDefault="004533C2" w:rsidP="00200820">
      <w:pPr>
        <w:rPr>
          <w:rFonts w:eastAsia="Times New Roman" w:cs="Times New Roman"/>
          <w:szCs w:val="24"/>
        </w:rPr>
      </w:pPr>
    </w:p>
    <w:p w14:paraId="7C6920D1" w14:textId="77777777" w:rsidR="004533C2" w:rsidRDefault="004533C2" w:rsidP="00200820">
      <w:pPr>
        <w:rPr>
          <w:rFonts w:eastAsia="Times New Roman" w:cs="Times New Roman"/>
          <w:szCs w:val="24"/>
        </w:rPr>
      </w:pPr>
    </w:p>
    <w:p w14:paraId="3A25864A" w14:textId="77777777" w:rsidR="004533C2" w:rsidRDefault="004533C2" w:rsidP="00200820">
      <w:pPr>
        <w:rPr>
          <w:rFonts w:eastAsia="Times New Roman" w:cs="Times New Roman"/>
          <w:szCs w:val="24"/>
        </w:rPr>
      </w:pPr>
    </w:p>
    <w:p w14:paraId="551899CD" w14:textId="77777777" w:rsidR="004533C2" w:rsidRDefault="004533C2" w:rsidP="00200820">
      <w:pPr>
        <w:rPr>
          <w:rFonts w:eastAsia="Times New Roman" w:cs="Times New Roman"/>
          <w:szCs w:val="24"/>
        </w:rPr>
      </w:pPr>
    </w:p>
    <w:p w14:paraId="142B3F3A" w14:textId="77777777" w:rsidR="004533C2" w:rsidRDefault="004533C2" w:rsidP="00200820">
      <w:pPr>
        <w:rPr>
          <w:rFonts w:eastAsia="Times New Roman" w:cs="Times New Roman"/>
          <w:szCs w:val="24"/>
        </w:rPr>
      </w:pPr>
    </w:p>
    <w:p w14:paraId="6305B9BA" w14:textId="77777777" w:rsidR="004533C2" w:rsidRDefault="004533C2" w:rsidP="00200820">
      <w:pPr>
        <w:rPr>
          <w:rFonts w:eastAsia="Times New Roman" w:cs="Times New Roman"/>
          <w:szCs w:val="24"/>
        </w:rPr>
      </w:pPr>
    </w:p>
    <w:p w14:paraId="091FADE4" w14:textId="77777777" w:rsidR="004533C2" w:rsidRDefault="004533C2" w:rsidP="00200820">
      <w:pPr>
        <w:rPr>
          <w:rFonts w:eastAsia="Times New Roman" w:cs="Times New Roman"/>
          <w:szCs w:val="24"/>
        </w:rPr>
      </w:pPr>
    </w:p>
    <w:p w14:paraId="10CA7014" w14:textId="77777777" w:rsidR="004533C2" w:rsidRDefault="004533C2" w:rsidP="00200820">
      <w:pPr>
        <w:rPr>
          <w:rFonts w:eastAsia="Times New Roman" w:cs="Times New Roman"/>
          <w:szCs w:val="24"/>
        </w:rPr>
      </w:pPr>
    </w:p>
    <w:p w14:paraId="79551466" w14:textId="77777777" w:rsidR="004533C2" w:rsidRDefault="004533C2" w:rsidP="00200820">
      <w:pPr>
        <w:rPr>
          <w:rFonts w:eastAsia="Times New Roman" w:cs="Times New Roman"/>
          <w:szCs w:val="24"/>
        </w:rPr>
      </w:pPr>
    </w:p>
    <w:p w14:paraId="239F12F0" w14:textId="77777777" w:rsidR="004533C2" w:rsidRDefault="004533C2" w:rsidP="00200820">
      <w:pPr>
        <w:rPr>
          <w:rFonts w:eastAsia="Times New Roman" w:cs="Times New Roman"/>
          <w:szCs w:val="24"/>
        </w:rPr>
      </w:pPr>
    </w:p>
    <w:p w14:paraId="1F9971E1" w14:textId="77777777" w:rsidR="00E4504D" w:rsidRDefault="00E4504D" w:rsidP="00200820">
      <w:pPr>
        <w:rPr>
          <w:rFonts w:eastAsia="Times New Roman" w:cs="Times New Roman"/>
          <w:szCs w:val="24"/>
        </w:rPr>
      </w:pPr>
    </w:p>
    <w:p w14:paraId="3D5DD321" w14:textId="2FE74883" w:rsidR="00E4504D" w:rsidRDefault="00E4504D" w:rsidP="00200820">
      <w:pPr>
        <w:rPr>
          <w:noProof/>
        </w:rPr>
      </w:pPr>
      <w:r w:rsidRPr="00947F2A">
        <w:rPr>
          <w:noProof/>
        </w:rPr>
        <w:drawing>
          <wp:anchor distT="0" distB="0" distL="114300" distR="114300" simplePos="0" relativeHeight="251658243" behindDoc="0" locked="0" layoutInCell="1" allowOverlap="1" wp14:anchorId="62D25384" wp14:editId="56D59514">
            <wp:simplePos x="0" y="0"/>
            <wp:positionH relativeFrom="margin">
              <wp:align>center</wp:align>
            </wp:positionH>
            <wp:positionV relativeFrom="paragraph">
              <wp:posOffset>-526829</wp:posOffset>
            </wp:positionV>
            <wp:extent cx="6910070" cy="4027805"/>
            <wp:effectExtent l="0" t="0" r="5080" b="0"/>
            <wp:wrapNone/>
            <wp:docPr id="20381359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910070" cy="4027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33F54E" w14:textId="77777777" w:rsidR="00E4504D" w:rsidRDefault="00E4504D" w:rsidP="00200820">
      <w:pPr>
        <w:rPr>
          <w:noProof/>
        </w:rPr>
      </w:pPr>
    </w:p>
    <w:p w14:paraId="1039ABAA" w14:textId="220BB607" w:rsidR="00E4504D" w:rsidRDefault="00E4504D" w:rsidP="00200820">
      <w:pPr>
        <w:rPr>
          <w:noProof/>
        </w:rPr>
      </w:pPr>
    </w:p>
    <w:p w14:paraId="7D8BAEAF" w14:textId="25184A4E" w:rsidR="00E4504D" w:rsidRDefault="00E4504D" w:rsidP="00200820">
      <w:pPr>
        <w:rPr>
          <w:rFonts w:eastAsia="Times New Roman" w:cs="Times New Roman"/>
          <w:szCs w:val="24"/>
        </w:rPr>
      </w:pPr>
    </w:p>
    <w:p w14:paraId="4BDD1B40" w14:textId="77777777" w:rsidR="00E4504D" w:rsidRDefault="00E4504D" w:rsidP="00200820">
      <w:pPr>
        <w:rPr>
          <w:rFonts w:eastAsia="Times New Roman" w:cs="Times New Roman"/>
          <w:szCs w:val="24"/>
        </w:rPr>
      </w:pPr>
    </w:p>
    <w:p w14:paraId="3AF67379" w14:textId="31D79704" w:rsidR="00E4504D" w:rsidRDefault="00E4504D" w:rsidP="00200820">
      <w:pPr>
        <w:rPr>
          <w:rFonts w:eastAsia="Times New Roman" w:cs="Times New Roman"/>
          <w:szCs w:val="24"/>
        </w:rPr>
      </w:pPr>
    </w:p>
    <w:p w14:paraId="1B7A4DBF" w14:textId="23FA2FFB" w:rsidR="00E4504D" w:rsidRPr="00200820" w:rsidRDefault="00E4504D" w:rsidP="00200820">
      <w:pPr>
        <w:rPr>
          <w:rFonts w:eastAsia="Times New Roman" w:cs="Times New Roman"/>
          <w:szCs w:val="24"/>
        </w:rPr>
      </w:pPr>
    </w:p>
    <w:p w14:paraId="58ECDC38" w14:textId="0739BF73" w:rsidR="007B6CAC" w:rsidRPr="00200820" w:rsidRDefault="007B6CAC" w:rsidP="00200820">
      <w:pPr>
        <w:rPr>
          <w:rFonts w:eastAsia="Times New Roman" w:cs="Times New Roman"/>
          <w:szCs w:val="24"/>
        </w:rPr>
      </w:pPr>
    </w:p>
    <w:p w14:paraId="7B94B69B" w14:textId="32AEC84A" w:rsidR="007B6CAC" w:rsidRPr="00200820" w:rsidRDefault="007B6CAC" w:rsidP="00200820"/>
    <w:p w14:paraId="39DAC7AB" w14:textId="649B92FE" w:rsidR="00947F2A" w:rsidRPr="00947F2A" w:rsidRDefault="00947F2A" w:rsidP="00947F2A"/>
    <w:p w14:paraId="46F9F077" w14:textId="48A30B49" w:rsidR="004533C2" w:rsidRPr="00096BD8" w:rsidRDefault="006E36A6" w:rsidP="006E36A6">
      <w:pPr>
        <w:pStyle w:val="Caption"/>
        <w:rPr>
          <w:rFonts w:eastAsia="Times New Roman" w:cs="Times New Roman"/>
          <w:b/>
          <w:bCs/>
          <w:i w:val="0"/>
          <w:iCs w:val="0"/>
          <w:color w:val="auto"/>
          <w:sz w:val="24"/>
          <w:szCs w:val="24"/>
        </w:rPr>
      </w:pPr>
      <w:bookmarkStart w:id="98" w:name="_heading=h.iij6kqw6euqq" w:colFirst="0" w:colLast="0"/>
      <w:bookmarkStart w:id="99" w:name="_Toc235390738"/>
      <w:bookmarkEnd w:id="98"/>
      <w:r w:rsidRPr="00096BD8">
        <w:rPr>
          <w:b/>
          <w:bCs/>
          <w:i w:val="0"/>
          <w:iCs w:val="0"/>
          <w:color w:val="auto"/>
          <w:sz w:val="24"/>
          <w:szCs w:val="24"/>
        </w:rPr>
        <w:t xml:space="preserve">Figure </w:t>
      </w:r>
      <w:r w:rsidRPr="00096BD8">
        <w:rPr>
          <w:b/>
          <w:bCs/>
          <w:i w:val="0"/>
          <w:iCs w:val="0"/>
          <w:color w:val="auto"/>
          <w:sz w:val="24"/>
          <w:szCs w:val="24"/>
        </w:rPr>
        <w:fldChar w:fldCharType="begin"/>
      </w:r>
      <w:r w:rsidRPr="00096BD8">
        <w:rPr>
          <w:b/>
          <w:bCs/>
          <w:i w:val="0"/>
          <w:iCs w:val="0"/>
          <w:color w:val="auto"/>
          <w:sz w:val="24"/>
          <w:szCs w:val="24"/>
        </w:rPr>
        <w:instrText xml:space="preserve"> SEQ Figure \* ARABIC </w:instrText>
      </w:r>
      <w:r w:rsidRPr="00096BD8">
        <w:rPr>
          <w:b/>
          <w:bCs/>
          <w:i w:val="0"/>
          <w:iCs w:val="0"/>
          <w:color w:val="auto"/>
          <w:sz w:val="24"/>
          <w:szCs w:val="24"/>
        </w:rPr>
        <w:fldChar w:fldCharType="separate"/>
      </w:r>
      <w:r w:rsidR="008248B6" w:rsidRPr="00096BD8">
        <w:rPr>
          <w:b/>
          <w:bCs/>
          <w:i w:val="0"/>
          <w:iCs w:val="0"/>
          <w:noProof/>
          <w:color w:val="auto"/>
          <w:sz w:val="24"/>
          <w:szCs w:val="24"/>
        </w:rPr>
        <w:t>16</w:t>
      </w:r>
      <w:r w:rsidRPr="00096BD8">
        <w:rPr>
          <w:b/>
          <w:bCs/>
          <w:i w:val="0"/>
          <w:iCs w:val="0"/>
          <w:color w:val="auto"/>
          <w:sz w:val="24"/>
          <w:szCs w:val="24"/>
        </w:rPr>
        <w:fldChar w:fldCharType="end"/>
      </w:r>
      <w:r w:rsidR="00110E8E">
        <w:rPr>
          <w:b/>
          <w:bCs/>
          <w:i w:val="0"/>
          <w:iCs w:val="0"/>
          <w:color w:val="auto"/>
          <w:sz w:val="24"/>
          <w:szCs w:val="24"/>
        </w:rPr>
        <w:t>.</w:t>
      </w:r>
      <w:r w:rsidRPr="00096BD8">
        <w:rPr>
          <w:b/>
          <w:bCs/>
          <w:i w:val="0"/>
          <w:iCs w:val="0"/>
          <w:color w:val="auto"/>
          <w:sz w:val="24"/>
          <w:szCs w:val="24"/>
        </w:rPr>
        <w:t xml:space="preserve"> </w:t>
      </w:r>
      <w:r w:rsidRPr="00096BD8">
        <w:rPr>
          <w:i w:val="0"/>
          <w:iCs w:val="0"/>
          <w:color w:val="auto"/>
          <w:sz w:val="24"/>
          <w:szCs w:val="24"/>
        </w:rPr>
        <w:t xml:space="preserve">Bar plot of high-affinity nitrate transporter accessory, Ig-like domain genes in </w:t>
      </w:r>
      <w:r w:rsidRPr="008A65B6">
        <w:rPr>
          <w:color w:val="auto"/>
          <w:sz w:val="24"/>
          <w:szCs w:val="24"/>
        </w:rPr>
        <w:t>H</w:t>
      </w:r>
      <w:r w:rsidR="0066107C">
        <w:rPr>
          <w:color w:val="auto"/>
          <w:sz w:val="24"/>
          <w:szCs w:val="24"/>
        </w:rPr>
        <w:t>.</w:t>
      </w:r>
      <w:r w:rsidRPr="008A65B6">
        <w:rPr>
          <w:color w:val="auto"/>
          <w:sz w:val="24"/>
          <w:szCs w:val="24"/>
        </w:rPr>
        <w:t xml:space="preserve"> </w:t>
      </w:r>
      <w:proofErr w:type="spellStart"/>
      <w:r w:rsidRPr="008A65B6">
        <w:rPr>
          <w:color w:val="auto"/>
          <w:sz w:val="24"/>
          <w:szCs w:val="24"/>
        </w:rPr>
        <w:t>moseleyanum</w:t>
      </w:r>
      <w:proofErr w:type="spellEnd"/>
      <w:r w:rsidRPr="00096BD8">
        <w:rPr>
          <w:i w:val="0"/>
          <w:iCs w:val="0"/>
          <w:color w:val="auto"/>
          <w:sz w:val="24"/>
          <w:szCs w:val="24"/>
        </w:rPr>
        <w:t xml:space="preserve">, showing mean log₂-transformed normalised expression values from DESeq2 (variance-stabilised counts) for ants and no </w:t>
      </w:r>
      <w:proofErr w:type="gramStart"/>
      <w:r w:rsidRPr="00096BD8">
        <w:rPr>
          <w:i w:val="0"/>
          <w:iCs w:val="0"/>
          <w:color w:val="auto"/>
          <w:sz w:val="24"/>
          <w:szCs w:val="24"/>
        </w:rPr>
        <w:t>ants</w:t>
      </w:r>
      <w:proofErr w:type="gramEnd"/>
      <w:r w:rsidRPr="00096BD8">
        <w:rPr>
          <w:i w:val="0"/>
          <w:iCs w:val="0"/>
          <w:color w:val="auto"/>
          <w:sz w:val="24"/>
          <w:szCs w:val="24"/>
        </w:rPr>
        <w:t xml:space="preserve"> treatments. Error bars indicate ±</w:t>
      </w:r>
      <w:r w:rsidR="00700498" w:rsidRPr="00096BD8">
        <w:rPr>
          <w:i w:val="0"/>
          <w:iCs w:val="0"/>
          <w:color w:val="auto"/>
          <w:sz w:val="24"/>
          <w:szCs w:val="24"/>
        </w:rPr>
        <w:t>standard error across three biological replicates.</w:t>
      </w:r>
      <w:bookmarkEnd w:id="99"/>
    </w:p>
    <w:p w14:paraId="53408B59" w14:textId="77777777" w:rsidR="004533C2" w:rsidRPr="00700498" w:rsidRDefault="004533C2" w:rsidP="00E4504D">
      <w:pPr>
        <w:rPr>
          <w:rFonts w:eastAsia="Times New Roman" w:cs="Times New Roman"/>
          <w:b/>
          <w:bCs/>
          <w:szCs w:val="24"/>
        </w:rPr>
      </w:pPr>
    </w:p>
    <w:p w14:paraId="127B6035" w14:textId="77777777" w:rsidR="004533C2" w:rsidRDefault="004533C2" w:rsidP="00E4504D">
      <w:pPr>
        <w:rPr>
          <w:rFonts w:eastAsia="Times New Roman" w:cs="Times New Roman"/>
          <w:szCs w:val="24"/>
        </w:rPr>
      </w:pPr>
    </w:p>
    <w:p w14:paraId="3CCFB3CF" w14:textId="77777777" w:rsidR="004533C2" w:rsidRDefault="004533C2" w:rsidP="00E4504D">
      <w:pPr>
        <w:rPr>
          <w:rFonts w:eastAsia="Times New Roman" w:cs="Times New Roman"/>
          <w:szCs w:val="24"/>
        </w:rPr>
      </w:pPr>
    </w:p>
    <w:p w14:paraId="219A9090" w14:textId="77777777" w:rsidR="004533C2" w:rsidRDefault="004533C2" w:rsidP="00E4504D">
      <w:pPr>
        <w:rPr>
          <w:rFonts w:eastAsia="Times New Roman" w:cs="Times New Roman"/>
          <w:szCs w:val="24"/>
        </w:rPr>
      </w:pPr>
    </w:p>
    <w:p w14:paraId="001840EA" w14:textId="77777777" w:rsidR="004533C2" w:rsidRDefault="004533C2" w:rsidP="00E4504D">
      <w:pPr>
        <w:rPr>
          <w:rFonts w:eastAsia="Times New Roman" w:cs="Times New Roman"/>
          <w:szCs w:val="24"/>
        </w:rPr>
      </w:pPr>
    </w:p>
    <w:p w14:paraId="4DD30F99" w14:textId="77777777" w:rsidR="004533C2" w:rsidRDefault="004533C2" w:rsidP="00E4504D">
      <w:pPr>
        <w:rPr>
          <w:rFonts w:eastAsia="Times New Roman" w:cs="Times New Roman"/>
          <w:szCs w:val="24"/>
        </w:rPr>
      </w:pPr>
    </w:p>
    <w:p w14:paraId="1C3ECC22" w14:textId="77777777" w:rsidR="00700498" w:rsidRDefault="00700498" w:rsidP="00E4504D">
      <w:pPr>
        <w:rPr>
          <w:rFonts w:eastAsia="Times New Roman" w:cs="Times New Roman"/>
          <w:szCs w:val="24"/>
        </w:rPr>
      </w:pPr>
    </w:p>
    <w:p w14:paraId="650B4BEC" w14:textId="77777777" w:rsidR="004533C2" w:rsidRDefault="004533C2" w:rsidP="00E4504D">
      <w:pPr>
        <w:rPr>
          <w:rFonts w:eastAsia="Times New Roman" w:cs="Times New Roman"/>
          <w:szCs w:val="24"/>
        </w:rPr>
      </w:pPr>
    </w:p>
    <w:p w14:paraId="4621AAA9" w14:textId="77777777" w:rsidR="004533C2" w:rsidRDefault="004533C2" w:rsidP="00E4504D">
      <w:pPr>
        <w:rPr>
          <w:rFonts w:eastAsia="Times New Roman" w:cs="Times New Roman"/>
          <w:szCs w:val="24"/>
        </w:rPr>
      </w:pPr>
    </w:p>
    <w:p w14:paraId="716FC701" w14:textId="77777777" w:rsidR="008A65B6" w:rsidRDefault="008A65B6" w:rsidP="00E4504D">
      <w:pPr>
        <w:rPr>
          <w:rFonts w:eastAsia="Times New Roman" w:cs="Times New Roman"/>
          <w:szCs w:val="24"/>
        </w:rPr>
      </w:pPr>
    </w:p>
    <w:p w14:paraId="7263D79C" w14:textId="3F3979AA" w:rsidR="008A65B6" w:rsidRDefault="005A51AC" w:rsidP="00E4504D">
      <w:pPr>
        <w:rPr>
          <w:rFonts w:eastAsia="Times New Roman" w:cs="Times New Roman"/>
          <w:szCs w:val="24"/>
        </w:rPr>
      </w:pPr>
      <w:r>
        <w:rPr>
          <w:noProof/>
        </w:rPr>
        <w:lastRenderedPageBreak/>
        <w:drawing>
          <wp:anchor distT="0" distB="0" distL="114300" distR="114300" simplePos="0" relativeHeight="251658244" behindDoc="0" locked="0" layoutInCell="1" allowOverlap="1" wp14:anchorId="4714B7FB" wp14:editId="5E146237">
            <wp:simplePos x="0" y="0"/>
            <wp:positionH relativeFrom="margin">
              <wp:posOffset>-450850</wp:posOffset>
            </wp:positionH>
            <wp:positionV relativeFrom="paragraph">
              <wp:posOffset>224155</wp:posOffset>
            </wp:positionV>
            <wp:extent cx="6910070" cy="4354195"/>
            <wp:effectExtent l="0" t="0" r="5080" b="8255"/>
            <wp:wrapNone/>
            <wp:docPr id="1945485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485757" name=""/>
                    <pic:cNvPicPr/>
                  </pic:nvPicPr>
                  <pic:blipFill>
                    <a:blip r:embed="rId32">
                      <a:extLst>
                        <a:ext uri="{28A0092B-C50C-407E-A947-70E740481C1C}">
                          <a14:useLocalDpi xmlns:a14="http://schemas.microsoft.com/office/drawing/2010/main" val="0"/>
                        </a:ext>
                      </a:extLst>
                    </a:blip>
                    <a:stretch>
                      <a:fillRect/>
                    </a:stretch>
                  </pic:blipFill>
                  <pic:spPr>
                    <a:xfrm>
                      <a:off x="0" y="0"/>
                      <a:ext cx="6910070" cy="4354195"/>
                    </a:xfrm>
                    <a:prstGeom prst="rect">
                      <a:avLst/>
                    </a:prstGeom>
                  </pic:spPr>
                </pic:pic>
              </a:graphicData>
            </a:graphic>
            <wp14:sizeRelH relativeFrom="page">
              <wp14:pctWidth>0</wp14:pctWidth>
            </wp14:sizeRelH>
            <wp14:sizeRelV relativeFrom="page">
              <wp14:pctHeight>0</wp14:pctHeight>
            </wp14:sizeRelV>
          </wp:anchor>
        </w:drawing>
      </w:r>
    </w:p>
    <w:p w14:paraId="61BB37AD" w14:textId="7D82582B" w:rsidR="004533C2" w:rsidRDefault="004533C2" w:rsidP="00E4504D">
      <w:pPr>
        <w:rPr>
          <w:rFonts w:eastAsia="Times New Roman" w:cs="Times New Roman"/>
          <w:szCs w:val="24"/>
        </w:rPr>
      </w:pPr>
    </w:p>
    <w:p w14:paraId="39B56685" w14:textId="65DBE051" w:rsidR="004533C2" w:rsidRDefault="004533C2" w:rsidP="00E4504D">
      <w:pPr>
        <w:rPr>
          <w:rFonts w:eastAsia="Times New Roman" w:cs="Times New Roman"/>
          <w:szCs w:val="24"/>
        </w:rPr>
      </w:pPr>
    </w:p>
    <w:p w14:paraId="1E208F81" w14:textId="04812ADD" w:rsidR="00E42709" w:rsidRDefault="00E42709">
      <w:pPr>
        <w:pStyle w:val="Heading2"/>
        <w:keepNext w:val="0"/>
        <w:keepLines w:val="0"/>
        <w:widowControl w:val="0"/>
        <w:spacing w:line="344" w:lineRule="auto"/>
        <w:ind w:left="1441" w:right="350" w:firstLine="3"/>
        <w:rPr>
          <w:noProof/>
        </w:rPr>
      </w:pPr>
    </w:p>
    <w:p w14:paraId="77B3078C" w14:textId="77777777" w:rsidR="00ED4E61" w:rsidRDefault="00ED4E61" w:rsidP="00ED4E61"/>
    <w:p w14:paraId="61F7AA79" w14:textId="77777777" w:rsidR="00ED4E61" w:rsidRDefault="00ED4E61" w:rsidP="00ED4E61"/>
    <w:p w14:paraId="2A17DC1A" w14:textId="77777777" w:rsidR="00ED4E61" w:rsidRDefault="00ED4E61" w:rsidP="00ED4E61"/>
    <w:p w14:paraId="35B29A9D" w14:textId="77777777" w:rsidR="00ED4E61" w:rsidRDefault="00ED4E61" w:rsidP="00ED4E61"/>
    <w:p w14:paraId="46C641BD" w14:textId="77777777" w:rsidR="00ED4E61" w:rsidRDefault="00ED4E61" w:rsidP="00ED4E61"/>
    <w:p w14:paraId="673A95C9" w14:textId="77777777" w:rsidR="004533C2" w:rsidRDefault="004533C2" w:rsidP="00ED4E61"/>
    <w:p w14:paraId="0545B989" w14:textId="77777777" w:rsidR="00ED4E61" w:rsidRDefault="00ED4E61" w:rsidP="00ED4E61"/>
    <w:p w14:paraId="0B155D5A" w14:textId="77777777" w:rsidR="00ED4E61" w:rsidRPr="00ED4E61" w:rsidRDefault="00ED4E61" w:rsidP="00ED4E61"/>
    <w:p w14:paraId="3C01C2BF" w14:textId="07ACDCA7" w:rsidR="00E35890" w:rsidRDefault="00E35890" w:rsidP="00E35890">
      <w:pPr>
        <w:pStyle w:val="Heading2"/>
        <w:widowControl w:val="0"/>
        <w:spacing w:line="344" w:lineRule="auto"/>
        <w:ind w:left="1441" w:right="350" w:firstLine="3"/>
        <w:rPr>
          <w:rFonts w:eastAsia="Times New Roman" w:cs="Times New Roman"/>
          <w:sz w:val="24"/>
          <w:szCs w:val="24"/>
        </w:rPr>
      </w:pPr>
    </w:p>
    <w:p w14:paraId="194C6790" w14:textId="18B7EAC2" w:rsidR="00E42709" w:rsidRDefault="00700498" w:rsidP="0066107C">
      <w:pPr>
        <w:pStyle w:val="Caption"/>
      </w:pPr>
      <w:bookmarkStart w:id="100" w:name="_Toc235390739"/>
      <w:r w:rsidRPr="00096BD8">
        <w:rPr>
          <w:b/>
          <w:bCs/>
          <w:i w:val="0"/>
          <w:iCs w:val="0"/>
          <w:color w:val="auto"/>
          <w:sz w:val="24"/>
          <w:szCs w:val="24"/>
        </w:rPr>
        <w:t xml:space="preserve">Figure </w:t>
      </w:r>
      <w:r w:rsidRPr="00096BD8">
        <w:rPr>
          <w:b/>
          <w:bCs/>
          <w:i w:val="0"/>
          <w:iCs w:val="0"/>
          <w:color w:val="auto"/>
          <w:sz w:val="24"/>
          <w:szCs w:val="24"/>
        </w:rPr>
        <w:fldChar w:fldCharType="begin"/>
      </w:r>
      <w:r w:rsidRPr="00096BD8">
        <w:rPr>
          <w:b/>
          <w:bCs/>
          <w:i w:val="0"/>
          <w:iCs w:val="0"/>
          <w:color w:val="auto"/>
          <w:sz w:val="24"/>
          <w:szCs w:val="24"/>
        </w:rPr>
        <w:instrText xml:space="preserve"> SEQ Figure \* ARABIC </w:instrText>
      </w:r>
      <w:r w:rsidRPr="00096BD8">
        <w:rPr>
          <w:b/>
          <w:bCs/>
          <w:i w:val="0"/>
          <w:iCs w:val="0"/>
          <w:color w:val="auto"/>
          <w:sz w:val="24"/>
          <w:szCs w:val="24"/>
        </w:rPr>
        <w:fldChar w:fldCharType="separate"/>
      </w:r>
      <w:r w:rsidR="008248B6" w:rsidRPr="00096BD8">
        <w:rPr>
          <w:b/>
          <w:bCs/>
          <w:i w:val="0"/>
          <w:iCs w:val="0"/>
          <w:noProof/>
          <w:color w:val="auto"/>
          <w:sz w:val="24"/>
          <w:szCs w:val="24"/>
        </w:rPr>
        <w:t>17</w:t>
      </w:r>
      <w:r w:rsidRPr="00096BD8">
        <w:rPr>
          <w:b/>
          <w:bCs/>
          <w:i w:val="0"/>
          <w:iCs w:val="0"/>
          <w:color w:val="auto"/>
          <w:sz w:val="24"/>
          <w:szCs w:val="24"/>
        </w:rPr>
        <w:fldChar w:fldCharType="end"/>
      </w:r>
      <w:r w:rsidR="00F533D3">
        <w:rPr>
          <w:b/>
          <w:bCs/>
          <w:i w:val="0"/>
          <w:iCs w:val="0"/>
          <w:color w:val="auto"/>
          <w:sz w:val="24"/>
          <w:szCs w:val="24"/>
        </w:rPr>
        <w:t>.</w:t>
      </w:r>
      <w:r w:rsidRPr="00096BD8">
        <w:rPr>
          <w:b/>
          <w:bCs/>
          <w:i w:val="0"/>
          <w:iCs w:val="0"/>
          <w:color w:val="auto"/>
          <w:sz w:val="24"/>
          <w:szCs w:val="24"/>
        </w:rPr>
        <w:t xml:space="preserve"> </w:t>
      </w:r>
      <w:r w:rsidRPr="00096BD8">
        <w:rPr>
          <w:i w:val="0"/>
          <w:iCs w:val="0"/>
          <w:color w:val="auto"/>
          <w:sz w:val="24"/>
          <w:szCs w:val="24"/>
        </w:rPr>
        <w:t xml:space="preserve">Heatmap of nitrogen-related genes in </w:t>
      </w:r>
      <w:r w:rsidRPr="0066107C">
        <w:rPr>
          <w:color w:val="auto"/>
          <w:sz w:val="24"/>
          <w:szCs w:val="24"/>
        </w:rPr>
        <w:t xml:space="preserve">M. </w:t>
      </w:r>
      <w:proofErr w:type="spellStart"/>
      <w:r w:rsidRPr="0066107C">
        <w:rPr>
          <w:color w:val="auto"/>
          <w:sz w:val="24"/>
          <w:szCs w:val="24"/>
        </w:rPr>
        <w:t>beccarii</w:t>
      </w:r>
      <w:proofErr w:type="spellEnd"/>
      <w:r w:rsidRPr="00096BD8">
        <w:rPr>
          <w:i w:val="0"/>
          <w:iCs w:val="0"/>
          <w:color w:val="auto"/>
          <w:sz w:val="24"/>
          <w:szCs w:val="24"/>
        </w:rPr>
        <w:t xml:space="preserve"> showing log₂-transformed normalised expression </w:t>
      </w:r>
      <w:r w:rsidRPr="0066107C">
        <w:rPr>
          <w:i w:val="0"/>
          <w:iCs w:val="0"/>
          <w:color w:val="auto"/>
          <w:sz w:val="24"/>
          <w:szCs w:val="24"/>
        </w:rPr>
        <w:t>values from DESeq2 (variance-stabilised counts).</w:t>
      </w:r>
      <w:bookmarkEnd w:id="100"/>
      <w:r w:rsidR="0066107C" w:rsidRPr="0066107C">
        <w:rPr>
          <w:i w:val="0"/>
          <w:iCs w:val="0"/>
          <w:color w:val="auto"/>
          <w:sz w:val="24"/>
          <w:szCs w:val="24"/>
        </w:rPr>
        <w:t xml:space="preserve"> </w:t>
      </w:r>
      <w:r w:rsidR="00404A73" w:rsidRPr="0066107C">
        <w:rPr>
          <w:i w:val="0"/>
          <w:iCs w:val="0"/>
          <w:color w:val="auto"/>
          <w:sz w:val="24"/>
          <w:szCs w:val="24"/>
        </w:rPr>
        <w:t xml:space="preserve">Columns represent samples from no-ants and </w:t>
      </w:r>
      <w:proofErr w:type="gramStart"/>
      <w:r w:rsidR="00404A73" w:rsidRPr="0066107C">
        <w:rPr>
          <w:i w:val="0"/>
          <w:iCs w:val="0"/>
          <w:color w:val="auto"/>
          <w:sz w:val="24"/>
          <w:szCs w:val="24"/>
        </w:rPr>
        <w:t>ants</w:t>
      </w:r>
      <w:proofErr w:type="gramEnd"/>
      <w:r w:rsidR="00404A73" w:rsidRPr="0066107C">
        <w:rPr>
          <w:i w:val="0"/>
          <w:iCs w:val="0"/>
          <w:color w:val="auto"/>
          <w:sz w:val="24"/>
          <w:szCs w:val="24"/>
        </w:rPr>
        <w:t xml:space="preserve"> treatments across warty, smooth and tuber tissues (three biological replicates per condition). Rows represent genes, hierarchically clustered based on expression similarity. Helixer gene IDs and corresponding functional annotations are shown on the </w:t>
      </w:r>
      <w:r w:rsidR="001501D6" w:rsidRPr="0066107C">
        <w:rPr>
          <w:i w:val="0"/>
          <w:iCs w:val="0"/>
          <w:color w:val="auto"/>
          <w:sz w:val="24"/>
          <w:szCs w:val="24"/>
        </w:rPr>
        <w:t>left.</w:t>
      </w:r>
    </w:p>
    <w:p w14:paraId="00000257" w14:textId="746D93E9" w:rsidR="00E420E3" w:rsidRDefault="008E5528" w:rsidP="00014F23">
      <w:pPr>
        <w:pStyle w:val="Heading4"/>
      </w:pPr>
      <w:bookmarkStart w:id="101" w:name="_Toc235393018"/>
      <w:r>
        <w:t xml:space="preserve">4.4.6 Expression pattern of nitrogen-related genes in M. </w:t>
      </w:r>
      <w:proofErr w:type="spellStart"/>
      <w:r>
        <w:t>beccarii</w:t>
      </w:r>
      <w:bookmarkEnd w:id="101"/>
      <w:proofErr w:type="spellEnd"/>
    </w:p>
    <w:p w14:paraId="00000258" w14:textId="4AD88829" w:rsidR="00E420E3" w:rsidRPr="001268B8" w:rsidRDefault="008E5528" w:rsidP="00014F23">
      <w:bookmarkStart w:id="102" w:name="_heading=h.o9xup4fy03gi" w:colFirst="0" w:colLast="0"/>
      <w:bookmarkEnd w:id="102"/>
      <w:r w:rsidRPr="00014F23">
        <w:t xml:space="preserve">In </w:t>
      </w:r>
      <w:r w:rsidRPr="00014F23">
        <w:rPr>
          <w:i/>
          <w:iCs/>
        </w:rPr>
        <w:t xml:space="preserve">M. </w:t>
      </w:r>
      <w:proofErr w:type="spellStart"/>
      <w:r w:rsidRPr="00014F23">
        <w:rPr>
          <w:i/>
          <w:iCs/>
        </w:rPr>
        <w:t>beccarii</w:t>
      </w:r>
      <w:proofErr w:type="spellEnd"/>
      <w:r w:rsidRPr="00014F23">
        <w:t xml:space="preserve">, most nitrogen-related genes were broadly constitutive across tissues and treatments, meaning expression levels remained largely stable regardless of ant presence or fertiliser. For this reason, this section focuses on genes that showed notable deviations from this constitutive pattern, as these are most informative for understanding how mutualistic dependence shapes nitrogen gene regulation. Ammonium </w:t>
      </w:r>
      <w:r>
        <w:t xml:space="preserve">transporter genes were broadly constitutive across tissues and treatments. However, tuber tissue expression of AMT2_Mb01 (FDR-adjusted p-value = 0.01) was significantly lower than in warty and smooth </w:t>
      </w:r>
      <w:r w:rsidR="001501D6">
        <w:t>tissues and</w:t>
      </w:r>
      <w:r>
        <w:t xml:space="preserve"> showed a slight increase by ant presence (Fig. 1</w:t>
      </w:r>
      <w:r w:rsidR="00B6792B">
        <w:t>7</w:t>
      </w:r>
      <w:r>
        <w:t xml:space="preserve">). AMT1;1_Mb01 and AMT3-1_Mb01 show higher expression in the presence of ants, whereas in fertiliser treatment AMT3-1_Mb01 </w:t>
      </w:r>
      <w:r>
        <w:lastRenderedPageBreak/>
        <w:t xml:space="preserve">remained relatively </w:t>
      </w:r>
      <w:r w:rsidRPr="001268B8">
        <w:t>unchanged (</w:t>
      </w:r>
      <w:r w:rsidR="000A4810" w:rsidRPr="00145434">
        <w:t>F</w:t>
      </w:r>
      <w:r w:rsidRPr="00145434">
        <w:t>ig</w:t>
      </w:r>
      <w:r w:rsidR="003F00D7" w:rsidRPr="00145434">
        <w:t xml:space="preserve">. </w:t>
      </w:r>
      <w:r w:rsidR="00A74B72" w:rsidRPr="00145434">
        <w:t>S2</w:t>
      </w:r>
      <w:r w:rsidRPr="00145434">
        <w:t>).</w:t>
      </w:r>
      <w:r w:rsidRPr="001268B8">
        <w:t xml:space="preserve"> </w:t>
      </w:r>
      <w:r>
        <w:t xml:space="preserve">AMT2_Mb02 and AMT1;3_Mb01 showed increased expression in tuber tissue in the presence of ants; under fertiliser treatment, AMT1;3_Mb01 showed a similar pattern, while AMT2_Mb02 remained essentially constitutive </w:t>
      </w:r>
      <w:r w:rsidRPr="00145434">
        <w:t>(</w:t>
      </w:r>
      <w:r w:rsidR="00BE669E" w:rsidRPr="00145434">
        <w:t>Fig. S2)</w:t>
      </w:r>
      <w:r w:rsidRPr="00145434">
        <w:t>.</w:t>
      </w:r>
      <w:r w:rsidRPr="001268B8">
        <w:t xml:space="preserve"> </w:t>
      </w:r>
      <w:r>
        <w:t xml:space="preserve">AMT2;5_Mb01 had low expression across all tissues and even lower under fertiliser treatment </w:t>
      </w:r>
      <w:r w:rsidR="00B151ED" w:rsidRPr="00145434">
        <w:t>(Fig. S2)</w:t>
      </w:r>
      <w:r w:rsidRPr="00145434">
        <w:t>.</w:t>
      </w:r>
      <w:r w:rsidRPr="001268B8">
        <w:t xml:space="preserve"> Most other nitrogen-related genes were either constitutively highly or constitutively weakly expressed, with NRT3.1_Mb01 standing out as the nitrate transporter clearly upregulated by ants (Fig. 1</w:t>
      </w:r>
      <w:r w:rsidR="008A65B6">
        <w:t>8</w:t>
      </w:r>
      <w:r w:rsidRPr="001268B8">
        <w:t>).</w:t>
      </w:r>
    </w:p>
    <w:p w14:paraId="00000259" w14:textId="1D1E471A" w:rsidR="00E420E3" w:rsidRDefault="008E5528" w:rsidP="00014F23">
      <w:bookmarkStart w:id="103" w:name="_heading=h.iuv1y22s7neb" w:colFirst="0" w:colLast="0"/>
      <w:bookmarkEnd w:id="103"/>
      <w:proofErr w:type="spellStart"/>
      <w:r>
        <w:t>Mb_Nitrite</w:t>
      </w:r>
      <w:proofErr w:type="spellEnd"/>
      <w:r>
        <w:t xml:space="preserve"> and sulphite reductase 4Fe-4S domain-like was most strongly expressed in warty and smooth tissue, under both ants and no </w:t>
      </w:r>
      <w:proofErr w:type="gramStart"/>
      <w:r>
        <w:t>ants</w:t>
      </w:r>
      <w:proofErr w:type="gramEnd"/>
      <w:r>
        <w:t xml:space="preserve"> treatments, indicating constitutive expression. Ure_Mb01 and Ure_Mb02 showed their highest expression in tuber tissue under all treatments</w:t>
      </w:r>
      <w:r w:rsidR="00D449E5">
        <w:t xml:space="preserve"> (Fig 19)</w:t>
      </w:r>
      <w:r>
        <w:t xml:space="preserve">; </w:t>
      </w:r>
      <w:r w:rsidR="001501D6">
        <w:t>however,</w:t>
      </w:r>
      <w:r>
        <w:t xml:space="preserve"> under fertiliser Ure_Mb01 expression remained relatively constant across tissues (</w:t>
      </w:r>
      <w:r w:rsidRPr="00145434">
        <w:t>Fig. S2</w:t>
      </w:r>
      <w:r>
        <w:t>). Ure_Mb03 Urease gamma subunit, UreD_Mb01, UreF_Mb01 and UreF_Mb02 were purely constitutive under all conditions, with no clear tissue specificity and no detectable induction by ants</w:t>
      </w:r>
      <w:r w:rsidRPr="0007464A">
        <w:t xml:space="preserve">. CYTC-1_Mb01 and CYTC-1_Mb02 showed relatively high expression across most tissues, and warty and smooth tissues were unaffected by either treatment. Fertiliser treatment in </w:t>
      </w:r>
      <w:r w:rsidRPr="0007464A">
        <w:rPr>
          <w:i/>
          <w:iCs/>
        </w:rPr>
        <w:t xml:space="preserve">M. </w:t>
      </w:r>
      <w:proofErr w:type="spellStart"/>
      <w:r w:rsidRPr="0007464A">
        <w:rPr>
          <w:i/>
          <w:iCs/>
        </w:rPr>
        <w:t>beccarii</w:t>
      </w:r>
      <w:proofErr w:type="spellEnd"/>
      <w:r w:rsidRPr="0007464A">
        <w:t xml:space="preserve"> had no effect on nitrate related genes </w:t>
      </w:r>
      <w:r w:rsidRPr="00145434">
        <w:t>(Fig. S1).</w:t>
      </w:r>
      <w:r w:rsidR="00560C9C" w:rsidRPr="0007464A">
        <w:t xml:space="preserve"> Overall, fertiliser treatment had minimal effects on nitrogen-related gene expression in </w:t>
      </w:r>
      <w:r w:rsidR="00560C9C" w:rsidRPr="0007464A">
        <w:rPr>
          <w:i/>
          <w:iCs/>
        </w:rPr>
        <w:t xml:space="preserve">M. </w:t>
      </w:r>
      <w:proofErr w:type="spellStart"/>
      <w:r w:rsidR="00560C9C" w:rsidRPr="0007464A">
        <w:rPr>
          <w:i/>
          <w:iCs/>
        </w:rPr>
        <w:t>beccarii</w:t>
      </w:r>
      <w:proofErr w:type="spellEnd"/>
      <w:r w:rsidR="00560C9C" w:rsidRPr="0007464A">
        <w:t>, with most genes exhibiting constitutive expression and little evidence of coordinated transcriptional responses.</w:t>
      </w:r>
    </w:p>
    <w:p w14:paraId="7D8D0F03" w14:textId="607999A8" w:rsidR="0007464A" w:rsidRDefault="0007464A" w:rsidP="00014F23"/>
    <w:p w14:paraId="1E36DC1E" w14:textId="5CADF80E" w:rsidR="0007464A" w:rsidRDefault="0007464A" w:rsidP="00014F23"/>
    <w:p w14:paraId="5AACC166" w14:textId="4910FF11" w:rsidR="0007464A" w:rsidRDefault="0007464A" w:rsidP="00014F23"/>
    <w:p w14:paraId="607F38BA" w14:textId="77777777" w:rsidR="0007464A" w:rsidRDefault="0007464A" w:rsidP="00014F23"/>
    <w:p w14:paraId="7F75B9D6" w14:textId="2F2CD9CA" w:rsidR="0007464A" w:rsidRDefault="0007464A" w:rsidP="00014F23"/>
    <w:p w14:paraId="2CC67E5C" w14:textId="77777777" w:rsidR="0007464A" w:rsidRPr="0007464A" w:rsidRDefault="0007464A" w:rsidP="00014F23"/>
    <w:p w14:paraId="630A1716" w14:textId="1CFAFB29" w:rsidR="003B5632" w:rsidRDefault="003B5632" w:rsidP="00014F23"/>
    <w:p w14:paraId="35B9CE2E" w14:textId="6A657DC7" w:rsidR="003B5632" w:rsidRDefault="003B5632" w:rsidP="00014F23"/>
    <w:p w14:paraId="30A3F263" w14:textId="77777777" w:rsidR="0066107C" w:rsidRDefault="0066107C" w:rsidP="00014F23"/>
    <w:p w14:paraId="5C1C8C78" w14:textId="77777777" w:rsidR="0007464A" w:rsidRDefault="0007464A" w:rsidP="00014F23"/>
    <w:p w14:paraId="02F9C954" w14:textId="05FF3A0C" w:rsidR="0007464A" w:rsidRDefault="0007464A" w:rsidP="00014F23"/>
    <w:p w14:paraId="1ECEF496" w14:textId="2B629582" w:rsidR="004533C2" w:rsidRDefault="00700498" w:rsidP="00014F23">
      <w:r>
        <w:rPr>
          <w:noProof/>
        </w:rPr>
        <w:drawing>
          <wp:anchor distT="0" distB="0" distL="114300" distR="114300" simplePos="0" relativeHeight="251658245" behindDoc="0" locked="0" layoutInCell="1" allowOverlap="1" wp14:anchorId="080A5814" wp14:editId="2FDE4839">
            <wp:simplePos x="0" y="0"/>
            <wp:positionH relativeFrom="column">
              <wp:posOffset>-547398</wp:posOffset>
            </wp:positionH>
            <wp:positionV relativeFrom="paragraph">
              <wp:posOffset>-401044</wp:posOffset>
            </wp:positionV>
            <wp:extent cx="6910070" cy="5026660"/>
            <wp:effectExtent l="0" t="0" r="5080" b="2540"/>
            <wp:wrapNone/>
            <wp:docPr id="61468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89034" name=""/>
                    <pic:cNvPicPr/>
                  </pic:nvPicPr>
                  <pic:blipFill>
                    <a:blip r:embed="rId33">
                      <a:extLst>
                        <a:ext uri="{28A0092B-C50C-407E-A947-70E740481C1C}">
                          <a14:useLocalDpi xmlns:a14="http://schemas.microsoft.com/office/drawing/2010/main" val="0"/>
                        </a:ext>
                      </a:extLst>
                    </a:blip>
                    <a:stretch>
                      <a:fillRect/>
                    </a:stretch>
                  </pic:blipFill>
                  <pic:spPr>
                    <a:xfrm>
                      <a:off x="0" y="0"/>
                      <a:ext cx="6910070" cy="5026660"/>
                    </a:xfrm>
                    <a:prstGeom prst="rect">
                      <a:avLst/>
                    </a:prstGeom>
                  </pic:spPr>
                </pic:pic>
              </a:graphicData>
            </a:graphic>
            <wp14:sizeRelH relativeFrom="page">
              <wp14:pctWidth>0</wp14:pctWidth>
            </wp14:sizeRelH>
            <wp14:sizeRelV relativeFrom="page">
              <wp14:pctHeight>0</wp14:pctHeight>
            </wp14:sizeRelV>
          </wp:anchor>
        </w:drawing>
      </w:r>
    </w:p>
    <w:p w14:paraId="5B878E75" w14:textId="77777777" w:rsidR="004533C2" w:rsidRDefault="004533C2" w:rsidP="00014F23"/>
    <w:p w14:paraId="5FBCA28C" w14:textId="77777777" w:rsidR="004533C2" w:rsidRDefault="004533C2" w:rsidP="00014F23"/>
    <w:p w14:paraId="49EC4BB2" w14:textId="77777777" w:rsidR="004533C2" w:rsidRDefault="004533C2" w:rsidP="00014F23"/>
    <w:p w14:paraId="4C4DD49E" w14:textId="77777777" w:rsidR="004533C2" w:rsidRDefault="004533C2" w:rsidP="00014F23"/>
    <w:p w14:paraId="6DED75DD" w14:textId="77777777" w:rsidR="004533C2" w:rsidRDefault="004533C2" w:rsidP="00014F23"/>
    <w:p w14:paraId="3C461A3F" w14:textId="77777777" w:rsidR="004533C2" w:rsidRDefault="004533C2" w:rsidP="00014F23"/>
    <w:p w14:paraId="38E1FB1E" w14:textId="77777777" w:rsidR="004533C2" w:rsidRDefault="004533C2" w:rsidP="00014F23"/>
    <w:p w14:paraId="6A1E1F0F" w14:textId="77777777" w:rsidR="0007464A" w:rsidRDefault="0007464A" w:rsidP="00014F23"/>
    <w:p w14:paraId="5FAD73B4" w14:textId="77777777" w:rsidR="0007464A" w:rsidRDefault="0007464A" w:rsidP="00014F23"/>
    <w:p w14:paraId="60006C8C" w14:textId="77777777" w:rsidR="0007464A" w:rsidRDefault="0007464A" w:rsidP="00014F23"/>
    <w:p w14:paraId="41CC1FC0" w14:textId="77777777" w:rsidR="0007464A" w:rsidRDefault="0007464A" w:rsidP="00014F23"/>
    <w:p w14:paraId="603A9228" w14:textId="77777777" w:rsidR="004533C2" w:rsidRDefault="004533C2" w:rsidP="00014F23"/>
    <w:p w14:paraId="6A79B496" w14:textId="1B3B3DCF" w:rsidR="003B5632" w:rsidRDefault="008248B6" w:rsidP="008A65B6">
      <w:pPr>
        <w:pStyle w:val="Caption"/>
      </w:pPr>
      <w:bookmarkStart w:id="104" w:name="_Toc235390740"/>
      <w:r w:rsidRPr="00031873">
        <w:rPr>
          <w:b/>
          <w:bCs/>
          <w:i w:val="0"/>
          <w:iCs w:val="0"/>
          <w:color w:val="auto"/>
          <w:sz w:val="24"/>
          <w:szCs w:val="24"/>
        </w:rPr>
        <w:t xml:space="preserve">Figure </w:t>
      </w:r>
      <w:r w:rsidRPr="00031873">
        <w:rPr>
          <w:b/>
          <w:bCs/>
          <w:i w:val="0"/>
          <w:iCs w:val="0"/>
          <w:color w:val="auto"/>
          <w:sz w:val="24"/>
          <w:szCs w:val="24"/>
        </w:rPr>
        <w:fldChar w:fldCharType="begin"/>
      </w:r>
      <w:r w:rsidRPr="00031873">
        <w:rPr>
          <w:b/>
          <w:bCs/>
          <w:i w:val="0"/>
          <w:iCs w:val="0"/>
          <w:color w:val="auto"/>
          <w:sz w:val="24"/>
          <w:szCs w:val="24"/>
        </w:rPr>
        <w:instrText xml:space="preserve"> SEQ Figure \* ARABIC </w:instrText>
      </w:r>
      <w:r w:rsidRPr="00031873">
        <w:rPr>
          <w:b/>
          <w:bCs/>
          <w:i w:val="0"/>
          <w:iCs w:val="0"/>
          <w:color w:val="auto"/>
          <w:sz w:val="24"/>
          <w:szCs w:val="24"/>
        </w:rPr>
        <w:fldChar w:fldCharType="separate"/>
      </w:r>
      <w:r w:rsidRPr="00031873">
        <w:rPr>
          <w:b/>
          <w:bCs/>
          <w:i w:val="0"/>
          <w:iCs w:val="0"/>
          <w:noProof/>
          <w:color w:val="auto"/>
          <w:sz w:val="24"/>
          <w:szCs w:val="24"/>
        </w:rPr>
        <w:t>18</w:t>
      </w:r>
      <w:r w:rsidRPr="00031873">
        <w:rPr>
          <w:b/>
          <w:bCs/>
          <w:i w:val="0"/>
          <w:iCs w:val="0"/>
          <w:color w:val="auto"/>
          <w:sz w:val="24"/>
          <w:szCs w:val="24"/>
        </w:rPr>
        <w:fldChar w:fldCharType="end"/>
      </w:r>
      <w:r w:rsidR="00110E8E">
        <w:rPr>
          <w:b/>
          <w:bCs/>
          <w:i w:val="0"/>
          <w:iCs w:val="0"/>
          <w:color w:val="auto"/>
          <w:sz w:val="24"/>
          <w:szCs w:val="24"/>
        </w:rPr>
        <w:t>.</w:t>
      </w:r>
      <w:r w:rsidRPr="00031873">
        <w:rPr>
          <w:b/>
          <w:bCs/>
          <w:i w:val="0"/>
          <w:iCs w:val="0"/>
          <w:color w:val="auto"/>
          <w:sz w:val="24"/>
          <w:szCs w:val="24"/>
        </w:rPr>
        <w:t xml:space="preserve"> </w:t>
      </w:r>
      <w:r w:rsidRPr="00031873">
        <w:rPr>
          <w:i w:val="0"/>
          <w:iCs w:val="0"/>
          <w:color w:val="auto"/>
          <w:sz w:val="24"/>
          <w:szCs w:val="24"/>
        </w:rPr>
        <w:t xml:space="preserve">Heatmap of nitrogen-related genes in </w:t>
      </w:r>
      <w:r w:rsidRPr="008A65B6">
        <w:rPr>
          <w:color w:val="auto"/>
          <w:sz w:val="24"/>
          <w:szCs w:val="24"/>
        </w:rPr>
        <w:t xml:space="preserve">M. </w:t>
      </w:r>
      <w:proofErr w:type="spellStart"/>
      <w:r w:rsidRPr="008A65B6">
        <w:rPr>
          <w:color w:val="auto"/>
          <w:sz w:val="24"/>
          <w:szCs w:val="24"/>
        </w:rPr>
        <w:t>beccarii</w:t>
      </w:r>
      <w:proofErr w:type="spellEnd"/>
      <w:r w:rsidRPr="00031873">
        <w:rPr>
          <w:i w:val="0"/>
          <w:iCs w:val="0"/>
          <w:color w:val="auto"/>
          <w:sz w:val="24"/>
          <w:szCs w:val="24"/>
        </w:rPr>
        <w:t xml:space="preserve"> showing log₂-transformed normalised expression </w:t>
      </w:r>
      <w:r w:rsidRPr="008A65B6">
        <w:rPr>
          <w:i w:val="0"/>
          <w:iCs w:val="0"/>
          <w:color w:val="auto"/>
          <w:sz w:val="24"/>
          <w:szCs w:val="24"/>
        </w:rPr>
        <w:t>values from DESeq2 (variance-stabilised counts).</w:t>
      </w:r>
      <w:bookmarkEnd w:id="104"/>
      <w:r w:rsidR="008A65B6" w:rsidRPr="008A65B6">
        <w:rPr>
          <w:i w:val="0"/>
          <w:iCs w:val="0"/>
          <w:color w:val="auto"/>
          <w:sz w:val="24"/>
          <w:szCs w:val="24"/>
        </w:rPr>
        <w:t xml:space="preserve"> </w:t>
      </w:r>
      <w:r w:rsidR="00DA1026" w:rsidRPr="008A65B6">
        <w:rPr>
          <w:i w:val="0"/>
          <w:iCs w:val="0"/>
          <w:color w:val="auto"/>
          <w:sz w:val="24"/>
          <w:szCs w:val="24"/>
        </w:rPr>
        <w:t xml:space="preserve">Columns represent samples from no-ants and </w:t>
      </w:r>
      <w:proofErr w:type="gramStart"/>
      <w:r w:rsidR="00DA1026" w:rsidRPr="008A65B6">
        <w:rPr>
          <w:i w:val="0"/>
          <w:iCs w:val="0"/>
          <w:color w:val="auto"/>
          <w:sz w:val="24"/>
          <w:szCs w:val="24"/>
        </w:rPr>
        <w:t>ants</w:t>
      </w:r>
      <w:proofErr w:type="gramEnd"/>
      <w:r w:rsidR="00DA1026" w:rsidRPr="008A65B6">
        <w:rPr>
          <w:i w:val="0"/>
          <w:iCs w:val="0"/>
          <w:color w:val="auto"/>
          <w:sz w:val="24"/>
          <w:szCs w:val="24"/>
        </w:rPr>
        <w:t xml:space="preserve"> treatments across warty, smooth and tuber tissues (three biological replicates per condition). Rows represent genes, hierarchically clustered based on expression similarity. Helixer gene IDs and corresponding functional annotations are shown on the </w:t>
      </w:r>
      <w:r w:rsidR="001501D6" w:rsidRPr="008A65B6">
        <w:rPr>
          <w:i w:val="0"/>
          <w:iCs w:val="0"/>
          <w:color w:val="auto"/>
          <w:sz w:val="24"/>
          <w:szCs w:val="24"/>
        </w:rPr>
        <w:t>left.</w:t>
      </w:r>
    </w:p>
    <w:p w14:paraId="2F686BC7" w14:textId="77777777" w:rsidR="003B5632" w:rsidRDefault="003B5632" w:rsidP="003B5632"/>
    <w:p w14:paraId="7423C860" w14:textId="2F586941" w:rsidR="003B5632" w:rsidRDefault="003B5632" w:rsidP="003B5632"/>
    <w:p w14:paraId="544D146D" w14:textId="77777777" w:rsidR="003B5632" w:rsidRDefault="003B5632" w:rsidP="003B5632"/>
    <w:p w14:paraId="319BFE0D" w14:textId="7AB5C17F" w:rsidR="008F5546" w:rsidRDefault="008F5546" w:rsidP="003B5632"/>
    <w:p w14:paraId="5F3A920D" w14:textId="77777777" w:rsidR="008F5546" w:rsidRDefault="008F5546" w:rsidP="003B5632"/>
    <w:p w14:paraId="568E4B7D" w14:textId="77777777" w:rsidR="00F533D3" w:rsidRDefault="00F533D3" w:rsidP="003B5632"/>
    <w:p w14:paraId="1699158F" w14:textId="232CAB5D" w:rsidR="008F5546" w:rsidRDefault="008F5546" w:rsidP="003B5632"/>
    <w:p w14:paraId="5054FB45" w14:textId="51C6380D" w:rsidR="008F5546" w:rsidRDefault="008F5546" w:rsidP="003B5632"/>
    <w:p w14:paraId="7525E402" w14:textId="3C613340" w:rsidR="008F5546" w:rsidRDefault="008248B6" w:rsidP="003B5632">
      <w:r>
        <w:rPr>
          <w:noProof/>
        </w:rPr>
        <w:drawing>
          <wp:anchor distT="0" distB="0" distL="114300" distR="114300" simplePos="0" relativeHeight="251658246" behindDoc="0" locked="0" layoutInCell="1" allowOverlap="1" wp14:anchorId="27EE6D69" wp14:editId="14A8700D">
            <wp:simplePos x="0" y="0"/>
            <wp:positionH relativeFrom="margin">
              <wp:align>center</wp:align>
            </wp:positionH>
            <wp:positionV relativeFrom="paragraph">
              <wp:posOffset>7592</wp:posOffset>
            </wp:positionV>
            <wp:extent cx="6910070" cy="4173855"/>
            <wp:effectExtent l="0" t="0" r="5080" b="0"/>
            <wp:wrapNone/>
            <wp:docPr id="1938718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18241" name=""/>
                    <pic:cNvPicPr/>
                  </pic:nvPicPr>
                  <pic:blipFill>
                    <a:blip r:embed="rId34">
                      <a:extLst>
                        <a:ext uri="{28A0092B-C50C-407E-A947-70E740481C1C}">
                          <a14:useLocalDpi xmlns:a14="http://schemas.microsoft.com/office/drawing/2010/main" val="0"/>
                        </a:ext>
                      </a:extLst>
                    </a:blip>
                    <a:stretch>
                      <a:fillRect/>
                    </a:stretch>
                  </pic:blipFill>
                  <pic:spPr>
                    <a:xfrm>
                      <a:off x="0" y="0"/>
                      <a:ext cx="6910070" cy="4173855"/>
                    </a:xfrm>
                    <a:prstGeom prst="rect">
                      <a:avLst/>
                    </a:prstGeom>
                  </pic:spPr>
                </pic:pic>
              </a:graphicData>
            </a:graphic>
            <wp14:sizeRelH relativeFrom="page">
              <wp14:pctWidth>0</wp14:pctWidth>
            </wp14:sizeRelH>
            <wp14:sizeRelV relativeFrom="page">
              <wp14:pctHeight>0</wp14:pctHeight>
            </wp14:sizeRelV>
          </wp:anchor>
        </w:drawing>
      </w:r>
    </w:p>
    <w:p w14:paraId="779DA500" w14:textId="6278B293" w:rsidR="008F5546" w:rsidRDefault="008F5546" w:rsidP="003B5632"/>
    <w:p w14:paraId="425FEC80" w14:textId="77777777" w:rsidR="008F5546" w:rsidRPr="003B5632" w:rsidRDefault="008F5546" w:rsidP="003B5632"/>
    <w:p w14:paraId="6C553E16" w14:textId="2831E4AC" w:rsidR="003B5632" w:rsidRDefault="003B5632">
      <w:pPr>
        <w:pStyle w:val="Heading2"/>
        <w:keepNext w:val="0"/>
        <w:keepLines w:val="0"/>
        <w:widowControl w:val="0"/>
        <w:spacing w:line="344" w:lineRule="auto"/>
        <w:ind w:left="1441" w:right="350" w:firstLine="3"/>
        <w:rPr>
          <w:sz w:val="24"/>
          <w:szCs w:val="24"/>
        </w:rPr>
      </w:pPr>
    </w:p>
    <w:p w14:paraId="1B0FB915" w14:textId="157B572E" w:rsidR="003B5632" w:rsidRDefault="003B5632">
      <w:pPr>
        <w:pStyle w:val="Heading2"/>
        <w:keepNext w:val="0"/>
        <w:keepLines w:val="0"/>
        <w:widowControl w:val="0"/>
        <w:spacing w:line="344" w:lineRule="auto"/>
        <w:ind w:left="1441" w:right="350" w:firstLine="3"/>
        <w:rPr>
          <w:sz w:val="24"/>
          <w:szCs w:val="24"/>
        </w:rPr>
      </w:pPr>
    </w:p>
    <w:p w14:paraId="75727199" w14:textId="3B456363" w:rsidR="000D6819" w:rsidRDefault="000D6819">
      <w:pPr>
        <w:pStyle w:val="Heading2"/>
        <w:keepNext w:val="0"/>
        <w:keepLines w:val="0"/>
        <w:widowControl w:val="0"/>
        <w:spacing w:line="344" w:lineRule="auto"/>
        <w:ind w:left="1441" w:right="350" w:firstLine="3"/>
        <w:rPr>
          <w:sz w:val="24"/>
          <w:szCs w:val="24"/>
        </w:rPr>
      </w:pPr>
    </w:p>
    <w:p w14:paraId="0819D868" w14:textId="77777777" w:rsidR="004533C2" w:rsidRDefault="004533C2" w:rsidP="004533C2"/>
    <w:p w14:paraId="42967463" w14:textId="77777777" w:rsidR="004533C2" w:rsidRDefault="004533C2" w:rsidP="004533C2"/>
    <w:p w14:paraId="5235A796" w14:textId="77777777" w:rsidR="008248B6" w:rsidRDefault="008248B6" w:rsidP="004533C2"/>
    <w:p w14:paraId="771EE155" w14:textId="77777777" w:rsidR="004533C2" w:rsidRDefault="004533C2" w:rsidP="004533C2"/>
    <w:p w14:paraId="78B37F49" w14:textId="77777777" w:rsidR="004533C2" w:rsidRPr="004533C2" w:rsidRDefault="004533C2" w:rsidP="004533C2"/>
    <w:p w14:paraId="4B9771D7" w14:textId="69160BC7" w:rsidR="000D6819" w:rsidRPr="0060786A" w:rsidRDefault="008248B6" w:rsidP="008248B6">
      <w:pPr>
        <w:pStyle w:val="Caption"/>
        <w:rPr>
          <w:b/>
          <w:bCs/>
          <w:color w:val="auto"/>
          <w:sz w:val="24"/>
          <w:szCs w:val="24"/>
        </w:rPr>
      </w:pPr>
      <w:bookmarkStart w:id="105" w:name="_Toc235390741"/>
      <w:r w:rsidRPr="00087B5A">
        <w:rPr>
          <w:b/>
          <w:bCs/>
          <w:i w:val="0"/>
          <w:iCs w:val="0"/>
          <w:color w:val="auto"/>
          <w:sz w:val="24"/>
          <w:szCs w:val="24"/>
        </w:rPr>
        <w:t xml:space="preserve">Figure </w:t>
      </w:r>
      <w:r w:rsidRPr="00087B5A">
        <w:rPr>
          <w:b/>
          <w:bCs/>
          <w:i w:val="0"/>
          <w:iCs w:val="0"/>
          <w:color w:val="auto"/>
          <w:sz w:val="24"/>
          <w:szCs w:val="24"/>
        </w:rPr>
        <w:fldChar w:fldCharType="begin"/>
      </w:r>
      <w:r w:rsidRPr="00087B5A">
        <w:rPr>
          <w:b/>
          <w:bCs/>
          <w:i w:val="0"/>
          <w:iCs w:val="0"/>
          <w:color w:val="auto"/>
          <w:sz w:val="24"/>
          <w:szCs w:val="24"/>
        </w:rPr>
        <w:instrText xml:space="preserve"> SEQ Figure \* ARABIC </w:instrText>
      </w:r>
      <w:r w:rsidRPr="00087B5A">
        <w:rPr>
          <w:b/>
          <w:bCs/>
          <w:i w:val="0"/>
          <w:iCs w:val="0"/>
          <w:color w:val="auto"/>
          <w:sz w:val="24"/>
          <w:szCs w:val="24"/>
        </w:rPr>
        <w:fldChar w:fldCharType="separate"/>
      </w:r>
      <w:r w:rsidRPr="00087B5A">
        <w:rPr>
          <w:b/>
          <w:bCs/>
          <w:i w:val="0"/>
          <w:iCs w:val="0"/>
          <w:noProof/>
          <w:color w:val="auto"/>
          <w:sz w:val="24"/>
          <w:szCs w:val="24"/>
        </w:rPr>
        <w:t>19</w:t>
      </w:r>
      <w:r w:rsidRPr="00087B5A">
        <w:rPr>
          <w:b/>
          <w:bCs/>
          <w:i w:val="0"/>
          <w:iCs w:val="0"/>
          <w:color w:val="auto"/>
          <w:sz w:val="24"/>
          <w:szCs w:val="24"/>
        </w:rPr>
        <w:fldChar w:fldCharType="end"/>
      </w:r>
      <w:r w:rsidR="001152F4">
        <w:rPr>
          <w:b/>
          <w:bCs/>
          <w:i w:val="0"/>
          <w:iCs w:val="0"/>
          <w:color w:val="auto"/>
          <w:sz w:val="24"/>
          <w:szCs w:val="24"/>
        </w:rPr>
        <w:t>.</w:t>
      </w:r>
      <w:r w:rsidRPr="0060786A">
        <w:rPr>
          <w:b/>
          <w:bCs/>
          <w:color w:val="auto"/>
          <w:sz w:val="24"/>
          <w:szCs w:val="24"/>
        </w:rPr>
        <w:t xml:space="preserve"> </w:t>
      </w:r>
      <w:r w:rsidRPr="00031873">
        <w:rPr>
          <w:i w:val="0"/>
          <w:iCs w:val="0"/>
          <w:color w:val="auto"/>
          <w:sz w:val="24"/>
          <w:szCs w:val="24"/>
        </w:rPr>
        <w:t xml:space="preserve">Bar plot of nitrogen-related genes in </w:t>
      </w:r>
      <w:r w:rsidRPr="00F533D3">
        <w:rPr>
          <w:color w:val="auto"/>
          <w:sz w:val="24"/>
          <w:szCs w:val="24"/>
        </w:rPr>
        <w:t xml:space="preserve">M. </w:t>
      </w:r>
      <w:proofErr w:type="spellStart"/>
      <w:r w:rsidRPr="00F533D3">
        <w:rPr>
          <w:color w:val="auto"/>
          <w:sz w:val="24"/>
          <w:szCs w:val="24"/>
        </w:rPr>
        <w:t>beccarii</w:t>
      </w:r>
      <w:proofErr w:type="spellEnd"/>
      <w:r w:rsidRPr="00031873">
        <w:rPr>
          <w:i w:val="0"/>
          <w:iCs w:val="0"/>
          <w:color w:val="auto"/>
          <w:sz w:val="24"/>
          <w:szCs w:val="24"/>
        </w:rPr>
        <w:t xml:space="preserve"> showing mean log₂-transformed normalised expression values from DESeq2 (variance-stabilised counts) for ants and no </w:t>
      </w:r>
      <w:proofErr w:type="gramStart"/>
      <w:r w:rsidRPr="00031873">
        <w:rPr>
          <w:i w:val="0"/>
          <w:iCs w:val="0"/>
          <w:color w:val="auto"/>
          <w:sz w:val="24"/>
          <w:szCs w:val="24"/>
        </w:rPr>
        <w:t>ants</w:t>
      </w:r>
      <w:proofErr w:type="gramEnd"/>
      <w:r w:rsidRPr="00031873">
        <w:rPr>
          <w:i w:val="0"/>
          <w:iCs w:val="0"/>
          <w:color w:val="auto"/>
          <w:sz w:val="24"/>
          <w:szCs w:val="24"/>
        </w:rPr>
        <w:t xml:space="preserve"> treatments. Error bars indicate ± standard error across three biological replicat</w:t>
      </w:r>
      <w:r w:rsidR="0060786A" w:rsidRPr="00031873">
        <w:rPr>
          <w:i w:val="0"/>
          <w:iCs w:val="0"/>
          <w:color w:val="auto"/>
          <w:sz w:val="24"/>
          <w:szCs w:val="24"/>
        </w:rPr>
        <w:t>es.</w:t>
      </w:r>
      <w:bookmarkEnd w:id="105"/>
    </w:p>
    <w:p w14:paraId="0000025C" w14:textId="77777777" w:rsidR="00E420E3" w:rsidRDefault="008E5528" w:rsidP="005C4EF0">
      <w:pPr>
        <w:pStyle w:val="Heading3"/>
      </w:pPr>
      <w:bookmarkStart w:id="106" w:name="_heading=h.i9w98ar5q8ad" w:colFirst="0" w:colLast="0"/>
      <w:bookmarkStart w:id="107" w:name="_Toc235393019"/>
      <w:bookmarkEnd w:id="106"/>
      <w:r>
        <w:t>4.5 Discussion</w:t>
      </w:r>
      <w:bookmarkEnd w:id="107"/>
    </w:p>
    <w:p w14:paraId="0000025D" w14:textId="77777777" w:rsidR="00E420E3" w:rsidRDefault="008E5528" w:rsidP="005C4EF0">
      <w:pPr>
        <w:pStyle w:val="Heading4"/>
      </w:pPr>
      <w:bookmarkStart w:id="108" w:name="_heading=h.bwgnvz435xtj" w:colFirst="0" w:colLast="0"/>
      <w:bookmarkStart w:id="109" w:name="_Toc235393020"/>
      <w:bookmarkEnd w:id="108"/>
      <w:r>
        <w:t>4.5.1 Ant-induced versus constitutive nitrogen-uptake gene expression in facultative and obligate ant-plants</w:t>
      </w:r>
      <w:bookmarkEnd w:id="109"/>
    </w:p>
    <w:p w14:paraId="0000025E" w14:textId="77777777" w:rsidR="00E420E3" w:rsidRDefault="008E5528" w:rsidP="003F378E">
      <w:pPr>
        <w:rPr>
          <w:rFonts w:eastAsia="Times New Roman" w:cs="Times New Roman"/>
        </w:rPr>
      </w:pPr>
      <w:bookmarkStart w:id="110" w:name="_heading=h.ubevgov6jdcm" w:colFirst="0" w:colLast="0"/>
      <w:bookmarkEnd w:id="110"/>
      <w:r>
        <w:rPr>
          <w:rFonts w:eastAsia="Times New Roman" w:cs="Times New Roman"/>
        </w:rPr>
        <w:t xml:space="preserve">Our central prediction was that facultative, generalist ant-plants such as </w:t>
      </w:r>
      <w:proofErr w:type="spellStart"/>
      <w:r>
        <w:rPr>
          <w:rFonts w:eastAsia="Times New Roman" w:cs="Times New Roman"/>
          <w:i/>
          <w:iCs/>
        </w:rPr>
        <w:t>Hydnophytum</w:t>
      </w:r>
      <w:proofErr w:type="spellEnd"/>
      <w:r>
        <w:rPr>
          <w:rFonts w:eastAsia="Times New Roman" w:cs="Times New Roman"/>
          <w:i/>
          <w:iCs/>
        </w:rPr>
        <w:t xml:space="preserve"> </w:t>
      </w:r>
      <w:proofErr w:type="spellStart"/>
      <w:r>
        <w:rPr>
          <w:rFonts w:eastAsia="Times New Roman" w:cs="Times New Roman"/>
          <w:i/>
          <w:iCs/>
        </w:rPr>
        <w:t>moseleyanum</w:t>
      </w:r>
      <w:proofErr w:type="spellEnd"/>
      <w:r>
        <w:rPr>
          <w:rFonts w:eastAsia="Times New Roman" w:cs="Times New Roman"/>
        </w:rPr>
        <w:t xml:space="preserve"> would rely on an inducible nitrogen-uptake toolkit that is upregulated when ants are present, whereas the obligate myrmecophyte </w:t>
      </w:r>
      <w:proofErr w:type="spellStart"/>
      <w:r>
        <w:rPr>
          <w:rFonts w:eastAsia="Times New Roman" w:cs="Times New Roman"/>
          <w:i/>
          <w:iCs/>
        </w:rPr>
        <w:t>Myrmecodia</w:t>
      </w:r>
      <w:proofErr w:type="spellEnd"/>
      <w:r>
        <w:rPr>
          <w:rFonts w:eastAsia="Times New Roman" w:cs="Times New Roman"/>
          <w:i/>
          <w:iCs/>
        </w:rPr>
        <w:t xml:space="preserve"> </w:t>
      </w:r>
      <w:proofErr w:type="spellStart"/>
      <w:r>
        <w:rPr>
          <w:rFonts w:eastAsia="Times New Roman" w:cs="Times New Roman"/>
          <w:i/>
          <w:iCs/>
        </w:rPr>
        <w:t>beccarii</w:t>
      </w:r>
      <w:proofErr w:type="spellEnd"/>
      <w:r>
        <w:rPr>
          <w:rFonts w:eastAsia="Times New Roman" w:cs="Times New Roman"/>
        </w:rPr>
        <w:t xml:space="preserve"> would show a more constitutive expression pattern, reflecting the high and predictable availability of ant-derived nutrients. The basic idea is that facultative ant-plants are expected to have greater regulatory plasticity because ant occupancy (and quality) vary in time and space — thus, inducibility allows plants to capture nutritional gains when and where ants are present, while limiting the costs by turning it off in the absence of ants. This expectation parallels theory on plant defence, which predicts that plastic, induced traits are favoured when the benefits of activation are </w:t>
      </w:r>
      <w:r>
        <w:rPr>
          <w:rFonts w:eastAsia="Times New Roman" w:cs="Times New Roman"/>
        </w:rPr>
        <w:lastRenderedPageBreak/>
        <w:t xml:space="preserve">intermittent and the costs of maintaining defence are high, whereas constitutive investment is favoured under consistently high attack or partner reliability (Karban, 2011; </w:t>
      </w:r>
      <w:proofErr w:type="spellStart"/>
      <w:r>
        <w:rPr>
          <w:rFonts w:eastAsia="Times New Roman" w:cs="Times New Roman"/>
        </w:rPr>
        <w:t>Mithofer</w:t>
      </w:r>
      <w:proofErr w:type="spellEnd"/>
      <w:r>
        <w:rPr>
          <w:rFonts w:eastAsia="Times New Roman" w:cs="Times New Roman"/>
        </w:rPr>
        <w:t xml:space="preserve"> and Boland, 2012). Analogously, theory on mutualisms predicts that obligate mutualists should evolve less context-dependent investment in their partners than facultative ones (Bronstein, 1994; Chomicki et al., 2020).</w:t>
      </w:r>
    </w:p>
    <w:p w14:paraId="0000025F" w14:textId="33D2107D" w:rsidR="00E420E3" w:rsidRDefault="008E5528" w:rsidP="003F378E">
      <w:pPr>
        <w:rPr>
          <w:rFonts w:eastAsia="Times New Roman" w:cs="Times New Roman"/>
        </w:rPr>
      </w:pPr>
      <w:bookmarkStart w:id="111" w:name="_heading=h.9wyefutpvmya" w:colFirst="0" w:colLast="0"/>
      <w:bookmarkEnd w:id="111"/>
      <w:r w:rsidRPr="00250D70">
        <w:rPr>
          <w:rFonts w:eastAsia="Times New Roman" w:cs="Times New Roman"/>
        </w:rPr>
        <w:t xml:space="preserve">The transcriptomic study conducted in this thesis broadly support these expectations: </w:t>
      </w:r>
      <w:r w:rsidRPr="00250D70">
        <w:rPr>
          <w:rFonts w:eastAsia="Times New Roman" w:cs="Times New Roman"/>
          <w:i/>
          <w:iCs/>
        </w:rPr>
        <w:t xml:space="preserve">H. </w:t>
      </w:r>
      <w:proofErr w:type="spellStart"/>
      <w:r w:rsidRPr="00250D70">
        <w:rPr>
          <w:rFonts w:eastAsia="Times New Roman" w:cs="Times New Roman"/>
          <w:i/>
          <w:iCs/>
        </w:rPr>
        <w:t>moseleyanum</w:t>
      </w:r>
      <w:proofErr w:type="spellEnd"/>
      <w:r w:rsidRPr="00250D70">
        <w:rPr>
          <w:rFonts w:eastAsia="Times New Roman" w:cs="Times New Roman"/>
        </w:rPr>
        <w:t xml:space="preserve"> shows more ant-induced modulation of nitrogen-related genes, whereas </w:t>
      </w:r>
      <w:r w:rsidRPr="00250D70">
        <w:rPr>
          <w:rFonts w:eastAsia="Times New Roman" w:cs="Times New Roman"/>
          <w:i/>
          <w:iCs/>
        </w:rPr>
        <w:t xml:space="preserve">M. </w:t>
      </w:r>
      <w:proofErr w:type="spellStart"/>
      <w:r w:rsidRPr="00250D70">
        <w:rPr>
          <w:rFonts w:eastAsia="Times New Roman" w:cs="Times New Roman"/>
          <w:i/>
          <w:iCs/>
        </w:rPr>
        <w:t>beccarii</w:t>
      </w:r>
      <w:proofErr w:type="spellEnd"/>
      <w:r w:rsidRPr="00250D70">
        <w:rPr>
          <w:rFonts w:eastAsia="Times New Roman" w:cs="Times New Roman"/>
        </w:rPr>
        <w:t xml:space="preserve"> relies on constitutive </w:t>
      </w:r>
      <w:r>
        <w:rPr>
          <w:rFonts w:eastAsia="Times New Roman" w:cs="Times New Roman"/>
        </w:rPr>
        <w:t xml:space="preserve">expression, with only a few nitrogen transporters showing ant responsiveness. Similar trajectories are well documented beyond </w:t>
      </w:r>
      <w:r w:rsidR="009F23E6">
        <w:rPr>
          <w:rFonts w:eastAsia="Times New Roman" w:cs="Times New Roman"/>
        </w:rPr>
        <w:t>ant-plant</w:t>
      </w:r>
      <w:r>
        <w:rPr>
          <w:rFonts w:eastAsia="Times New Roman" w:cs="Times New Roman"/>
        </w:rPr>
        <w:t>s systems: in many insect-bacterial mutualisms, environmentally acquired or conditionally beneficial associations show flexible host responses, whereas long-term obligate symbionts become developmentally integrated and metabolically indispensable, with reduced scope for facultative regulation and strong specialisation of host tissues at the exchange interface (Douglas, 2015; Moran et al., 2008).</w:t>
      </w:r>
    </w:p>
    <w:p w14:paraId="00000260" w14:textId="77777777" w:rsidR="00E420E3" w:rsidRDefault="008E5528" w:rsidP="00C94FC9">
      <w:pPr>
        <w:pStyle w:val="Heading4"/>
      </w:pPr>
      <w:bookmarkStart w:id="112" w:name="_heading=h.on6cdb6obtup" w:colFirst="0" w:colLast="0"/>
      <w:bookmarkStart w:id="113" w:name="_Toc235393021"/>
      <w:bookmarkEnd w:id="112"/>
      <w:r>
        <w:t xml:space="preserve">4.5.2 Ant effects on nitrogen-uptake genes are strongest in </w:t>
      </w:r>
      <w:proofErr w:type="spellStart"/>
      <w:r>
        <w:t>Hydnophytum</w:t>
      </w:r>
      <w:proofErr w:type="spellEnd"/>
      <w:r>
        <w:t xml:space="preserve"> </w:t>
      </w:r>
      <w:proofErr w:type="spellStart"/>
      <w:r>
        <w:t>moseleyanum</w:t>
      </w:r>
      <w:bookmarkEnd w:id="113"/>
      <w:proofErr w:type="spellEnd"/>
    </w:p>
    <w:p w14:paraId="00000261" w14:textId="77777777" w:rsidR="00E420E3" w:rsidRDefault="008E5528" w:rsidP="003F378E">
      <w:pPr>
        <w:rPr>
          <w:rFonts w:eastAsia="Times New Roman" w:cs="Times New Roman"/>
        </w:rPr>
      </w:pPr>
      <w:bookmarkStart w:id="114" w:name="_heading=h.1nmsw54gbmee" w:colFirst="0" w:colLast="0"/>
      <w:bookmarkEnd w:id="114"/>
      <w:r>
        <w:rPr>
          <w:rFonts w:eastAsia="Times New Roman" w:cs="Times New Roman"/>
        </w:rPr>
        <w:t xml:space="preserve">Across the candidate set, the clearest signal of ant responsiveness occurred in </w:t>
      </w:r>
      <w:r>
        <w:rPr>
          <w:rFonts w:eastAsia="Times New Roman" w:cs="Times New Roman"/>
          <w:i/>
          <w:iCs/>
        </w:rPr>
        <w:t xml:space="preserve">H. </w:t>
      </w:r>
      <w:proofErr w:type="spellStart"/>
      <w:r>
        <w:rPr>
          <w:rFonts w:eastAsia="Times New Roman" w:cs="Times New Roman"/>
          <w:i/>
          <w:iCs/>
        </w:rPr>
        <w:t>moseleyanum</w:t>
      </w:r>
      <w:proofErr w:type="spellEnd"/>
      <w:r>
        <w:rPr>
          <w:rFonts w:eastAsia="Times New Roman" w:cs="Times New Roman"/>
        </w:rPr>
        <w:t xml:space="preserve">, where several nitrogen-associated transcripts shifted in a tissue-dependent manner when ants were present. Responses were most evident in warty-like domatium tissues, which showed the greatest number of significantly differentially expressed nitrogen-related genes, followed by smooth-like tissues, while tuber tissue showed the fewest significant changes. This spatial structure matters biologically because warty domatium tissue has been proposed as a primary interface for acquisition of ant-derived nutrients in ant-housing </w:t>
      </w:r>
      <w:proofErr w:type="spellStart"/>
      <w:r>
        <w:rPr>
          <w:rFonts w:eastAsia="Times New Roman" w:cs="Times New Roman"/>
        </w:rPr>
        <w:t>Rubiaceae</w:t>
      </w:r>
      <w:proofErr w:type="spellEnd"/>
      <w:r>
        <w:rPr>
          <w:rFonts w:eastAsia="Times New Roman" w:cs="Times New Roman"/>
        </w:rPr>
        <w:t xml:space="preserve"> epiphytes, consistent with its distinctive anatomy and absorptive capacity (Huxley, 1978; Chomicki and Renner, 2019). The induction of a nitrate-uptake accessory component (a NAR2.1 homolog) specifically in warty tissue under ant occupancy is particularly suggestive: in </w:t>
      </w:r>
      <w:r w:rsidRPr="00C94FC9">
        <w:rPr>
          <w:rFonts w:eastAsia="Times New Roman" w:cs="Times New Roman"/>
        </w:rPr>
        <w:t xml:space="preserve">well-characterised plant systems such as </w:t>
      </w:r>
      <w:r w:rsidRPr="00C94FC9">
        <w:rPr>
          <w:rFonts w:eastAsia="Times New Roman" w:cs="Times New Roman"/>
          <w:i/>
          <w:iCs/>
        </w:rPr>
        <w:t>Arabidopsis thaliana</w:t>
      </w:r>
      <w:r w:rsidRPr="00C94FC9">
        <w:rPr>
          <w:rFonts w:eastAsia="Times New Roman" w:cs="Times New Roman"/>
        </w:rPr>
        <w:t xml:space="preserve">, NAR2 proteins are required partners of high-affinity NRT2 nitrate transporters </w:t>
      </w:r>
      <w:r>
        <w:rPr>
          <w:rFonts w:eastAsia="Times New Roman" w:cs="Times New Roman"/>
        </w:rPr>
        <w:t>and can strongly influence nitrate uptake capacity (Okamoto et al., 2003; Wang et al., 2018).</w:t>
      </w:r>
    </w:p>
    <w:p w14:paraId="35D2D39A" w14:textId="77777777" w:rsidR="00A97025" w:rsidRDefault="008E5528" w:rsidP="003F378E">
      <w:pPr>
        <w:rPr>
          <w:rFonts w:eastAsia="Times New Roman" w:cs="Times New Roman"/>
        </w:rPr>
      </w:pPr>
      <w:bookmarkStart w:id="115" w:name="_heading=h.ivfgdmo2oisq" w:colFirst="0" w:colLast="0"/>
      <w:bookmarkEnd w:id="115"/>
      <w:r>
        <w:rPr>
          <w:rFonts w:eastAsia="Times New Roman" w:cs="Times New Roman"/>
        </w:rPr>
        <w:t>However, not all nitrogen-related genes showed similar changes in expression across these experimental conditions. Several ammonium transporter (AMT) homologs were relatively constitutive, and where treatment effects appeared they were again tissue-specific (</w:t>
      </w:r>
      <w:r w:rsidRPr="0040482D">
        <w:rPr>
          <w:rFonts w:eastAsia="Times New Roman" w:cs="Times New Roman"/>
        </w:rPr>
        <w:t xml:space="preserve">including cases where expression was higher in tuber tissue of no-ants control plants than in tuber tissue </w:t>
      </w:r>
      <w:r w:rsidRPr="0040482D">
        <w:rPr>
          <w:rFonts w:eastAsia="Times New Roman" w:cs="Times New Roman"/>
        </w:rPr>
        <w:lastRenderedPageBreak/>
        <w:t>of fertiliser-treated plants, suggesting that the presence of inorganic nitrogen via fertiliser suppresses rather than induces ammonium transporter expression in tuber tissue). Although some ammonium transporters are constitutively expressed, their expression and activity are still tightly regulated according to nitrogen status. Consequently, ammonium transport is commonly downregulated under nitrogen sufficiency (or when reduced nitrogen is readily available), rather than simply tracking total nitrogen supply (</w:t>
      </w:r>
      <w:proofErr w:type="spellStart"/>
      <w:r w:rsidRPr="0040482D">
        <w:rPr>
          <w:rFonts w:eastAsia="Times New Roman" w:cs="Times New Roman"/>
        </w:rPr>
        <w:t>Loqué</w:t>
      </w:r>
      <w:proofErr w:type="spellEnd"/>
      <w:r w:rsidRPr="0040482D">
        <w:rPr>
          <w:rFonts w:eastAsia="Times New Roman" w:cs="Times New Roman"/>
        </w:rPr>
        <w:t xml:space="preserve"> and von </w:t>
      </w:r>
      <w:proofErr w:type="spellStart"/>
      <w:r w:rsidRPr="0040482D">
        <w:rPr>
          <w:rFonts w:eastAsia="Times New Roman" w:cs="Times New Roman"/>
        </w:rPr>
        <w:t>Wirén</w:t>
      </w:r>
      <w:proofErr w:type="spellEnd"/>
      <w:r w:rsidRPr="0040482D">
        <w:rPr>
          <w:rFonts w:eastAsia="Times New Roman" w:cs="Times New Roman"/>
        </w:rPr>
        <w:t>, 2004; Ludewig et al., 2007).</w:t>
      </w:r>
      <w:r w:rsidR="00A97025">
        <w:rPr>
          <w:rFonts w:eastAsia="Times New Roman" w:cs="Times New Roman"/>
        </w:rPr>
        <w:t xml:space="preserve"> </w:t>
      </w:r>
      <w:r>
        <w:rPr>
          <w:rFonts w:eastAsia="Times New Roman" w:cs="Times New Roman"/>
        </w:rPr>
        <w:t xml:space="preserve">The decrease in expression of nitrite-reductase homologs when ants are present, despite ant-associated upregulation of other uptake-related components, likewise points to a shift in the form of nitrogen being processed and/or to feedback regulation of nitrate assimilation pathways (Vidal and Gutierrez, 2008; Wang et al., 2018). </w:t>
      </w:r>
    </w:p>
    <w:p w14:paraId="00000262" w14:textId="14059932" w:rsidR="00E420E3" w:rsidRDefault="008E5528" w:rsidP="003F378E">
      <w:pPr>
        <w:rPr>
          <w:rFonts w:eastAsia="Times New Roman" w:cs="Times New Roman"/>
        </w:rPr>
      </w:pPr>
      <w:r w:rsidRPr="0040482D">
        <w:rPr>
          <w:rFonts w:eastAsia="Times New Roman" w:cs="Times New Roman"/>
        </w:rPr>
        <w:t>Based on available evidence, the dominant form of nitrogen in ant faeces is urea and its derivatives (</w:t>
      </w:r>
      <w:proofErr w:type="spellStart"/>
      <w:r w:rsidRPr="0040482D">
        <w:rPr>
          <w:rFonts w:eastAsia="Times New Roman" w:cs="Times New Roman"/>
        </w:rPr>
        <w:t>Vidkjaer</w:t>
      </w:r>
      <w:proofErr w:type="spellEnd"/>
      <w:r w:rsidRPr="0040482D">
        <w:rPr>
          <w:rFonts w:eastAsia="Times New Roman" w:cs="Times New Roman"/>
        </w:rPr>
        <w:t xml:space="preserve"> et al., 2015; </w:t>
      </w:r>
      <w:proofErr w:type="spellStart"/>
      <w:r w:rsidRPr="0040482D">
        <w:rPr>
          <w:rFonts w:eastAsia="Times New Roman" w:cs="Times New Roman"/>
        </w:rPr>
        <w:t>Vidkjaer</w:t>
      </w:r>
      <w:proofErr w:type="spellEnd"/>
      <w:r w:rsidRPr="0040482D">
        <w:rPr>
          <w:rFonts w:eastAsia="Times New Roman" w:cs="Times New Roman"/>
        </w:rPr>
        <w:t xml:space="preserve"> et al., 2016), which would first require conversion to ammonium before plant uptake. If ant-derived nitrogen arrives primarily in reduced organic forms rather than as nitrate, this could explain the downregulation of nitrite-reductase homologs under ant presence. The plant may shift away from nitrate assimilation pathways when ammonium or urea-derived nitrogen is more readily available. </w:t>
      </w:r>
      <w:r>
        <w:rPr>
          <w:rFonts w:eastAsia="Times New Roman" w:cs="Times New Roman"/>
        </w:rPr>
        <w:t xml:space="preserve">Taken together, the </w:t>
      </w:r>
      <w:r>
        <w:rPr>
          <w:rFonts w:eastAsia="Times New Roman" w:cs="Times New Roman"/>
          <w:i/>
          <w:iCs/>
        </w:rPr>
        <w:t xml:space="preserve">H. </w:t>
      </w:r>
      <w:proofErr w:type="spellStart"/>
      <w:r>
        <w:rPr>
          <w:rFonts w:eastAsia="Times New Roman" w:cs="Times New Roman"/>
          <w:i/>
          <w:iCs/>
        </w:rPr>
        <w:t>moseleyanum</w:t>
      </w:r>
      <w:proofErr w:type="spellEnd"/>
      <w:r>
        <w:rPr>
          <w:rFonts w:eastAsia="Times New Roman" w:cs="Times New Roman"/>
        </w:rPr>
        <w:t xml:space="preserve"> data are consistent with a model in which ant occupancy alters local nitrogen availability and/or nitrogen form within domatia, and the plant responds primarily at the domatium interface rather than systemically across all tissues.</w:t>
      </w:r>
    </w:p>
    <w:p w14:paraId="00000263" w14:textId="77777777" w:rsidR="00E420E3" w:rsidRDefault="008E5528" w:rsidP="00A97025">
      <w:pPr>
        <w:pStyle w:val="Heading4"/>
      </w:pPr>
      <w:bookmarkStart w:id="116" w:name="_heading=h.9lw1bsvgplx5" w:colFirst="0" w:colLast="0"/>
      <w:bookmarkStart w:id="117" w:name="_Toc235393022"/>
      <w:bookmarkEnd w:id="116"/>
      <w:r>
        <w:t xml:space="preserve">4.5.3 Weak ant responsiveness in the obligate ant-plant </w:t>
      </w:r>
      <w:proofErr w:type="spellStart"/>
      <w:r>
        <w:t>Myrmecodia</w:t>
      </w:r>
      <w:proofErr w:type="spellEnd"/>
      <w:r>
        <w:t xml:space="preserve"> </w:t>
      </w:r>
      <w:proofErr w:type="spellStart"/>
      <w:r>
        <w:t>beccarii</w:t>
      </w:r>
      <w:bookmarkEnd w:id="117"/>
      <w:proofErr w:type="spellEnd"/>
    </w:p>
    <w:p w14:paraId="00000264" w14:textId="77777777" w:rsidR="00E420E3" w:rsidRDefault="008E5528" w:rsidP="003F378E">
      <w:pPr>
        <w:rPr>
          <w:rFonts w:eastAsia="Times New Roman" w:cs="Times New Roman"/>
        </w:rPr>
      </w:pPr>
      <w:bookmarkStart w:id="118" w:name="_heading=h.hhp8kc2gdp52" w:colFirst="0" w:colLast="0"/>
      <w:bookmarkEnd w:id="118"/>
      <w:r w:rsidRPr="00A97025">
        <w:rPr>
          <w:rFonts w:eastAsia="Times New Roman" w:cs="Times New Roman"/>
        </w:rPr>
        <w:t xml:space="preserve">Although </w:t>
      </w:r>
      <w:r w:rsidRPr="00A97025">
        <w:rPr>
          <w:rFonts w:eastAsia="Times New Roman" w:cs="Times New Roman"/>
          <w:i/>
          <w:iCs/>
        </w:rPr>
        <w:t xml:space="preserve">M. </w:t>
      </w:r>
      <w:proofErr w:type="spellStart"/>
      <w:r w:rsidRPr="00A97025">
        <w:rPr>
          <w:rFonts w:eastAsia="Times New Roman" w:cs="Times New Roman"/>
          <w:i/>
          <w:iCs/>
        </w:rPr>
        <w:t>beccarii</w:t>
      </w:r>
      <w:proofErr w:type="spellEnd"/>
      <w:r w:rsidRPr="00A97025">
        <w:rPr>
          <w:rFonts w:eastAsia="Times New Roman" w:cs="Times New Roman"/>
        </w:rPr>
        <w:t xml:space="preserve"> can be maintained without ants under controlled greenhouse conditions, field studies have consistently shown that it does not persist without its ant partner in nature (Huxley, 1978; Volp et al., 2022), confirming the obligate nature of this dependency outside experimental settings. The </w:t>
      </w:r>
      <w:r>
        <w:rPr>
          <w:rFonts w:eastAsia="Times New Roman" w:cs="Times New Roman"/>
        </w:rPr>
        <w:t xml:space="preserve">comparatively modest ant-associated shifts among the targeted nitrogen-uptake candidates in </w:t>
      </w:r>
      <w:r>
        <w:rPr>
          <w:rFonts w:eastAsia="Times New Roman" w:cs="Times New Roman"/>
          <w:i/>
          <w:iCs/>
        </w:rPr>
        <w:t xml:space="preserve">M. </w:t>
      </w:r>
      <w:proofErr w:type="spellStart"/>
      <w:r>
        <w:rPr>
          <w:rFonts w:eastAsia="Times New Roman" w:cs="Times New Roman"/>
          <w:i/>
          <w:iCs/>
        </w:rPr>
        <w:t>beccarii</w:t>
      </w:r>
      <w:proofErr w:type="spellEnd"/>
      <w:r>
        <w:rPr>
          <w:rFonts w:eastAsia="Times New Roman" w:cs="Times New Roman"/>
        </w:rPr>
        <w:t xml:space="preserve"> are consistent with our prediction for an obligate ant-plant, namely that core nutrient-acquisition machinery should be expressed more constitutively rather than being strongly induced only when ants are present. In stable nutritional mutualisms, selection can favour canalised investment in the structures and physiological pathways that underpin reliable resource capture (Bronstein, 2015; Mayer et al., 2014), reducing the need for large transcriptional reprogramming in response to short-term partner absence or presence. Thus, a 'weak' differential-expression signal is not evidence that ants are unimportant; rather, it suggests that </w:t>
      </w:r>
      <w:r>
        <w:rPr>
          <w:rFonts w:eastAsia="Times New Roman" w:cs="Times New Roman"/>
          <w:i/>
          <w:iCs/>
        </w:rPr>
        <w:t xml:space="preserve">M. </w:t>
      </w:r>
      <w:proofErr w:type="spellStart"/>
      <w:r>
        <w:rPr>
          <w:rFonts w:eastAsia="Times New Roman" w:cs="Times New Roman"/>
          <w:i/>
          <w:iCs/>
        </w:rPr>
        <w:t>beccarii</w:t>
      </w:r>
      <w:proofErr w:type="spellEnd"/>
      <w:r>
        <w:rPr>
          <w:rFonts w:eastAsia="Times New Roman" w:cs="Times New Roman"/>
        </w:rPr>
        <w:t xml:space="preserve"> may maintain a relatively steady baseline capacity for uptake and </w:t>
      </w:r>
      <w:r>
        <w:rPr>
          <w:rFonts w:eastAsia="Times New Roman" w:cs="Times New Roman"/>
        </w:rPr>
        <w:lastRenderedPageBreak/>
        <w:t>processing of ant-derived nitrogen, consistent with the ubiquitous presence of a specialised ant partner depositing nutrients in the same way in warty cavities (Huxley, 1978; Chomicki and Renner, 2019).</w:t>
      </w:r>
    </w:p>
    <w:p w14:paraId="00000265" w14:textId="17ACC9DD" w:rsidR="00E420E3" w:rsidRDefault="008E5528" w:rsidP="003F378E">
      <w:pPr>
        <w:rPr>
          <w:rFonts w:eastAsia="Times New Roman" w:cs="Times New Roman"/>
        </w:rPr>
      </w:pPr>
      <w:bookmarkStart w:id="119" w:name="_heading=h.atcdsbmb4wyk" w:colFirst="0" w:colLast="0"/>
      <w:bookmarkEnd w:id="119"/>
      <w:r>
        <w:rPr>
          <w:rFonts w:eastAsia="Times New Roman" w:cs="Times New Roman"/>
        </w:rPr>
        <w:t xml:space="preserve">Two additional considerations are important. First, ant-derived nitrogen in ant-house systems can be modulated by microbial communities within domatia, including fungi that recycle and transform deposited substrates (Huxley, 1978; Leroy et al., 2011; </w:t>
      </w:r>
      <w:proofErr w:type="spellStart"/>
      <w:r>
        <w:rPr>
          <w:rFonts w:eastAsia="Times New Roman" w:cs="Times New Roman"/>
        </w:rPr>
        <w:t>Defossez</w:t>
      </w:r>
      <w:proofErr w:type="spellEnd"/>
      <w:r>
        <w:rPr>
          <w:rFonts w:eastAsia="Times New Roman" w:cs="Times New Roman"/>
        </w:rPr>
        <w:t xml:space="preserve"> et al., 2011; Mayer et al., 2014; Nepel et al., 2022). Thus, it is plausible that such microbial communities play an additional modulation role in addition to the plant's transcriptomic responses. A related point concerns the nature of ant faeces nitrogen forms and the possible roles of the domatium microbial communities in converting nitrogen compounds from ant faeces into distinct chemical nitrogen forms. Thus, more work on the potential role of the domatium microbiome in remodelling the available nitrogen chemical forms and how this may affect nitrogen uptake in epiphytic ant plants is needed.</w:t>
      </w:r>
    </w:p>
    <w:p w14:paraId="00000266" w14:textId="77777777" w:rsidR="00E420E3" w:rsidRDefault="008E5528" w:rsidP="00A97025">
      <w:pPr>
        <w:pStyle w:val="Heading4"/>
      </w:pPr>
      <w:bookmarkStart w:id="120" w:name="_heading=h.3mgbmdupjqfs" w:colFirst="0" w:colLast="0"/>
      <w:bookmarkStart w:id="121" w:name="_Toc235393023"/>
      <w:bookmarkEnd w:id="120"/>
      <w:r>
        <w:t>4.5.4 Defence gene expression at the domatium nutrient-exchange interface</w:t>
      </w:r>
      <w:bookmarkEnd w:id="121"/>
    </w:p>
    <w:p w14:paraId="46896A3E" w14:textId="77777777" w:rsidR="00A97025" w:rsidRDefault="008E5528" w:rsidP="003F378E">
      <w:pPr>
        <w:rPr>
          <w:rFonts w:eastAsia="Times New Roman" w:cs="Times New Roman"/>
        </w:rPr>
      </w:pPr>
      <w:bookmarkStart w:id="122" w:name="_heading=h.p3f5n0ymm7nq" w:colFirst="0" w:colLast="0"/>
      <w:bookmarkEnd w:id="122"/>
      <w:r>
        <w:rPr>
          <w:rFonts w:eastAsia="Times New Roman" w:cs="Times New Roman"/>
        </w:rPr>
        <w:t xml:space="preserve">In both </w:t>
      </w:r>
      <w:proofErr w:type="spellStart"/>
      <w:r>
        <w:rPr>
          <w:rFonts w:eastAsia="Times New Roman" w:cs="Times New Roman"/>
          <w:i/>
          <w:iCs/>
        </w:rPr>
        <w:t>Hydnophytum</w:t>
      </w:r>
      <w:proofErr w:type="spellEnd"/>
      <w:r>
        <w:rPr>
          <w:rFonts w:eastAsia="Times New Roman" w:cs="Times New Roman"/>
          <w:i/>
          <w:iCs/>
        </w:rPr>
        <w:t xml:space="preserve"> </w:t>
      </w:r>
      <w:proofErr w:type="spellStart"/>
      <w:r>
        <w:rPr>
          <w:rFonts w:eastAsia="Times New Roman" w:cs="Times New Roman"/>
          <w:i/>
          <w:iCs/>
        </w:rPr>
        <w:t>moseleyanum</w:t>
      </w:r>
      <w:proofErr w:type="spellEnd"/>
      <w:r>
        <w:rPr>
          <w:rFonts w:eastAsia="Times New Roman" w:cs="Times New Roman"/>
        </w:rPr>
        <w:t xml:space="preserve"> and </w:t>
      </w:r>
      <w:proofErr w:type="spellStart"/>
      <w:r>
        <w:rPr>
          <w:rFonts w:eastAsia="Times New Roman" w:cs="Times New Roman"/>
          <w:i/>
          <w:iCs/>
        </w:rPr>
        <w:t>Myrmecodia</w:t>
      </w:r>
      <w:proofErr w:type="spellEnd"/>
      <w:r>
        <w:rPr>
          <w:rFonts w:eastAsia="Times New Roman" w:cs="Times New Roman"/>
          <w:i/>
          <w:iCs/>
        </w:rPr>
        <w:t xml:space="preserve"> </w:t>
      </w:r>
      <w:proofErr w:type="spellStart"/>
      <w:r>
        <w:rPr>
          <w:rFonts w:eastAsia="Times New Roman" w:cs="Times New Roman"/>
          <w:i/>
          <w:iCs/>
        </w:rPr>
        <w:t>beccarii</w:t>
      </w:r>
      <w:proofErr w:type="spellEnd"/>
      <w:r>
        <w:rPr>
          <w:rFonts w:eastAsia="Times New Roman" w:cs="Times New Roman"/>
        </w:rPr>
        <w:t xml:space="preserve">, ant presence was associated with differential expression of several genes with plausible roles in immune signalling, antimicrobial defence, oxidative stress management, and secondary metabolism in warty (absorptive) domatium tissues. </w:t>
      </w:r>
    </w:p>
    <w:p w14:paraId="4E28B8D2" w14:textId="0B473A04" w:rsidR="00A97025" w:rsidRDefault="008E5528" w:rsidP="003F378E">
      <w:pPr>
        <w:rPr>
          <w:rFonts w:eastAsia="Times New Roman" w:cs="Times New Roman"/>
        </w:rPr>
      </w:pPr>
      <w:r>
        <w:rPr>
          <w:rFonts w:eastAsia="Times New Roman" w:cs="Times New Roman"/>
        </w:rPr>
        <w:t xml:space="preserve">In </w:t>
      </w:r>
      <w:r>
        <w:rPr>
          <w:rFonts w:eastAsia="Times New Roman" w:cs="Times New Roman"/>
          <w:i/>
          <w:iCs/>
        </w:rPr>
        <w:t xml:space="preserve">H. </w:t>
      </w:r>
      <w:proofErr w:type="spellStart"/>
      <w:r>
        <w:rPr>
          <w:rFonts w:eastAsia="Times New Roman" w:cs="Times New Roman"/>
          <w:i/>
          <w:iCs/>
        </w:rPr>
        <w:t>moseleyanum</w:t>
      </w:r>
      <w:proofErr w:type="spellEnd"/>
      <w:r>
        <w:rPr>
          <w:rFonts w:eastAsia="Times New Roman" w:cs="Times New Roman"/>
        </w:rPr>
        <w:t>, ant presence was associated with upregulation of an NPR1-interacting gene alongside increased expression of a PDR-type ABC transporter and a multicopper oxidase, while a gamma-</w:t>
      </w:r>
      <w:proofErr w:type="spellStart"/>
      <w:r>
        <w:rPr>
          <w:rFonts w:eastAsia="Times New Roman" w:cs="Times New Roman"/>
        </w:rPr>
        <w:t>thionin</w:t>
      </w:r>
      <w:proofErr w:type="spellEnd"/>
      <w:r>
        <w:rPr>
          <w:rFonts w:eastAsia="Times New Roman" w:cs="Times New Roman"/>
        </w:rPr>
        <w:t xml:space="preserve">/defensin and at least one cytochrome P450 candidate were downregulated. </w:t>
      </w:r>
    </w:p>
    <w:p w14:paraId="27E0413C" w14:textId="77777777" w:rsidR="00A97025" w:rsidRDefault="008E5528" w:rsidP="003F378E">
      <w:pPr>
        <w:rPr>
          <w:rFonts w:eastAsia="Times New Roman" w:cs="Times New Roman"/>
        </w:rPr>
      </w:pPr>
      <w:r w:rsidRPr="00A97025">
        <w:rPr>
          <w:rFonts w:eastAsia="Times New Roman" w:cs="Times New Roman"/>
        </w:rPr>
        <w:t xml:space="preserve">In </w:t>
      </w:r>
      <w:r w:rsidRPr="00A97025">
        <w:rPr>
          <w:rFonts w:eastAsia="Times New Roman" w:cs="Times New Roman"/>
          <w:i/>
          <w:iCs/>
        </w:rPr>
        <w:t xml:space="preserve">M. </w:t>
      </w:r>
      <w:proofErr w:type="spellStart"/>
      <w:r w:rsidRPr="00A97025">
        <w:rPr>
          <w:rFonts w:eastAsia="Times New Roman" w:cs="Times New Roman"/>
          <w:i/>
          <w:iCs/>
        </w:rPr>
        <w:t>beccarii</w:t>
      </w:r>
      <w:proofErr w:type="spellEnd"/>
      <w:r w:rsidRPr="00A97025">
        <w:rPr>
          <w:rFonts w:eastAsia="Times New Roman" w:cs="Times New Roman"/>
        </w:rPr>
        <w:t xml:space="preserve">, the ant effect was weaker overall but included shifts in multiple cytochrome P450 candidates involved in oxidative stress and secondary metabolism and upregulation of a mannose-binding lectin candidate, implicated in pathogen recognition and immune signalling, a weakly ant-associated allene oxide cyclase-like candidate involved in </w:t>
      </w:r>
      <w:proofErr w:type="spellStart"/>
      <w:r w:rsidRPr="00A97025">
        <w:rPr>
          <w:rFonts w:eastAsia="Times New Roman" w:cs="Times New Roman"/>
        </w:rPr>
        <w:t>jasmonate</w:t>
      </w:r>
      <w:proofErr w:type="spellEnd"/>
      <w:r w:rsidRPr="00A97025">
        <w:rPr>
          <w:rFonts w:eastAsia="Times New Roman" w:cs="Times New Roman"/>
        </w:rPr>
        <w:t xml:space="preserve"> biosynthesis and wound response, and a UDP-glucuronosyltransferase candidate involved in detoxification and cell wall modification. </w:t>
      </w:r>
    </w:p>
    <w:p w14:paraId="00000267" w14:textId="20BDAE9B" w:rsidR="00E420E3" w:rsidRDefault="008E5528" w:rsidP="003F378E">
      <w:pPr>
        <w:rPr>
          <w:rFonts w:eastAsia="Times New Roman" w:cs="Times New Roman"/>
        </w:rPr>
      </w:pPr>
      <w:r>
        <w:rPr>
          <w:rFonts w:eastAsia="Times New Roman" w:cs="Times New Roman"/>
        </w:rPr>
        <w:t>Taken together, these patterns suggest that even where nitrogen-uptake genes are relatively constitutive, ant occupancy can still be accompanied by targeted transcriptional changes consistent with interface protection and/or immunomodulation at the domatium surface.</w:t>
      </w:r>
    </w:p>
    <w:p w14:paraId="094B99B9" w14:textId="77777777" w:rsidR="00A97025" w:rsidRDefault="008E5528" w:rsidP="003F378E">
      <w:pPr>
        <w:rPr>
          <w:rFonts w:eastAsia="Times New Roman" w:cs="Times New Roman"/>
        </w:rPr>
      </w:pPr>
      <w:bookmarkStart w:id="123" w:name="_heading=h.734qkzxqmfga" w:colFirst="0" w:colLast="0"/>
      <w:bookmarkEnd w:id="123"/>
      <w:r>
        <w:rPr>
          <w:rFonts w:eastAsia="Times New Roman" w:cs="Times New Roman"/>
        </w:rPr>
        <w:lastRenderedPageBreak/>
        <w:t>This makes functional sense in ant-plant systems because the domatium wall is simultaneously a nutrient uptake surface and a persistent exposure interface: the nutrient interface implies permeability, and ant inputs concentrate organic matter and moisture that likely elevate microbial opportunity</w:t>
      </w:r>
      <w:r w:rsidRPr="00A97025">
        <w:rPr>
          <w:rFonts w:eastAsia="Times New Roman" w:cs="Times New Roman"/>
        </w:rPr>
        <w:t xml:space="preserve">, creating selection for tight immune management. Unlike nitrogen uptake, which in obligate species can be constitutively maintained given the reliable presence of a specialised ant partner, defence gene expression may need to remain responsive rather than constitutive because the nature and intensity of microbial challenge at the domatium surface with variation with ant colony size, detritus load, and seasonal conditions requiring a responsive rather than fixed transcriptional response. </w:t>
      </w:r>
    </w:p>
    <w:p w14:paraId="3F4204D0" w14:textId="77777777" w:rsidR="00A97025" w:rsidRDefault="008E5528" w:rsidP="003F378E">
      <w:pPr>
        <w:rPr>
          <w:rFonts w:eastAsia="Times New Roman" w:cs="Times New Roman"/>
        </w:rPr>
      </w:pPr>
      <w:r w:rsidRPr="00A97025">
        <w:rPr>
          <w:rFonts w:eastAsia="Times New Roman" w:cs="Times New Roman"/>
        </w:rPr>
        <w:t>T</w:t>
      </w:r>
      <w:r>
        <w:rPr>
          <w:rFonts w:eastAsia="Times New Roman" w:cs="Times New Roman"/>
        </w:rPr>
        <w:t xml:space="preserve">he same pattern has been shown in the warty walls of the obligate </w:t>
      </w:r>
      <w:proofErr w:type="spellStart"/>
      <w:r>
        <w:rPr>
          <w:rFonts w:eastAsia="Times New Roman" w:cs="Times New Roman"/>
        </w:rPr>
        <w:t>Hydnophytinae</w:t>
      </w:r>
      <w:proofErr w:type="spellEnd"/>
      <w:r>
        <w:rPr>
          <w:rFonts w:eastAsia="Times New Roman" w:cs="Times New Roman"/>
        </w:rPr>
        <w:t xml:space="preserve"> ant </w:t>
      </w:r>
      <w:proofErr w:type="spellStart"/>
      <w:r>
        <w:rPr>
          <w:rFonts w:eastAsia="Times New Roman" w:cs="Times New Roman"/>
          <w:i/>
          <w:iCs/>
        </w:rPr>
        <w:t>Squamellaria</w:t>
      </w:r>
      <w:proofErr w:type="spellEnd"/>
      <w:r>
        <w:rPr>
          <w:rFonts w:eastAsia="Times New Roman" w:cs="Times New Roman"/>
          <w:i/>
          <w:iCs/>
        </w:rPr>
        <w:t xml:space="preserve"> </w:t>
      </w:r>
      <w:proofErr w:type="spellStart"/>
      <w:r>
        <w:rPr>
          <w:rFonts w:eastAsia="Times New Roman" w:cs="Times New Roman"/>
          <w:i/>
          <w:iCs/>
        </w:rPr>
        <w:t>imberbis</w:t>
      </w:r>
      <w:proofErr w:type="spellEnd"/>
      <w:r>
        <w:rPr>
          <w:rFonts w:eastAsia="Times New Roman" w:cs="Times New Roman"/>
        </w:rPr>
        <w:t xml:space="preserve">, which show transcriptomic enrichment not only for uptake-related functions but also for defence/stress-associated signatures, consistent with protecting a permeable exchange surface (Pu et al., 2021). More broadly, domatia are repeatedly interpreted as symbiotic organs where 'housing', nutrient routing and defence intersect, with evidence that different wall types can partition barrier functions from exchange functions (Chomicki et al., 2024). </w:t>
      </w:r>
    </w:p>
    <w:p w14:paraId="00000268" w14:textId="34551637" w:rsidR="00E420E3" w:rsidRPr="00A97025" w:rsidRDefault="008E5528" w:rsidP="003F378E">
      <w:pPr>
        <w:rPr>
          <w:rFonts w:eastAsia="Times New Roman" w:cs="Times New Roman"/>
        </w:rPr>
      </w:pPr>
      <w:r w:rsidRPr="00A97025">
        <w:rPr>
          <w:rFonts w:eastAsia="Times New Roman" w:cs="Times New Roman"/>
        </w:rPr>
        <w:t>Consistent with this, our data show that defence-related genes were more strongly differentially expressed in warty tissues (primary exchange surface) than in smooth tissues (see results), suggesting that the absorptive warty interface carries a greater immune management burden than the smooth brood-rearing surface. More work is needed to characterise the direct role of defence gene expression at the domatium interface of facultative and obligate ant-plants.</w:t>
      </w:r>
    </w:p>
    <w:p w14:paraId="00000269" w14:textId="77777777" w:rsidR="00E420E3" w:rsidRDefault="008E5528" w:rsidP="00A97025">
      <w:pPr>
        <w:pStyle w:val="Heading4"/>
      </w:pPr>
      <w:bookmarkStart w:id="124" w:name="_heading=h.7syw6kx9rn5v" w:colFirst="0" w:colLast="0"/>
      <w:bookmarkStart w:id="125" w:name="_Toc235393024"/>
      <w:bookmarkEnd w:id="124"/>
      <w:r>
        <w:t>4.5.5 Limitations and future directions</w:t>
      </w:r>
      <w:bookmarkEnd w:id="125"/>
    </w:p>
    <w:p w14:paraId="500142ED" w14:textId="72D236AD" w:rsidR="000B6D72" w:rsidRDefault="008E5528" w:rsidP="003F378E">
      <w:pPr>
        <w:rPr>
          <w:rFonts w:eastAsia="Times New Roman" w:cs="Times New Roman"/>
        </w:rPr>
      </w:pPr>
      <w:bookmarkStart w:id="126" w:name="_heading=h.a901qzk3g0va" w:colFirst="0" w:colLast="0"/>
      <w:bookmarkEnd w:id="126"/>
      <w:r>
        <w:rPr>
          <w:rFonts w:eastAsia="Times New Roman" w:cs="Times New Roman"/>
        </w:rPr>
        <w:t xml:space="preserve">This study yielded important new insights on </w:t>
      </w:r>
      <w:r w:rsidR="009F23E6">
        <w:rPr>
          <w:rFonts w:eastAsia="Times New Roman" w:cs="Times New Roman"/>
        </w:rPr>
        <w:t>ant-plant</w:t>
      </w:r>
      <w:r>
        <w:rPr>
          <w:rFonts w:eastAsia="Times New Roman" w:cs="Times New Roman"/>
        </w:rPr>
        <w:t xml:space="preserve"> nutritional physiology and how it differs in facultative and generalist versus obligate and speciali</w:t>
      </w:r>
      <w:r w:rsidR="00A97025">
        <w:rPr>
          <w:rFonts w:eastAsia="Times New Roman" w:cs="Times New Roman"/>
        </w:rPr>
        <w:t>s</w:t>
      </w:r>
      <w:r>
        <w:rPr>
          <w:rFonts w:eastAsia="Times New Roman" w:cs="Times New Roman"/>
        </w:rPr>
        <w:t xml:space="preserve">ed </w:t>
      </w:r>
      <w:r w:rsidR="009F23E6">
        <w:rPr>
          <w:rFonts w:eastAsia="Times New Roman" w:cs="Times New Roman"/>
        </w:rPr>
        <w:t>ant-plant</w:t>
      </w:r>
      <w:r>
        <w:rPr>
          <w:rFonts w:eastAsia="Times New Roman" w:cs="Times New Roman"/>
        </w:rPr>
        <w:t xml:space="preserve">s. However, there are also several limitations of the current dataset that needs to be discussed, and which paves the way to future work. </w:t>
      </w:r>
    </w:p>
    <w:p w14:paraId="266FA20D" w14:textId="77777777" w:rsidR="000B6D72" w:rsidRDefault="008E5528" w:rsidP="003F378E">
      <w:pPr>
        <w:rPr>
          <w:rFonts w:eastAsia="Times New Roman" w:cs="Times New Roman"/>
        </w:rPr>
      </w:pPr>
      <w:r>
        <w:rPr>
          <w:rFonts w:eastAsia="Times New Roman" w:cs="Times New Roman"/>
        </w:rPr>
        <w:t xml:space="preserve">First, changes in the transcript abundance of nitrogen-related genes can be interpreted as a shift in potential capacity, but not as direct evidence of increased or decreased uptake. Coupling expression data with 15N tracer experiments in distinct ant context would provide this link. However, this is not a straightforward experiment to do, since approaches to test the uptake capacity requires to inject distinct 15N molecules with distinct concentrations (e.g. </w:t>
      </w:r>
      <w:proofErr w:type="spellStart"/>
      <w:r>
        <w:rPr>
          <w:rFonts w:eastAsia="Times New Roman" w:cs="Times New Roman"/>
        </w:rPr>
        <w:t>Gegenbauer</w:t>
      </w:r>
      <w:proofErr w:type="spellEnd"/>
      <w:r>
        <w:rPr>
          <w:rFonts w:eastAsia="Times New Roman" w:cs="Times New Roman"/>
        </w:rPr>
        <w:t xml:space="preserve"> </w:t>
      </w:r>
      <w:r>
        <w:rPr>
          <w:rFonts w:eastAsia="Times New Roman" w:cs="Times New Roman"/>
        </w:rPr>
        <w:lastRenderedPageBreak/>
        <w:t xml:space="preserve">et al., 2012; Chomicki and Renner, 2019), which requires a large sample size, but also could directly affect gene expression itself. </w:t>
      </w:r>
    </w:p>
    <w:p w14:paraId="1513D621" w14:textId="77777777" w:rsidR="000B6D72" w:rsidRDefault="008E5528" w:rsidP="003F378E">
      <w:pPr>
        <w:rPr>
          <w:rFonts w:eastAsia="Times New Roman" w:cs="Times New Roman"/>
        </w:rPr>
      </w:pPr>
      <w:r>
        <w:rPr>
          <w:rFonts w:eastAsia="Times New Roman" w:cs="Times New Roman"/>
        </w:rPr>
        <w:t xml:space="preserve">As noted above, another important factor concerns the type of nitrogen chemical form provided in ant faeces, and how they might be reshaped by the domatium microbiomes. Identifying the microbiome and determining its metabolic potential via metagenomics and experiments would allow it to determine how it might reshape nitrogen forms inside domatia. So far, fungi and actinomycetes have been reported from </w:t>
      </w:r>
      <w:proofErr w:type="spellStart"/>
      <w:r>
        <w:rPr>
          <w:rFonts w:eastAsia="Times New Roman" w:cs="Times New Roman"/>
        </w:rPr>
        <w:t>Hydnophytinae</w:t>
      </w:r>
      <w:proofErr w:type="spellEnd"/>
      <w:r>
        <w:rPr>
          <w:rFonts w:eastAsia="Times New Roman" w:cs="Times New Roman"/>
        </w:rPr>
        <w:t xml:space="preserve"> ant plants (Huxley, 1978; Diarra and Osborne-Naikatini, 2023), but their functional importance is still unknown. </w:t>
      </w:r>
    </w:p>
    <w:p w14:paraId="0000026A" w14:textId="23A892C8" w:rsidR="00E420E3" w:rsidRDefault="008E5528" w:rsidP="003F378E">
      <w:pPr>
        <w:rPr>
          <w:rFonts w:eastAsia="Times New Roman" w:cs="Times New Roman"/>
        </w:rPr>
      </w:pPr>
      <w:r>
        <w:rPr>
          <w:rFonts w:eastAsia="Times New Roman" w:cs="Times New Roman"/>
        </w:rPr>
        <w:t>Finally, the experimental approach used ghost ants (</w:t>
      </w:r>
      <w:r>
        <w:rPr>
          <w:rFonts w:eastAsia="Times New Roman" w:cs="Times New Roman"/>
          <w:i/>
          <w:iCs/>
        </w:rPr>
        <w:t xml:space="preserve">Tapinoma </w:t>
      </w:r>
      <w:proofErr w:type="spellStart"/>
      <w:r>
        <w:rPr>
          <w:rFonts w:eastAsia="Times New Roman" w:cs="Times New Roman"/>
          <w:i/>
          <w:iCs/>
        </w:rPr>
        <w:t>melanocephalum</w:t>
      </w:r>
      <w:proofErr w:type="spellEnd"/>
      <w:r>
        <w:rPr>
          <w:rFonts w:eastAsia="Times New Roman" w:cs="Times New Roman"/>
        </w:rPr>
        <w:t xml:space="preserve">) in both </w:t>
      </w:r>
      <w:proofErr w:type="spellStart"/>
      <w:r>
        <w:rPr>
          <w:rFonts w:eastAsia="Times New Roman" w:cs="Times New Roman"/>
          <w:i/>
          <w:iCs/>
        </w:rPr>
        <w:t>Hydnophytum</w:t>
      </w:r>
      <w:proofErr w:type="spellEnd"/>
      <w:r>
        <w:rPr>
          <w:rFonts w:eastAsia="Times New Roman" w:cs="Times New Roman"/>
          <w:i/>
          <w:iCs/>
        </w:rPr>
        <w:t xml:space="preserve"> </w:t>
      </w:r>
      <w:proofErr w:type="spellStart"/>
      <w:r>
        <w:rPr>
          <w:rFonts w:eastAsia="Times New Roman" w:cs="Times New Roman"/>
          <w:i/>
          <w:iCs/>
        </w:rPr>
        <w:t>moseleyanum</w:t>
      </w:r>
      <w:proofErr w:type="spellEnd"/>
      <w:r>
        <w:rPr>
          <w:rFonts w:eastAsia="Times New Roman" w:cs="Times New Roman"/>
        </w:rPr>
        <w:t xml:space="preserve"> and </w:t>
      </w:r>
      <w:proofErr w:type="spellStart"/>
      <w:r>
        <w:rPr>
          <w:rFonts w:eastAsia="Times New Roman" w:cs="Times New Roman"/>
          <w:i/>
          <w:iCs/>
        </w:rPr>
        <w:t>Myrmecodia</w:t>
      </w:r>
      <w:proofErr w:type="spellEnd"/>
      <w:r>
        <w:rPr>
          <w:rFonts w:eastAsia="Times New Roman" w:cs="Times New Roman"/>
          <w:i/>
          <w:iCs/>
        </w:rPr>
        <w:t xml:space="preserve"> </w:t>
      </w:r>
      <w:proofErr w:type="spellStart"/>
      <w:r>
        <w:rPr>
          <w:rFonts w:eastAsia="Times New Roman" w:cs="Times New Roman"/>
          <w:i/>
          <w:iCs/>
        </w:rPr>
        <w:t>beccarii</w:t>
      </w:r>
      <w:proofErr w:type="spellEnd"/>
      <w:r>
        <w:rPr>
          <w:rFonts w:eastAsia="Times New Roman" w:cs="Times New Roman"/>
        </w:rPr>
        <w:t xml:space="preserve"> to ensure that ant species was not a factor of variation across species. Results from 15N feeding assays reported in Chapter 3 showed that they were highly consistent with responses from facultative vs. obligate ant-plants obtained by experiments performed in the natural environment (Chomicki and Renner, 2019). But it is worth noting that this ant species is not the natural partner of any of these ant-plants.</w:t>
      </w:r>
    </w:p>
    <w:p w14:paraId="0000026B" w14:textId="77777777" w:rsidR="00E420E3" w:rsidRDefault="008E5528" w:rsidP="000B6D72">
      <w:pPr>
        <w:pStyle w:val="Heading3"/>
      </w:pPr>
      <w:bookmarkStart w:id="127" w:name="_heading=h.6wvgzfdo98je" w:colFirst="0" w:colLast="0"/>
      <w:bookmarkStart w:id="128" w:name="_Toc235393025"/>
      <w:bookmarkEnd w:id="127"/>
      <w:r>
        <w:t>4.6 Conclusion</w:t>
      </w:r>
      <w:bookmarkEnd w:id="128"/>
    </w:p>
    <w:p w14:paraId="7F53E3EC" w14:textId="77777777" w:rsidR="00516141" w:rsidRDefault="008E5528" w:rsidP="003F378E">
      <w:pPr>
        <w:rPr>
          <w:rFonts w:eastAsia="Times New Roman" w:cs="Times New Roman"/>
        </w:rPr>
      </w:pPr>
      <w:bookmarkStart w:id="129" w:name="_heading=h.nmexvbz7nqd0" w:colFirst="0" w:colLast="0"/>
      <w:bookmarkEnd w:id="129"/>
      <w:r w:rsidRPr="000B6D72">
        <w:rPr>
          <w:rFonts w:eastAsia="Times New Roman" w:cs="Times New Roman"/>
        </w:rPr>
        <w:t xml:space="preserve">This chapter supports the view that ant occupancy reshapes nitrogen-related gene expression in a tissue-structured manner that differs fundamentally between facultative and obligate ant-plants. In the facultative </w:t>
      </w:r>
      <w:r w:rsidRPr="000B6D72">
        <w:rPr>
          <w:rFonts w:eastAsia="Times New Roman" w:cs="Times New Roman"/>
          <w:i/>
          <w:iCs/>
        </w:rPr>
        <w:t xml:space="preserve">H. </w:t>
      </w:r>
      <w:proofErr w:type="spellStart"/>
      <w:r w:rsidRPr="000B6D72">
        <w:rPr>
          <w:rFonts w:eastAsia="Times New Roman" w:cs="Times New Roman"/>
          <w:i/>
          <w:iCs/>
        </w:rPr>
        <w:t>moseleyanum</w:t>
      </w:r>
      <w:proofErr w:type="spellEnd"/>
      <w:r w:rsidRPr="000B6D72">
        <w:rPr>
          <w:rFonts w:eastAsia="Times New Roman" w:cs="Times New Roman"/>
        </w:rPr>
        <w:t xml:space="preserve">, domatium-associated tissues show the clearest ant-linked shifts, consistent with domatia adapting their nutrient-acquisition interfaces to the temporally and spatially variable ant presence. In </w:t>
      </w:r>
      <w:r w:rsidRPr="000B6D72">
        <w:rPr>
          <w:rFonts w:eastAsia="Times New Roman" w:cs="Times New Roman"/>
          <w:i/>
          <w:iCs/>
        </w:rPr>
        <w:t xml:space="preserve">M. </w:t>
      </w:r>
      <w:proofErr w:type="spellStart"/>
      <w:r w:rsidRPr="000B6D72">
        <w:rPr>
          <w:rFonts w:eastAsia="Times New Roman" w:cs="Times New Roman"/>
          <w:i/>
          <w:iCs/>
        </w:rPr>
        <w:t>beccarii</w:t>
      </w:r>
      <w:proofErr w:type="spellEnd"/>
      <w:r w:rsidRPr="000B6D72">
        <w:rPr>
          <w:rFonts w:eastAsia="Times New Roman" w:cs="Times New Roman"/>
        </w:rPr>
        <w:t xml:space="preserve">, the constitutive expression of many nitrogen-uptake genes is consistent with the continuous and reliable presence of an ant partner. </w:t>
      </w:r>
    </w:p>
    <w:p w14:paraId="6BF9A478" w14:textId="77777777" w:rsidR="00516141" w:rsidRDefault="008E5528" w:rsidP="003F378E">
      <w:pPr>
        <w:rPr>
          <w:rFonts w:eastAsia="Times New Roman" w:cs="Times New Roman"/>
        </w:rPr>
      </w:pPr>
      <w:r w:rsidRPr="000B6D72">
        <w:rPr>
          <w:rFonts w:eastAsia="Times New Roman" w:cs="Times New Roman"/>
        </w:rPr>
        <w:t xml:space="preserve">As defined earlier, </w:t>
      </w:r>
      <w:r w:rsidRPr="000B6D72">
        <w:rPr>
          <w:rFonts w:eastAsia="Times New Roman" w:cs="Times New Roman"/>
          <w:i/>
          <w:iCs/>
        </w:rPr>
        <w:t xml:space="preserve">M. </w:t>
      </w:r>
      <w:proofErr w:type="spellStart"/>
      <w:r w:rsidRPr="000B6D72">
        <w:rPr>
          <w:rFonts w:eastAsia="Times New Roman" w:cs="Times New Roman"/>
          <w:i/>
          <w:iCs/>
        </w:rPr>
        <w:t>beccarii</w:t>
      </w:r>
      <w:proofErr w:type="spellEnd"/>
      <w:r w:rsidRPr="000B6D72">
        <w:rPr>
          <w:rFonts w:eastAsia="Times New Roman" w:cs="Times New Roman"/>
        </w:rPr>
        <w:t xml:space="preserve"> is here referred to as specialist because it forms an exclusive association with </w:t>
      </w:r>
      <w:proofErr w:type="spellStart"/>
      <w:r w:rsidRPr="000B6D72">
        <w:rPr>
          <w:rFonts w:eastAsia="Times New Roman" w:cs="Times New Roman"/>
          <w:i/>
          <w:iCs/>
        </w:rPr>
        <w:t>Philidris</w:t>
      </w:r>
      <w:proofErr w:type="spellEnd"/>
      <w:r w:rsidRPr="000B6D72">
        <w:rPr>
          <w:rFonts w:eastAsia="Times New Roman" w:cs="Times New Roman"/>
          <w:i/>
          <w:iCs/>
        </w:rPr>
        <w:t xml:space="preserve"> cordata</w:t>
      </w:r>
      <w:r w:rsidRPr="000B6D72">
        <w:rPr>
          <w:rFonts w:eastAsia="Times New Roman" w:cs="Times New Roman"/>
        </w:rPr>
        <w:t xml:space="preserve"> in nature; however, it is the reliability of ant presence rather than the identity of the partner that is predicted to select for constitutive rather than inducible expression. It is worth noting that ant-plants may not rely on fundamentally novel nitrogen physiology; instead, they appear to redeploy conserved plant nitrogen pathways at an anatomically and ecologically specialised interface generated by the mutualism with ants. Ideally, this claim would be supported by comparing gene expression in a closely related non-myrmecophytic plant to confirm that the same gene families are expressed in the absence of ants. </w:t>
      </w:r>
    </w:p>
    <w:p w14:paraId="0000026C" w14:textId="505BC74D" w:rsidR="00E420E3" w:rsidRPr="000B6D72" w:rsidRDefault="008E5528" w:rsidP="003F378E">
      <w:pPr>
        <w:rPr>
          <w:rFonts w:eastAsia="Times New Roman" w:cs="Times New Roman"/>
        </w:rPr>
      </w:pPr>
      <w:r w:rsidRPr="000B6D72">
        <w:rPr>
          <w:rFonts w:eastAsia="Times New Roman" w:cs="Times New Roman"/>
        </w:rPr>
        <w:lastRenderedPageBreak/>
        <w:t>While such a comparison was beyond the scope of this study, the nitrogen transporter families identified here: NRT2, AMT and NAR2 are well-characterised conserved families in terrestrial plants (Glass et al., 2002; Krapp, 2014), supporting the interpretation that ant-plants have recruited rather than invented nitrogen acquisition machinery.</w:t>
      </w:r>
    </w:p>
    <w:p w14:paraId="08E4AB8F" w14:textId="77777777" w:rsidR="00741103" w:rsidRDefault="008E5528" w:rsidP="003F378E">
      <w:pPr>
        <w:rPr>
          <w:rFonts w:eastAsia="Times New Roman" w:cs="Times New Roman"/>
        </w:rPr>
      </w:pPr>
      <w:bookmarkStart w:id="130" w:name="_heading=h.9qfui6tk95br" w:colFirst="0" w:colLast="0"/>
      <w:bookmarkEnd w:id="130"/>
      <w:r w:rsidRPr="00573CA0">
        <w:rPr>
          <w:rFonts w:eastAsia="Times New Roman" w:cs="Times New Roman"/>
        </w:rPr>
        <w:t>This chapter unveils that evolutionary transitions from facultative to obligate ant association are mirrored by a shift from plastic, cue-responsive regulation to canalised, standing investment. Thus, while the nutrient acquisition genetic toolkit might not drive the evolution of obligate dependency, its expression plasticity appears essential to limit the costs associated with facultative symbioses, while once obligate dependence evolved, a less plastic, more constitutive response can evolve.</w:t>
      </w:r>
      <w:r>
        <w:rPr>
          <w:rFonts w:eastAsia="Times New Roman" w:cs="Times New Roman"/>
        </w:rPr>
        <w:t xml:space="preserve"> </w:t>
      </w:r>
    </w:p>
    <w:p w14:paraId="6E0E5577" w14:textId="77777777" w:rsidR="004D5D89" w:rsidRDefault="004D5D89" w:rsidP="003F378E"/>
    <w:p w14:paraId="7E294945" w14:textId="77777777" w:rsidR="00516141" w:rsidRDefault="00516141" w:rsidP="003F378E"/>
    <w:p w14:paraId="6BCD9DBD" w14:textId="77777777" w:rsidR="00516141" w:rsidRDefault="00516141" w:rsidP="003F378E"/>
    <w:p w14:paraId="2AAB592D" w14:textId="77777777" w:rsidR="00516141" w:rsidRDefault="00516141" w:rsidP="003F378E"/>
    <w:p w14:paraId="3F9BD7A8" w14:textId="77777777" w:rsidR="00516141" w:rsidRDefault="00516141" w:rsidP="003F378E"/>
    <w:p w14:paraId="0438A25A" w14:textId="77777777" w:rsidR="00516141" w:rsidRDefault="00516141" w:rsidP="003F378E"/>
    <w:p w14:paraId="55D91F5F" w14:textId="77777777" w:rsidR="00516141" w:rsidRDefault="00516141" w:rsidP="003F378E"/>
    <w:p w14:paraId="4C5291B9" w14:textId="77777777" w:rsidR="00516141" w:rsidRDefault="00516141" w:rsidP="003F378E"/>
    <w:p w14:paraId="0EFD83DB" w14:textId="77777777" w:rsidR="00516141" w:rsidRDefault="00516141" w:rsidP="003F378E"/>
    <w:p w14:paraId="6712C2B5" w14:textId="77777777" w:rsidR="00516141" w:rsidRDefault="00516141" w:rsidP="003F378E"/>
    <w:p w14:paraId="70F74D52" w14:textId="77777777" w:rsidR="00516141" w:rsidRDefault="00516141" w:rsidP="003F378E"/>
    <w:p w14:paraId="6D28BCD9" w14:textId="77777777" w:rsidR="00516141" w:rsidRDefault="00516141" w:rsidP="003F378E"/>
    <w:p w14:paraId="469EC94B" w14:textId="77777777" w:rsidR="00516141" w:rsidRDefault="00516141" w:rsidP="003F378E"/>
    <w:p w14:paraId="28378197" w14:textId="77777777" w:rsidR="00516141" w:rsidRPr="004D5D89" w:rsidRDefault="00516141" w:rsidP="003F378E"/>
    <w:p w14:paraId="13E91619" w14:textId="77777777" w:rsidR="003F6053" w:rsidRDefault="003F6053">
      <w:pPr>
        <w:pStyle w:val="Heading2"/>
        <w:keepNext w:val="0"/>
        <w:keepLines w:val="0"/>
        <w:widowControl w:val="0"/>
        <w:spacing w:line="344" w:lineRule="auto"/>
        <w:ind w:left="1441" w:right="350" w:firstLine="3"/>
        <w:rPr>
          <w:rFonts w:eastAsia="Times New Roman" w:cs="Times New Roman"/>
          <w:sz w:val="24"/>
          <w:szCs w:val="24"/>
        </w:rPr>
      </w:pPr>
    </w:p>
    <w:p w14:paraId="042AD9E6" w14:textId="77777777" w:rsidR="003F6053" w:rsidRDefault="003F6053">
      <w:pPr>
        <w:pStyle w:val="Heading2"/>
        <w:keepNext w:val="0"/>
        <w:keepLines w:val="0"/>
        <w:widowControl w:val="0"/>
        <w:spacing w:line="344" w:lineRule="auto"/>
        <w:ind w:left="1441" w:right="350" w:firstLine="3"/>
        <w:rPr>
          <w:rFonts w:eastAsia="Times New Roman" w:cs="Times New Roman"/>
          <w:sz w:val="24"/>
          <w:szCs w:val="24"/>
        </w:rPr>
      </w:pPr>
    </w:p>
    <w:p w14:paraId="7B343A47" w14:textId="77777777" w:rsidR="00070379" w:rsidRPr="00070379" w:rsidRDefault="00070379" w:rsidP="00070379">
      <w:pPr>
        <w:pStyle w:val="Heading3"/>
      </w:pPr>
      <w:bookmarkStart w:id="131" w:name="_Toc218339275"/>
      <w:bookmarkStart w:id="132" w:name="_Toc235393026"/>
      <w:r w:rsidRPr="00070379">
        <w:lastRenderedPageBreak/>
        <w:t>4.7. References</w:t>
      </w:r>
      <w:bookmarkEnd w:id="131"/>
      <w:bookmarkEnd w:id="132"/>
    </w:p>
    <w:p w14:paraId="1DACB540" w14:textId="453BB3AF" w:rsidR="00070379" w:rsidRPr="00E10A9D" w:rsidRDefault="00070379" w:rsidP="00070379">
      <w:pPr>
        <w:ind w:left="567" w:hanging="567"/>
        <w:rPr>
          <w:rFonts w:eastAsia="Times New Roman" w:cs="Times New Roman"/>
          <w:szCs w:val="24"/>
          <w:highlight w:val="white"/>
        </w:rPr>
      </w:pPr>
      <w:r w:rsidRPr="00E10A9D">
        <w:rPr>
          <w:rFonts w:eastAsia="Times New Roman" w:cs="Times New Roman"/>
          <w:szCs w:val="24"/>
          <w:highlight w:val="white"/>
        </w:rPr>
        <w:t>Afkhami, M.E., McIntyre, P.J.</w:t>
      </w:r>
      <w:r w:rsidR="00A45624">
        <w:rPr>
          <w:rFonts w:eastAsia="Times New Roman" w:cs="Times New Roman"/>
          <w:szCs w:val="24"/>
          <w:highlight w:val="white"/>
        </w:rPr>
        <w:t>,</w:t>
      </w:r>
      <w:r w:rsidRPr="00E10A9D">
        <w:rPr>
          <w:rFonts w:eastAsia="Times New Roman" w:cs="Times New Roman"/>
          <w:szCs w:val="24"/>
          <w:highlight w:val="white"/>
        </w:rPr>
        <w:t xml:space="preserve"> and Strauss, S.Y. (2014). Mutualist-mediated effects on species' range limits across large geographic scales. </w:t>
      </w:r>
      <w:r w:rsidRPr="00E10A9D">
        <w:rPr>
          <w:rFonts w:eastAsia="Times New Roman" w:cs="Times New Roman"/>
          <w:i/>
          <w:iCs/>
          <w:szCs w:val="24"/>
          <w:highlight w:val="white"/>
        </w:rPr>
        <w:t>Ecology Letters</w:t>
      </w:r>
      <w:r w:rsidRPr="00E10A9D">
        <w:rPr>
          <w:rFonts w:eastAsia="Times New Roman" w:cs="Times New Roman"/>
          <w:szCs w:val="24"/>
          <w:highlight w:val="white"/>
        </w:rPr>
        <w:t xml:space="preserve">, </w:t>
      </w:r>
      <w:r w:rsidRPr="00E10A9D">
        <w:rPr>
          <w:rFonts w:eastAsia="Times New Roman" w:cs="Times New Roman"/>
          <w:i/>
          <w:iCs/>
          <w:szCs w:val="24"/>
          <w:highlight w:val="white"/>
        </w:rPr>
        <w:t>17</w:t>
      </w:r>
      <w:r w:rsidRPr="00E10A9D">
        <w:rPr>
          <w:rFonts w:eastAsia="Times New Roman" w:cs="Times New Roman"/>
          <w:szCs w:val="24"/>
          <w:highlight w:val="white"/>
        </w:rPr>
        <w:t>(10), 1265–1273.</w:t>
      </w:r>
    </w:p>
    <w:p w14:paraId="05B20AAE" w14:textId="77777777" w:rsidR="00070379" w:rsidRPr="00E10A9D" w:rsidRDefault="00070379" w:rsidP="00070379">
      <w:pPr>
        <w:ind w:left="567" w:hanging="567"/>
        <w:rPr>
          <w:rFonts w:eastAsia="Times New Roman" w:cs="Times New Roman"/>
          <w:szCs w:val="24"/>
          <w:highlight w:val="white"/>
        </w:rPr>
      </w:pPr>
      <w:r w:rsidRPr="00E10A9D">
        <w:rPr>
          <w:rFonts w:eastAsia="Times New Roman" w:cs="Times New Roman"/>
          <w:szCs w:val="24"/>
          <w:highlight w:val="white"/>
        </w:rPr>
        <w:t>Benzing, D.H., Henderson, K., Kessel, B.</w:t>
      </w:r>
      <w:r>
        <w:rPr>
          <w:rFonts w:eastAsia="Times New Roman" w:cs="Times New Roman"/>
          <w:szCs w:val="24"/>
          <w:highlight w:val="white"/>
        </w:rPr>
        <w:t>,</w:t>
      </w:r>
      <w:r w:rsidRPr="00E10A9D">
        <w:rPr>
          <w:rFonts w:eastAsia="Times New Roman" w:cs="Times New Roman"/>
          <w:szCs w:val="24"/>
          <w:highlight w:val="white"/>
        </w:rPr>
        <w:t xml:space="preserve"> and Sulak, J. (1976). The absorptive capacities of bromeliad trichomes. </w:t>
      </w:r>
      <w:r w:rsidRPr="00E10A9D">
        <w:rPr>
          <w:rFonts w:eastAsia="Times New Roman" w:cs="Times New Roman"/>
          <w:i/>
          <w:iCs/>
          <w:szCs w:val="24"/>
          <w:highlight w:val="white"/>
        </w:rPr>
        <w:t>American Journal of Botany, 63</w:t>
      </w:r>
      <w:r w:rsidRPr="00E10A9D">
        <w:rPr>
          <w:rFonts w:eastAsia="Times New Roman" w:cs="Times New Roman"/>
          <w:szCs w:val="24"/>
          <w:highlight w:val="white"/>
        </w:rPr>
        <w:t>(7), 1009-1014.</w:t>
      </w:r>
    </w:p>
    <w:p w14:paraId="1A50720E" w14:textId="77777777" w:rsidR="00070379" w:rsidRPr="00E10A9D" w:rsidRDefault="00070379" w:rsidP="00070379">
      <w:pPr>
        <w:ind w:left="567" w:hanging="567"/>
        <w:rPr>
          <w:rFonts w:eastAsia="Times New Roman" w:cs="Times New Roman"/>
          <w:szCs w:val="24"/>
        </w:rPr>
      </w:pPr>
      <w:bookmarkStart w:id="133" w:name="_cwu9vaq2692i" w:colFirst="0" w:colLast="0"/>
      <w:bookmarkEnd w:id="133"/>
      <w:r w:rsidRPr="00E10A9D">
        <w:rPr>
          <w:rFonts w:eastAsia="Times New Roman" w:cs="Times New Roman"/>
          <w:szCs w:val="24"/>
        </w:rPr>
        <w:t xml:space="preserve">Bronstein, J.L. (1994). Our current understanding of mutualism. </w:t>
      </w:r>
      <w:r w:rsidRPr="00E10A9D">
        <w:rPr>
          <w:rFonts w:eastAsia="Times New Roman" w:cs="Times New Roman"/>
          <w:i/>
          <w:iCs/>
          <w:szCs w:val="24"/>
        </w:rPr>
        <w:t>The Quarterly Review of Biology, 69</w:t>
      </w:r>
      <w:r w:rsidRPr="00E10A9D">
        <w:rPr>
          <w:rFonts w:eastAsia="Times New Roman" w:cs="Times New Roman"/>
          <w:szCs w:val="24"/>
        </w:rPr>
        <w:t>(1), 31-51.</w:t>
      </w:r>
    </w:p>
    <w:p w14:paraId="1B344972" w14:textId="77777777"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Bronstein, J.L. (1998). The contribution of ant plant protection studies to our understanding of mutualism. </w:t>
      </w:r>
      <w:proofErr w:type="spellStart"/>
      <w:r w:rsidRPr="00E10A9D">
        <w:rPr>
          <w:rFonts w:eastAsia="Times New Roman" w:cs="Times New Roman"/>
          <w:i/>
          <w:iCs/>
          <w:szCs w:val="24"/>
        </w:rPr>
        <w:t>Biotropica</w:t>
      </w:r>
      <w:proofErr w:type="spellEnd"/>
      <w:r w:rsidRPr="00E10A9D">
        <w:rPr>
          <w:rFonts w:eastAsia="Times New Roman" w:cs="Times New Roman"/>
          <w:i/>
          <w:iCs/>
          <w:szCs w:val="24"/>
        </w:rPr>
        <w:t>, 30</w:t>
      </w:r>
      <w:r w:rsidRPr="00E10A9D">
        <w:rPr>
          <w:rFonts w:eastAsia="Times New Roman" w:cs="Times New Roman"/>
          <w:szCs w:val="24"/>
        </w:rPr>
        <w:t>(2), 150–61.</w:t>
      </w:r>
    </w:p>
    <w:p w14:paraId="3FF26365" w14:textId="77777777"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Bronstein, J.L. (2015). Mutualism, in Bronstein J.L. (ed.), </w:t>
      </w:r>
      <w:r w:rsidRPr="00E10A9D">
        <w:rPr>
          <w:rFonts w:eastAsia="Times New Roman" w:cs="Times New Roman"/>
          <w:i/>
          <w:iCs/>
          <w:szCs w:val="24"/>
        </w:rPr>
        <w:t>Mutualism.</w:t>
      </w:r>
      <w:r w:rsidRPr="00E10A9D">
        <w:rPr>
          <w:rFonts w:eastAsia="Times New Roman" w:cs="Times New Roman"/>
          <w:szCs w:val="24"/>
        </w:rPr>
        <w:t xml:space="preserve"> Oxford: Oxford University Press, 1–2.</w:t>
      </w:r>
    </w:p>
    <w:p w14:paraId="50DBF062" w14:textId="7031E56F" w:rsidR="00070379" w:rsidRPr="00E10A9D" w:rsidRDefault="00070379" w:rsidP="00070379">
      <w:pPr>
        <w:ind w:left="567" w:hanging="567"/>
        <w:rPr>
          <w:rFonts w:eastAsia="Times New Roman" w:cs="Times New Roman"/>
          <w:szCs w:val="24"/>
        </w:rPr>
      </w:pPr>
      <w:r w:rsidRPr="00E10A9D">
        <w:rPr>
          <w:rFonts w:eastAsia="Times New Roman" w:cs="Times New Roman"/>
          <w:szCs w:val="24"/>
        </w:rPr>
        <w:t>Bruno, J.F., Stachowicz, J.J.</w:t>
      </w:r>
      <w:r w:rsidR="00A45624">
        <w:rPr>
          <w:rFonts w:eastAsia="Times New Roman" w:cs="Times New Roman"/>
          <w:szCs w:val="24"/>
        </w:rPr>
        <w:t>,</w:t>
      </w:r>
      <w:r w:rsidRPr="00E10A9D">
        <w:rPr>
          <w:rFonts w:eastAsia="Times New Roman" w:cs="Times New Roman"/>
          <w:szCs w:val="24"/>
        </w:rPr>
        <w:t xml:space="preserve"> and </w:t>
      </w:r>
      <w:proofErr w:type="spellStart"/>
      <w:r w:rsidRPr="00E10A9D">
        <w:rPr>
          <w:rFonts w:eastAsia="Times New Roman" w:cs="Times New Roman"/>
          <w:szCs w:val="24"/>
        </w:rPr>
        <w:t>Bertness</w:t>
      </w:r>
      <w:proofErr w:type="spellEnd"/>
      <w:r w:rsidRPr="00E10A9D">
        <w:rPr>
          <w:rFonts w:eastAsia="Times New Roman" w:cs="Times New Roman"/>
          <w:szCs w:val="24"/>
        </w:rPr>
        <w:t xml:space="preserve">, M.D. (2003). Inclusion of facilitation into ecological theory. </w:t>
      </w:r>
      <w:r w:rsidRPr="00E10A9D">
        <w:rPr>
          <w:rFonts w:eastAsia="Times New Roman" w:cs="Times New Roman"/>
          <w:i/>
          <w:iCs/>
          <w:szCs w:val="24"/>
        </w:rPr>
        <w:t>Trends in Ecology and Evolution, 18</w:t>
      </w:r>
      <w:r w:rsidRPr="00E10A9D">
        <w:rPr>
          <w:rFonts w:eastAsia="Times New Roman" w:cs="Times New Roman"/>
          <w:szCs w:val="24"/>
        </w:rPr>
        <w:t>(3), 119–125.</w:t>
      </w:r>
    </w:p>
    <w:p w14:paraId="20A1BF83" w14:textId="5C2AC76F" w:rsidR="00070379" w:rsidRPr="00E10A9D" w:rsidRDefault="00070379" w:rsidP="00070379">
      <w:pPr>
        <w:ind w:left="567" w:hanging="567"/>
        <w:rPr>
          <w:rFonts w:eastAsia="Times New Roman" w:cs="Times New Roman"/>
          <w:szCs w:val="24"/>
        </w:rPr>
      </w:pPr>
      <w:r w:rsidRPr="00856741">
        <w:rPr>
          <w:rFonts w:eastAsia="Times New Roman" w:cs="Times New Roman"/>
          <w:szCs w:val="24"/>
        </w:rPr>
        <w:t>Casique, J.V., Soares, M.V.B., da Silva, E.F., Kikuchi, T.Y., Andrade, E.H.A.</w:t>
      </w:r>
      <w:r w:rsidR="00A45624" w:rsidRPr="00856741">
        <w:rPr>
          <w:rFonts w:eastAsia="Times New Roman" w:cs="Times New Roman"/>
          <w:szCs w:val="24"/>
        </w:rPr>
        <w:t>,</w:t>
      </w:r>
      <w:r w:rsidRPr="00856741">
        <w:rPr>
          <w:rFonts w:eastAsia="Times New Roman" w:cs="Times New Roman"/>
          <w:szCs w:val="24"/>
        </w:rPr>
        <w:t xml:space="preserve"> and Mastroberti, A.A. (2022). </w:t>
      </w:r>
      <w:proofErr w:type="spellStart"/>
      <w:r w:rsidRPr="00E10A9D">
        <w:rPr>
          <w:rFonts w:eastAsia="Times New Roman" w:cs="Times New Roman"/>
          <w:i/>
          <w:iCs/>
          <w:szCs w:val="24"/>
        </w:rPr>
        <w:t>Coryanthes</w:t>
      </w:r>
      <w:proofErr w:type="spellEnd"/>
      <w:r w:rsidRPr="00E10A9D">
        <w:rPr>
          <w:rFonts w:eastAsia="Times New Roman" w:cs="Times New Roman"/>
          <w:i/>
          <w:iCs/>
          <w:szCs w:val="24"/>
        </w:rPr>
        <w:t xml:space="preserve"> </w:t>
      </w:r>
      <w:proofErr w:type="spellStart"/>
      <w:r w:rsidRPr="00E10A9D">
        <w:rPr>
          <w:rFonts w:eastAsia="Times New Roman" w:cs="Times New Roman"/>
          <w:i/>
          <w:iCs/>
          <w:szCs w:val="24"/>
        </w:rPr>
        <w:t>macrantha</w:t>
      </w:r>
      <w:proofErr w:type="spellEnd"/>
      <w:r w:rsidRPr="00E10A9D">
        <w:rPr>
          <w:rFonts w:eastAsia="Times New Roman" w:cs="Times New Roman"/>
          <w:szCs w:val="24"/>
        </w:rPr>
        <w:t> (</w:t>
      </w:r>
      <w:proofErr w:type="spellStart"/>
      <w:r w:rsidRPr="00E10A9D">
        <w:rPr>
          <w:rFonts w:eastAsia="Times New Roman" w:cs="Times New Roman"/>
          <w:szCs w:val="24"/>
        </w:rPr>
        <w:t>Orchidaceae</w:t>
      </w:r>
      <w:proofErr w:type="spellEnd"/>
      <w:r w:rsidRPr="00E10A9D">
        <w:rPr>
          <w:rFonts w:eastAsia="Times New Roman" w:cs="Times New Roman"/>
          <w:szCs w:val="24"/>
        </w:rPr>
        <w:t xml:space="preserve">: </w:t>
      </w:r>
      <w:proofErr w:type="spellStart"/>
      <w:r w:rsidRPr="00E10A9D">
        <w:rPr>
          <w:rFonts w:eastAsia="Times New Roman" w:cs="Times New Roman"/>
          <w:szCs w:val="24"/>
        </w:rPr>
        <w:t>Stanhopeinae</w:t>
      </w:r>
      <w:proofErr w:type="spellEnd"/>
      <w:r w:rsidRPr="00E10A9D">
        <w:rPr>
          <w:rFonts w:eastAsia="Times New Roman" w:cs="Times New Roman"/>
          <w:szCs w:val="24"/>
        </w:rPr>
        <w:t>) and their floral and extrafloral secretory structures: an anatomical and phytochemical approach. </w:t>
      </w:r>
      <w:r w:rsidRPr="00E10A9D">
        <w:rPr>
          <w:rFonts w:eastAsia="Times New Roman" w:cs="Times New Roman"/>
          <w:i/>
          <w:iCs/>
          <w:szCs w:val="24"/>
        </w:rPr>
        <w:t>Annals of Botany Plants</w:t>
      </w:r>
      <w:r w:rsidRPr="00E10A9D">
        <w:rPr>
          <w:rFonts w:eastAsia="Times New Roman" w:cs="Times New Roman"/>
          <w:szCs w:val="24"/>
        </w:rPr>
        <w:t>, </w:t>
      </w:r>
      <w:r w:rsidRPr="00E10A9D">
        <w:rPr>
          <w:rFonts w:eastAsia="Times New Roman" w:cs="Times New Roman"/>
          <w:i/>
          <w:iCs/>
          <w:szCs w:val="24"/>
        </w:rPr>
        <w:t>14</w:t>
      </w:r>
      <w:r w:rsidRPr="00E10A9D">
        <w:rPr>
          <w:rFonts w:eastAsia="Times New Roman" w:cs="Times New Roman"/>
          <w:szCs w:val="24"/>
        </w:rPr>
        <w:t xml:space="preserve">(5), plac039. </w:t>
      </w:r>
    </w:p>
    <w:p w14:paraId="783CCB3E" w14:textId="6AEE89D6"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Chomicki, G., </w:t>
      </w:r>
      <w:proofErr w:type="spellStart"/>
      <w:r w:rsidRPr="00E10A9D">
        <w:rPr>
          <w:rFonts w:eastAsia="Times New Roman" w:cs="Times New Roman"/>
          <w:szCs w:val="24"/>
        </w:rPr>
        <w:t>Kadereit</w:t>
      </w:r>
      <w:proofErr w:type="spellEnd"/>
      <w:r w:rsidRPr="00E10A9D">
        <w:rPr>
          <w:rFonts w:eastAsia="Times New Roman" w:cs="Times New Roman"/>
          <w:szCs w:val="24"/>
        </w:rPr>
        <w:t>, G., Renner, S.S.</w:t>
      </w:r>
      <w:r w:rsidR="00A45624">
        <w:rPr>
          <w:rFonts w:eastAsia="Times New Roman" w:cs="Times New Roman"/>
          <w:szCs w:val="24"/>
        </w:rPr>
        <w:t>,</w:t>
      </w:r>
      <w:r w:rsidRPr="00E10A9D">
        <w:rPr>
          <w:rFonts w:eastAsia="Times New Roman" w:cs="Times New Roman"/>
          <w:szCs w:val="24"/>
        </w:rPr>
        <w:t xml:space="preserve"> and Kiers, E.T. (2020). Trade-offs in the evolution of plant farming by ants. </w:t>
      </w:r>
      <w:r w:rsidR="00071EEC" w:rsidRPr="00071EEC">
        <w:rPr>
          <w:rFonts w:eastAsia="Times New Roman" w:cs="Times New Roman"/>
          <w:i/>
          <w:iCs/>
          <w:szCs w:val="24"/>
        </w:rPr>
        <w:t>Proceedings of the National Academy of Sciences of the United States of America</w:t>
      </w:r>
      <w:r w:rsidR="00071EEC">
        <w:rPr>
          <w:rFonts w:eastAsia="Times New Roman" w:cs="Times New Roman"/>
          <w:i/>
          <w:iCs/>
          <w:szCs w:val="24"/>
        </w:rPr>
        <w:t xml:space="preserve">, </w:t>
      </w:r>
      <w:r w:rsidRPr="00E10A9D">
        <w:rPr>
          <w:rFonts w:eastAsia="Times New Roman" w:cs="Times New Roman"/>
          <w:i/>
          <w:iCs/>
          <w:szCs w:val="24"/>
        </w:rPr>
        <w:t>117</w:t>
      </w:r>
      <w:r w:rsidRPr="00E10A9D">
        <w:rPr>
          <w:rFonts w:eastAsia="Times New Roman" w:cs="Times New Roman"/>
          <w:szCs w:val="24"/>
        </w:rPr>
        <w:t>(5), 2535–2543.</w:t>
      </w:r>
    </w:p>
    <w:p w14:paraId="4F4E14BD" w14:textId="01DF3485"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Chomicki, G., Metzler, D., </w:t>
      </w:r>
      <w:proofErr w:type="spellStart"/>
      <w:r w:rsidRPr="00E10A9D">
        <w:rPr>
          <w:rFonts w:eastAsia="Times New Roman" w:cs="Times New Roman"/>
          <w:szCs w:val="24"/>
        </w:rPr>
        <w:t>Naikatini</w:t>
      </w:r>
      <w:proofErr w:type="spellEnd"/>
      <w:r w:rsidRPr="00E10A9D">
        <w:rPr>
          <w:rFonts w:eastAsia="Times New Roman" w:cs="Times New Roman"/>
          <w:szCs w:val="24"/>
        </w:rPr>
        <w:t>, A.</w:t>
      </w:r>
      <w:r w:rsidR="00A45624">
        <w:rPr>
          <w:rFonts w:eastAsia="Times New Roman" w:cs="Times New Roman"/>
          <w:szCs w:val="24"/>
        </w:rPr>
        <w:t>,</w:t>
      </w:r>
      <w:r w:rsidRPr="00E10A9D">
        <w:rPr>
          <w:rFonts w:eastAsia="Times New Roman" w:cs="Times New Roman"/>
          <w:szCs w:val="24"/>
        </w:rPr>
        <w:t xml:space="preserve"> and Renner, S.S. (2025). Compartmentalization reduces conflict in multi-partner plant-insect symbioses. </w:t>
      </w:r>
      <w:r w:rsidRPr="00E10A9D">
        <w:rPr>
          <w:rFonts w:eastAsia="Times New Roman" w:cs="Times New Roman"/>
          <w:i/>
          <w:iCs/>
          <w:szCs w:val="24"/>
        </w:rPr>
        <w:t>Science, 389</w:t>
      </w:r>
      <w:r w:rsidRPr="00E10A9D">
        <w:rPr>
          <w:rFonts w:eastAsia="Times New Roman" w:cs="Times New Roman"/>
          <w:szCs w:val="24"/>
        </w:rPr>
        <w:t>(6756), 151-156.</w:t>
      </w:r>
    </w:p>
    <w:p w14:paraId="017E8363" w14:textId="2C5988BB" w:rsidR="00070379" w:rsidRPr="00E10A9D" w:rsidRDefault="00070379" w:rsidP="00070379">
      <w:pPr>
        <w:ind w:left="567" w:hanging="567"/>
        <w:rPr>
          <w:rFonts w:eastAsia="Times New Roman" w:cs="Times New Roman"/>
          <w:szCs w:val="24"/>
        </w:rPr>
      </w:pPr>
      <w:r w:rsidRPr="00E10A9D">
        <w:rPr>
          <w:rFonts w:eastAsia="Times New Roman" w:cs="Times New Roman"/>
          <w:szCs w:val="24"/>
        </w:rPr>
        <w:t>Chomicki, G.</w:t>
      </w:r>
      <w:r w:rsidR="00A45624">
        <w:rPr>
          <w:rFonts w:eastAsia="Times New Roman" w:cs="Times New Roman"/>
          <w:szCs w:val="24"/>
        </w:rPr>
        <w:t>,</w:t>
      </w:r>
      <w:r w:rsidRPr="00E10A9D">
        <w:rPr>
          <w:rFonts w:eastAsia="Times New Roman" w:cs="Times New Roman"/>
          <w:szCs w:val="24"/>
        </w:rPr>
        <w:t xml:space="preserve"> and Renner, S.S. (2019). Farming by ants remodels nutrient uptake in epiphytes.</w:t>
      </w:r>
      <w:r w:rsidRPr="00E10A9D">
        <w:rPr>
          <w:rFonts w:eastAsia="Times New Roman" w:cs="Times New Roman"/>
          <w:i/>
          <w:iCs/>
          <w:szCs w:val="24"/>
        </w:rPr>
        <w:t xml:space="preserve"> The New Phytologist</w:t>
      </w:r>
      <w:r w:rsidRPr="00E10A9D">
        <w:rPr>
          <w:rFonts w:eastAsia="Times New Roman" w:cs="Times New Roman"/>
          <w:szCs w:val="24"/>
        </w:rPr>
        <w:t xml:space="preserve">, </w:t>
      </w:r>
      <w:r w:rsidRPr="00E10A9D">
        <w:rPr>
          <w:rFonts w:eastAsia="Times New Roman" w:cs="Times New Roman"/>
          <w:i/>
          <w:iCs/>
          <w:szCs w:val="24"/>
        </w:rPr>
        <w:t>223</w:t>
      </w:r>
      <w:r w:rsidRPr="00E10A9D">
        <w:rPr>
          <w:rFonts w:eastAsia="Times New Roman" w:cs="Times New Roman"/>
          <w:szCs w:val="24"/>
        </w:rPr>
        <w:t xml:space="preserve">(4), 2011–2023.     </w:t>
      </w:r>
    </w:p>
    <w:p w14:paraId="6D830F94" w14:textId="0F82EA0C" w:rsidR="00070379" w:rsidRPr="00E10A9D" w:rsidRDefault="00070379" w:rsidP="00070379">
      <w:pPr>
        <w:ind w:left="567" w:hanging="567"/>
        <w:rPr>
          <w:rFonts w:eastAsia="Times New Roman" w:cs="Times New Roman"/>
          <w:szCs w:val="24"/>
        </w:rPr>
      </w:pPr>
      <w:r w:rsidRPr="00E10A9D">
        <w:rPr>
          <w:rFonts w:eastAsia="Times New Roman" w:cs="Times New Roman"/>
          <w:szCs w:val="24"/>
        </w:rPr>
        <w:t>Chomicki, G.</w:t>
      </w:r>
      <w:r w:rsidR="00A45624">
        <w:rPr>
          <w:rFonts w:eastAsia="Times New Roman" w:cs="Times New Roman"/>
          <w:szCs w:val="24"/>
        </w:rPr>
        <w:t>,</w:t>
      </w:r>
      <w:r w:rsidRPr="00E10A9D">
        <w:rPr>
          <w:rFonts w:eastAsia="Times New Roman" w:cs="Times New Roman"/>
          <w:szCs w:val="24"/>
        </w:rPr>
        <w:t xml:space="preserve"> and Renner, S.S. (2015). Phylogenetics and molecular clocks reveal the repeated evolution of ant-plants after the late Miocene in Africa and the early Miocene in Australasia and the Neotropics. </w:t>
      </w:r>
      <w:r w:rsidRPr="00E10A9D">
        <w:rPr>
          <w:rFonts w:eastAsia="Times New Roman" w:cs="Times New Roman"/>
          <w:i/>
          <w:iCs/>
          <w:szCs w:val="24"/>
        </w:rPr>
        <w:t xml:space="preserve"> The New Phytologist</w:t>
      </w:r>
      <w:r w:rsidRPr="00E10A9D">
        <w:rPr>
          <w:rFonts w:eastAsia="Times New Roman" w:cs="Times New Roman"/>
          <w:szCs w:val="24"/>
        </w:rPr>
        <w:t xml:space="preserve">, </w:t>
      </w:r>
      <w:r w:rsidRPr="00E10A9D">
        <w:rPr>
          <w:rFonts w:eastAsia="Times New Roman" w:cs="Times New Roman"/>
          <w:i/>
          <w:iCs/>
          <w:szCs w:val="24"/>
        </w:rPr>
        <w:t>207</w:t>
      </w:r>
      <w:r w:rsidRPr="00E10A9D">
        <w:rPr>
          <w:rFonts w:eastAsia="Times New Roman" w:cs="Times New Roman"/>
          <w:szCs w:val="24"/>
        </w:rPr>
        <w:t>(2), 411–424.</w:t>
      </w:r>
    </w:p>
    <w:p w14:paraId="57F99DD2" w14:textId="7372A077" w:rsidR="00070379" w:rsidRPr="00E10A9D" w:rsidRDefault="00070379" w:rsidP="00070379">
      <w:pPr>
        <w:ind w:left="567" w:hanging="567"/>
        <w:rPr>
          <w:rFonts w:eastAsia="Times New Roman" w:cs="Times New Roman"/>
          <w:szCs w:val="24"/>
        </w:rPr>
      </w:pPr>
      <w:r w:rsidRPr="00E10A9D">
        <w:rPr>
          <w:rFonts w:eastAsia="Times New Roman" w:cs="Times New Roman"/>
          <w:szCs w:val="24"/>
        </w:rPr>
        <w:lastRenderedPageBreak/>
        <w:t>Chomicki, G., Walker-Hale, N., Etchells, J.P., Ritter, E.J.</w:t>
      </w:r>
      <w:r w:rsidR="00A45624">
        <w:rPr>
          <w:rFonts w:eastAsia="Times New Roman" w:cs="Times New Roman"/>
          <w:szCs w:val="24"/>
        </w:rPr>
        <w:t>,</w:t>
      </w:r>
      <w:r w:rsidRPr="00E10A9D">
        <w:rPr>
          <w:rFonts w:eastAsia="Times New Roman" w:cs="Times New Roman"/>
          <w:szCs w:val="24"/>
        </w:rPr>
        <w:t xml:space="preserve"> and Weber, M.G. (2024). Diversity and development of domatia: Symbiotic plant structures to host mutualistic ants or mites. </w:t>
      </w:r>
      <w:r w:rsidRPr="00E10A9D">
        <w:rPr>
          <w:rFonts w:eastAsia="Times New Roman" w:cs="Times New Roman"/>
          <w:i/>
          <w:iCs/>
          <w:szCs w:val="24"/>
        </w:rPr>
        <w:t>Current opinion in plant biology</w:t>
      </w:r>
      <w:r w:rsidRPr="00E10A9D">
        <w:rPr>
          <w:rFonts w:eastAsia="Times New Roman" w:cs="Times New Roman"/>
          <w:szCs w:val="24"/>
        </w:rPr>
        <w:t>, </w:t>
      </w:r>
      <w:r w:rsidRPr="00E10A9D">
        <w:rPr>
          <w:rFonts w:eastAsia="Times New Roman" w:cs="Times New Roman"/>
          <w:i/>
          <w:iCs/>
          <w:szCs w:val="24"/>
        </w:rPr>
        <w:t>82</w:t>
      </w:r>
      <w:r w:rsidRPr="00E10A9D">
        <w:rPr>
          <w:rFonts w:eastAsia="Times New Roman" w:cs="Times New Roman"/>
          <w:szCs w:val="24"/>
        </w:rPr>
        <w:t xml:space="preserve">, 102647. </w:t>
      </w:r>
    </w:p>
    <w:p w14:paraId="1E286CD0" w14:textId="54559CF1" w:rsidR="00070379" w:rsidRPr="008A658A" w:rsidRDefault="00070379" w:rsidP="00070379">
      <w:pPr>
        <w:ind w:left="567" w:hanging="567"/>
        <w:rPr>
          <w:rFonts w:eastAsia="Times New Roman" w:cs="Times New Roman"/>
          <w:szCs w:val="24"/>
          <w:highlight w:val="white"/>
        </w:rPr>
      </w:pPr>
      <w:r w:rsidRPr="008A658A">
        <w:rPr>
          <w:rFonts w:eastAsia="Times New Roman" w:cs="Times New Roman"/>
          <w:szCs w:val="24"/>
          <w:highlight w:val="white"/>
        </w:rPr>
        <w:t>Clark, K. L., Nadkarni, N. M.</w:t>
      </w:r>
      <w:r w:rsidR="00A45624">
        <w:rPr>
          <w:rFonts w:eastAsia="Times New Roman" w:cs="Times New Roman"/>
          <w:szCs w:val="24"/>
          <w:highlight w:val="white"/>
        </w:rPr>
        <w:t>,</w:t>
      </w:r>
      <w:r w:rsidRPr="008A658A">
        <w:rPr>
          <w:rFonts w:eastAsia="Times New Roman" w:cs="Times New Roman"/>
          <w:szCs w:val="24"/>
          <w:highlight w:val="white"/>
        </w:rPr>
        <w:t xml:space="preserve"> </w:t>
      </w:r>
      <w:r>
        <w:rPr>
          <w:rFonts w:eastAsia="Times New Roman" w:cs="Times New Roman"/>
          <w:szCs w:val="24"/>
          <w:highlight w:val="white"/>
        </w:rPr>
        <w:t>and</w:t>
      </w:r>
      <w:r w:rsidRPr="008A658A">
        <w:rPr>
          <w:rFonts w:eastAsia="Times New Roman" w:cs="Times New Roman"/>
          <w:szCs w:val="24"/>
          <w:highlight w:val="white"/>
        </w:rPr>
        <w:t xml:space="preserve"> </w:t>
      </w:r>
      <w:proofErr w:type="spellStart"/>
      <w:r w:rsidRPr="008A658A">
        <w:rPr>
          <w:rFonts w:eastAsia="Times New Roman" w:cs="Times New Roman"/>
          <w:szCs w:val="24"/>
          <w:highlight w:val="white"/>
        </w:rPr>
        <w:t>Gholz</w:t>
      </w:r>
      <w:proofErr w:type="spellEnd"/>
      <w:r w:rsidRPr="008A658A">
        <w:rPr>
          <w:rFonts w:eastAsia="Times New Roman" w:cs="Times New Roman"/>
          <w:szCs w:val="24"/>
          <w:highlight w:val="white"/>
        </w:rPr>
        <w:t>, H. L. (1998). Growth, anatomy, and nutrient responses of epiphytic bryophytes to atmospheric nutrient inputs in a Kenyan cloud forest</w:t>
      </w:r>
      <w:r w:rsidRPr="00071EEC">
        <w:rPr>
          <w:rFonts w:eastAsia="Times New Roman" w:cs="Times New Roman"/>
          <w:i/>
          <w:iCs/>
          <w:szCs w:val="24"/>
          <w:highlight w:val="white"/>
        </w:rPr>
        <w:t>. Journal of Tropical Ecology</w:t>
      </w:r>
      <w:r w:rsidRPr="008A658A">
        <w:rPr>
          <w:rFonts w:eastAsia="Times New Roman" w:cs="Times New Roman"/>
          <w:szCs w:val="24"/>
          <w:highlight w:val="white"/>
        </w:rPr>
        <w:t xml:space="preserve">, </w:t>
      </w:r>
      <w:r w:rsidRPr="00071EEC">
        <w:rPr>
          <w:rFonts w:eastAsia="Times New Roman" w:cs="Times New Roman"/>
          <w:i/>
          <w:iCs/>
          <w:szCs w:val="24"/>
          <w:highlight w:val="white"/>
        </w:rPr>
        <w:t>14</w:t>
      </w:r>
      <w:r w:rsidRPr="008A658A">
        <w:rPr>
          <w:rFonts w:eastAsia="Times New Roman" w:cs="Times New Roman"/>
          <w:szCs w:val="24"/>
          <w:highlight w:val="white"/>
        </w:rPr>
        <w:t>(4), 453–479.</w:t>
      </w:r>
    </w:p>
    <w:p w14:paraId="0FE33424" w14:textId="28620B3B" w:rsidR="00070379" w:rsidRPr="008A658A" w:rsidRDefault="00070379" w:rsidP="00070379">
      <w:pPr>
        <w:ind w:left="567" w:hanging="567"/>
        <w:rPr>
          <w:rFonts w:eastAsia="Times New Roman" w:cs="Times New Roman"/>
          <w:szCs w:val="24"/>
          <w:highlight w:val="white"/>
        </w:rPr>
      </w:pPr>
      <w:r w:rsidRPr="008A658A">
        <w:rPr>
          <w:rFonts w:eastAsia="Times New Roman" w:cs="Times New Roman"/>
          <w:szCs w:val="24"/>
          <w:highlight w:val="white"/>
        </w:rPr>
        <w:t>Cook, J. M.</w:t>
      </w:r>
      <w:r w:rsidR="00A45624">
        <w:rPr>
          <w:rFonts w:eastAsia="Times New Roman" w:cs="Times New Roman"/>
          <w:szCs w:val="24"/>
          <w:highlight w:val="white"/>
        </w:rPr>
        <w:t>,</w:t>
      </w:r>
      <w:r w:rsidRPr="008A658A">
        <w:rPr>
          <w:rFonts w:eastAsia="Times New Roman" w:cs="Times New Roman"/>
          <w:szCs w:val="24"/>
          <w:highlight w:val="white"/>
        </w:rPr>
        <w:t xml:space="preserve"> </w:t>
      </w:r>
      <w:r>
        <w:rPr>
          <w:rFonts w:eastAsia="Times New Roman" w:cs="Times New Roman"/>
          <w:szCs w:val="24"/>
          <w:highlight w:val="white"/>
        </w:rPr>
        <w:t>and</w:t>
      </w:r>
      <w:r w:rsidRPr="008A658A">
        <w:rPr>
          <w:rFonts w:eastAsia="Times New Roman" w:cs="Times New Roman"/>
          <w:szCs w:val="24"/>
          <w:highlight w:val="white"/>
        </w:rPr>
        <w:t xml:space="preserve"> </w:t>
      </w:r>
      <w:proofErr w:type="spellStart"/>
      <w:r w:rsidRPr="008A658A">
        <w:rPr>
          <w:rFonts w:eastAsia="Times New Roman" w:cs="Times New Roman"/>
          <w:szCs w:val="24"/>
          <w:highlight w:val="white"/>
        </w:rPr>
        <w:t>Rasplus</w:t>
      </w:r>
      <w:proofErr w:type="spellEnd"/>
      <w:r w:rsidRPr="008A658A">
        <w:rPr>
          <w:rFonts w:eastAsia="Times New Roman" w:cs="Times New Roman"/>
          <w:szCs w:val="24"/>
          <w:highlight w:val="white"/>
        </w:rPr>
        <w:t xml:space="preserve">, J. Y. (2003). Mutualists with attitude: coevolution of fig wasps and figs. </w:t>
      </w:r>
      <w:r w:rsidRPr="00071EEC">
        <w:rPr>
          <w:rFonts w:eastAsia="Times New Roman" w:cs="Times New Roman"/>
          <w:i/>
          <w:iCs/>
          <w:szCs w:val="24"/>
          <w:highlight w:val="white"/>
        </w:rPr>
        <w:t>Trends in Ecology &amp; Evolution</w:t>
      </w:r>
      <w:r w:rsidRPr="008A658A">
        <w:rPr>
          <w:rFonts w:eastAsia="Times New Roman" w:cs="Times New Roman"/>
          <w:szCs w:val="24"/>
          <w:highlight w:val="white"/>
        </w:rPr>
        <w:t xml:space="preserve">, </w:t>
      </w:r>
      <w:r w:rsidRPr="00071EEC">
        <w:rPr>
          <w:rFonts w:eastAsia="Times New Roman" w:cs="Times New Roman"/>
          <w:i/>
          <w:iCs/>
          <w:szCs w:val="24"/>
          <w:highlight w:val="white"/>
        </w:rPr>
        <w:t>18</w:t>
      </w:r>
      <w:r w:rsidRPr="008A658A">
        <w:rPr>
          <w:rFonts w:eastAsia="Times New Roman" w:cs="Times New Roman"/>
          <w:szCs w:val="24"/>
          <w:highlight w:val="white"/>
        </w:rPr>
        <w:t>(5), 241–248.</w:t>
      </w:r>
    </w:p>
    <w:p w14:paraId="1A5414FC" w14:textId="2BA65D9D" w:rsidR="00070379" w:rsidRPr="00E10A9D" w:rsidRDefault="00070379" w:rsidP="00070379">
      <w:pPr>
        <w:ind w:left="567" w:hanging="567"/>
        <w:rPr>
          <w:rFonts w:eastAsia="Times New Roman" w:cs="Times New Roman"/>
          <w:szCs w:val="24"/>
        </w:rPr>
      </w:pPr>
      <w:r w:rsidRPr="00E10A9D">
        <w:rPr>
          <w:rFonts w:eastAsia="Times New Roman" w:cs="Times New Roman"/>
          <w:szCs w:val="24"/>
          <w:highlight w:val="white"/>
        </w:rPr>
        <w:t>Crotty, S.M.</w:t>
      </w:r>
      <w:r w:rsidR="00A45624">
        <w:rPr>
          <w:rFonts w:eastAsia="Times New Roman" w:cs="Times New Roman"/>
          <w:szCs w:val="24"/>
          <w:highlight w:val="white"/>
        </w:rPr>
        <w:t>,</w:t>
      </w:r>
      <w:r w:rsidRPr="00E10A9D">
        <w:rPr>
          <w:rFonts w:eastAsia="Times New Roman" w:cs="Times New Roman"/>
          <w:szCs w:val="24"/>
          <w:highlight w:val="white"/>
        </w:rPr>
        <w:t xml:space="preserve"> and </w:t>
      </w:r>
      <w:proofErr w:type="spellStart"/>
      <w:r w:rsidRPr="00E10A9D">
        <w:rPr>
          <w:rFonts w:eastAsia="Times New Roman" w:cs="Times New Roman"/>
          <w:szCs w:val="24"/>
          <w:highlight w:val="white"/>
        </w:rPr>
        <w:t>Bertness</w:t>
      </w:r>
      <w:proofErr w:type="spellEnd"/>
      <w:r w:rsidRPr="00E10A9D">
        <w:rPr>
          <w:rFonts w:eastAsia="Times New Roman" w:cs="Times New Roman"/>
          <w:szCs w:val="24"/>
          <w:highlight w:val="white"/>
        </w:rPr>
        <w:t xml:space="preserve">, M.D. (2015). Positive interactions expand habitat use and the realized niches of sympatric species. </w:t>
      </w:r>
      <w:r w:rsidRPr="00E10A9D">
        <w:rPr>
          <w:rFonts w:eastAsia="Times New Roman" w:cs="Times New Roman"/>
          <w:i/>
          <w:iCs/>
          <w:szCs w:val="24"/>
          <w:highlight w:val="white"/>
        </w:rPr>
        <w:t>Ecology</w:t>
      </w:r>
      <w:r w:rsidRPr="00E10A9D">
        <w:rPr>
          <w:rFonts w:eastAsia="Times New Roman" w:cs="Times New Roman"/>
          <w:szCs w:val="24"/>
          <w:highlight w:val="white"/>
        </w:rPr>
        <w:t xml:space="preserve">, </w:t>
      </w:r>
      <w:r w:rsidRPr="00E10A9D">
        <w:rPr>
          <w:rFonts w:eastAsia="Times New Roman" w:cs="Times New Roman"/>
          <w:i/>
          <w:iCs/>
          <w:szCs w:val="24"/>
          <w:highlight w:val="white"/>
        </w:rPr>
        <w:t>96</w:t>
      </w:r>
      <w:r w:rsidRPr="00E10A9D">
        <w:rPr>
          <w:rFonts w:eastAsia="Times New Roman" w:cs="Times New Roman"/>
          <w:szCs w:val="24"/>
          <w:highlight w:val="white"/>
        </w:rPr>
        <w:t>(10), 2575–2582.</w:t>
      </w:r>
    </w:p>
    <w:p w14:paraId="26B5BB19" w14:textId="378CB271" w:rsidR="00070379" w:rsidRPr="00E10A9D" w:rsidRDefault="00070379" w:rsidP="00070379">
      <w:pPr>
        <w:ind w:left="567" w:hanging="567"/>
        <w:rPr>
          <w:rFonts w:eastAsia="Times New Roman" w:cs="Times New Roman"/>
          <w:szCs w:val="24"/>
        </w:rPr>
      </w:pPr>
      <w:r w:rsidRPr="00E10A9D">
        <w:rPr>
          <w:rFonts w:eastAsia="Times New Roman" w:cs="Times New Roman"/>
          <w:szCs w:val="24"/>
        </w:rPr>
        <w:t>Davidson, D.W.</w:t>
      </w:r>
      <w:r w:rsidR="00A45624">
        <w:rPr>
          <w:rFonts w:eastAsia="Times New Roman" w:cs="Times New Roman"/>
          <w:szCs w:val="24"/>
        </w:rPr>
        <w:t>,</w:t>
      </w:r>
      <w:r w:rsidRPr="00E10A9D">
        <w:rPr>
          <w:rFonts w:eastAsia="Times New Roman" w:cs="Times New Roman"/>
          <w:szCs w:val="24"/>
        </w:rPr>
        <w:t xml:space="preserve"> and McKey, D. (1993). The evolutionary ecology of symbiotic ant/plant relationships. </w:t>
      </w:r>
      <w:r w:rsidRPr="00E10A9D">
        <w:rPr>
          <w:rFonts w:eastAsia="Times New Roman" w:cs="Times New Roman"/>
          <w:i/>
          <w:iCs/>
          <w:szCs w:val="24"/>
        </w:rPr>
        <w:t>Journal of Hymenoptera Research,</w:t>
      </w:r>
      <w:r w:rsidRPr="00E10A9D">
        <w:rPr>
          <w:rFonts w:eastAsia="Times New Roman" w:cs="Times New Roman"/>
          <w:szCs w:val="24"/>
        </w:rPr>
        <w:t xml:space="preserve"> </w:t>
      </w:r>
      <w:r w:rsidRPr="00E10A9D">
        <w:rPr>
          <w:rFonts w:eastAsia="Times New Roman" w:cs="Times New Roman"/>
          <w:i/>
          <w:iCs/>
          <w:szCs w:val="24"/>
        </w:rPr>
        <w:t>2</w:t>
      </w:r>
      <w:r w:rsidRPr="00E10A9D">
        <w:rPr>
          <w:rFonts w:eastAsia="Times New Roman" w:cs="Times New Roman"/>
          <w:szCs w:val="24"/>
        </w:rPr>
        <w:t>, 13–83.</w:t>
      </w:r>
    </w:p>
    <w:p w14:paraId="24D786B9" w14:textId="68058A04" w:rsidR="00070379" w:rsidRPr="00E10A9D" w:rsidRDefault="00070379" w:rsidP="00070379">
      <w:pPr>
        <w:ind w:left="567" w:hanging="567"/>
        <w:rPr>
          <w:rFonts w:eastAsia="Times New Roman" w:cs="Times New Roman"/>
          <w:szCs w:val="24"/>
        </w:rPr>
      </w:pPr>
      <w:proofErr w:type="spellStart"/>
      <w:r w:rsidRPr="00E10A9D">
        <w:rPr>
          <w:rFonts w:eastAsia="Times New Roman" w:cs="Times New Roman"/>
          <w:szCs w:val="24"/>
        </w:rPr>
        <w:t>Defossez</w:t>
      </w:r>
      <w:proofErr w:type="spellEnd"/>
      <w:r w:rsidRPr="00E10A9D">
        <w:rPr>
          <w:rFonts w:eastAsia="Times New Roman" w:cs="Times New Roman"/>
          <w:szCs w:val="24"/>
        </w:rPr>
        <w:t xml:space="preserve">, E., </w:t>
      </w:r>
      <w:proofErr w:type="spellStart"/>
      <w:r w:rsidRPr="00E10A9D">
        <w:rPr>
          <w:rFonts w:eastAsia="Times New Roman" w:cs="Times New Roman"/>
          <w:szCs w:val="24"/>
        </w:rPr>
        <w:t>Djiéto-Lordon</w:t>
      </w:r>
      <w:proofErr w:type="spellEnd"/>
      <w:r w:rsidRPr="00E10A9D">
        <w:rPr>
          <w:rFonts w:eastAsia="Times New Roman" w:cs="Times New Roman"/>
          <w:szCs w:val="24"/>
        </w:rPr>
        <w:t xml:space="preserve">, C., McKey, D., </w:t>
      </w:r>
      <w:proofErr w:type="spellStart"/>
      <w:r w:rsidRPr="00E10A9D">
        <w:rPr>
          <w:rFonts w:eastAsia="Times New Roman" w:cs="Times New Roman"/>
          <w:szCs w:val="24"/>
        </w:rPr>
        <w:t>Selosse</w:t>
      </w:r>
      <w:proofErr w:type="spellEnd"/>
      <w:r w:rsidRPr="00E10A9D">
        <w:rPr>
          <w:rFonts w:eastAsia="Times New Roman" w:cs="Times New Roman"/>
          <w:szCs w:val="24"/>
        </w:rPr>
        <w:t>, M.A.</w:t>
      </w:r>
      <w:r w:rsidR="00A45624">
        <w:rPr>
          <w:rFonts w:eastAsia="Times New Roman" w:cs="Times New Roman"/>
          <w:szCs w:val="24"/>
        </w:rPr>
        <w:t>,</w:t>
      </w:r>
      <w:r w:rsidRPr="00E10A9D">
        <w:rPr>
          <w:rFonts w:eastAsia="Times New Roman" w:cs="Times New Roman"/>
          <w:szCs w:val="24"/>
        </w:rPr>
        <w:t xml:space="preserve"> and </w:t>
      </w:r>
      <w:proofErr w:type="spellStart"/>
      <w:r w:rsidRPr="00E10A9D">
        <w:rPr>
          <w:rFonts w:eastAsia="Times New Roman" w:cs="Times New Roman"/>
          <w:szCs w:val="24"/>
        </w:rPr>
        <w:t>Blatrix</w:t>
      </w:r>
      <w:proofErr w:type="spellEnd"/>
      <w:r w:rsidRPr="00E10A9D">
        <w:rPr>
          <w:rFonts w:eastAsia="Times New Roman" w:cs="Times New Roman"/>
          <w:szCs w:val="24"/>
        </w:rPr>
        <w:t xml:space="preserve">, R. (2011). Plant-ants feed their host plant, but above all a fungal symbiont to recycle nitrogen. </w:t>
      </w:r>
      <w:r w:rsidR="0090373B" w:rsidRPr="0090373B">
        <w:rPr>
          <w:rFonts w:eastAsia="Times New Roman" w:cs="Times New Roman"/>
          <w:i/>
          <w:iCs/>
          <w:szCs w:val="24"/>
        </w:rPr>
        <w:t>Proceedings of the Royal Society B: Biological Sciences</w:t>
      </w:r>
      <w:r w:rsidRPr="00E10A9D">
        <w:rPr>
          <w:rFonts w:eastAsia="Times New Roman" w:cs="Times New Roman"/>
          <w:i/>
          <w:iCs/>
          <w:szCs w:val="24"/>
        </w:rPr>
        <w:t>, 278</w:t>
      </w:r>
      <w:r w:rsidRPr="00E10A9D">
        <w:rPr>
          <w:rFonts w:eastAsia="Times New Roman" w:cs="Times New Roman"/>
          <w:szCs w:val="24"/>
        </w:rPr>
        <w:t>(1710), 1419-1426.</w:t>
      </w:r>
    </w:p>
    <w:p w14:paraId="7B583C79" w14:textId="303B24F5" w:rsidR="00070379" w:rsidRPr="00E10A9D" w:rsidRDefault="00070379" w:rsidP="00070379">
      <w:pPr>
        <w:ind w:left="567" w:hanging="567"/>
        <w:rPr>
          <w:rFonts w:eastAsia="Times New Roman" w:cs="Times New Roman"/>
          <w:szCs w:val="24"/>
        </w:rPr>
      </w:pPr>
      <w:r w:rsidRPr="00E10A9D">
        <w:rPr>
          <w:rFonts w:eastAsia="Times New Roman" w:cs="Times New Roman"/>
          <w:szCs w:val="24"/>
        </w:rPr>
        <w:t>Diarra, U.</w:t>
      </w:r>
      <w:r w:rsidR="00A45624">
        <w:rPr>
          <w:rFonts w:eastAsia="Times New Roman" w:cs="Times New Roman"/>
          <w:szCs w:val="24"/>
        </w:rPr>
        <w:t>,</w:t>
      </w:r>
      <w:r w:rsidRPr="00E10A9D">
        <w:rPr>
          <w:rFonts w:eastAsia="Times New Roman" w:cs="Times New Roman"/>
          <w:szCs w:val="24"/>
        </w:rPr>
        <w:t xml:space="preserve"> and Osborne-Naikatini, T. (2023). Isolation, characterization and screening of actinomycetes associated with Fijian ant–plant symbioses. </w:t>
      </w:r>
      <w:r w:rsidRPr="00E10A9D">
        <w:rPr>
          <w:rFonts w:eastAsia="Times New Roman" w:cs="Times New Roman"/>
          <w:i/>
          <w:iCs/>
          <w:szCs w:val="24"/>
        </w:rPr>
        <w:t>Microbiology, 169</w:t>
      </w:r>
      <w:r w:rsidRPr="00E10A9D">
        <w:rPr>
          <w:rFonts w:eastAsia="Times New Roman" w:cs="Times New Roman"/>
          <w:szCs w:val="24"/>
        </w:rPr>
        <w:t>(11), 001410.</w:t>
      </w:r>
    </w:p>
    <w:p w14:paraId="0314E2ED" w14:textId="77777777"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Douglas, A.E. (2015). </w:t>
      </w:r>
      <w:proofErr w:type="spellStart"/>
      <w:r w:rsidRPr="00E10A9D">
        <w:rPr>
          <w:rFonts w:eastAsia="Times New Roman" w:cs="Times New Roman"/>
          <w:szCs w:val="24"/>
        </w:rPr>
        <w:t>Multiorganismal</w:t>
      </w:r>
      <w:proofErr w:type="spellEnd"/>
      <w:r w:rsidRPr="00E10A9D">
        <w:rPr>
          <w:rFonts w:eastAsia="Times New Roman" w:cs="Times New Roman"/>
          <w:szCs w:val="24"/>
        </w:rPr>
        <w:t xml:space="preserve"> insects: diversity and function of resident microorganisms. </w:t>
      </w:r>
      <w:r w:rsidRPr="00E10A9D">
        <w:rPr>
          <w:rFonts w:eastAsia="Times New Roman" w:cs="Times New Roman"/>
          <w:i/>
          <w:iCs/>
          <w:szCs w:val="24"/>
        </w:rPr>
        <w:t>Annual Review of Entomology</w:t>
      </w:r>
      <w:r w:rsidRPr="00E10A9D">
        <w:rPr>
          <w:rFonts w:eastAsia="Times New Roman" w:cs="Times New Roman"/>
          <w:szCs w:val="24"/>
        </w:rPr>
        <w:t>, </w:t>
      </w:r>
      <w:r w:rsidRPr="00E10A9D">
        <w:rPr>
          <w:rFonts w:eastAsia="Times New Roman" w:cs="Times New Roman"/>
          <w:i/>
          <w:iCs/>
          <w:szCs w:val="24"/>
        </w:rPr>
        <w:t>60</w:t>
      </w:r>
      <w:r w:rsidRPr="00E10A9D">
        <w:rPr>
          <w:rFonts w:eastAsia="Times New Roman" w:cs="Times New Roman"/>
          <w:szCs w:val="24"/>
        </w:rPr>
        <w:t>, 17–34.</w:t>
      </w:r>
    </w:p>
    <w:p w14:paraId="5352400A" w14:textId="47B97144" w:rsidR="00070379" w:rsidRPr="00E10A9D" w:rsidRDefault="00070379" w:rsidP="00070379">
      <w:pPr>
        <w:ind w:left="567" w:hanging="567"/>
        <w:rPr>
          <w:rFonts w:eastAsia="Times New Roman" w:cs="Times New Roman"/>
          <w:szCs w:val="24"/>
        </w:rPr>
      </w:pPr>
      <w:r w:rsidRPr="00E10A9D">
        <w:rPr>
          <w:rFonts w:eastAsia="Times New Roman" w:cs="Times New Roman"/>
          <w:szCs w:val="24"/>
        </w:rPr>
        <w:t>Fischer, R.C., Wanek, W., Richter, A.</w:t>
      </w:r>
      <w:r w:rsidR="00A45624">
        <w:rPr>
          <w:rFonts w:eastAsia="Times New Roman" w:cs="Times New Roman"/>
          <w:szCs w:val="24"/>
        </w:rPr>
        <w:t>,</w:t>
      </w:r>
      <w:r w:rsidRPr="00E10A9D">
        <w:rPr>
          <w:rFonts w:eastAsia="Times New Roman" w:cs="Times New Roman"/>
          <w:szCs w:val="24"/>
        </w:rPr>
        <w:t xml:space="preserve"> and Mayer, V. (2003). Do ants feed plants? A 15N labelling study of nitrogen fluxes from ants to plants in the mutualism of </w:t>
      </w:r>
      <w:r w:rsidRPr="00E10A9D">
        <w:rPr>
          <w:rFonts w:eastAsia="Times New Roman" w:cs="Times New Roman"/>
          <w:i/>
          <w:iCs/>
          <w:szCs w:val="24"/>
        </w:rPr>
        <w:t>Pheidole</w:t>
      </w:r>
      <w:r w:rsidRPr="00E10A9D">
        <w:rPr>
          <w:rFonts w:eastAsia="Times New Roman" w:cs="Times New Roman"/>
          <w:szCs w:val="24"/>
        </w:rPr>
        <w:t xml:space="preserve"> and </w:t>
      </w:r>
      <w:r w:rsidRPr="00E10A9D">
        <w:rPr>
          <w:rFonts w:eastAsia="Times New Roman" w:cs="Times New Roman"/>
          <w:i/>
          <w:iCs/>
          <w:szCs w:val="24"/>
        </w:rPr>
        <w:t>Piper</w:t>
      </w:r>
      <w:r w:rsidRPr="00E10A9D">
        <w:rPr>
          <w:rFonts w:eastAsia="Times New Roman" w:cs="Times New Roman"/>
          <w:szCs w:val="24"/>
        </w:rPr>
        <w:t xml:space="preserve">. </w:t>
      </w:r>
      <w:r w:rsidRPr="00E10A9D">
        <w:rPr>
          <w:rFonts w:eastAsia="Times New Roman" w:cs="Times New Roman"/>
          <w:i/>
          <w:iCs/>
          <w:szCs w:val="24"/>
        </w:rPr>
        <w:t>Journal of Ecology</w:t>
      </w:r>
      <w:r w:rsidRPr="00E10A9D">
        <w:rPr>
          <w:rFonts w:eastAsia="Times New Roman" w:cs="Times New Roman"/>
          <w:szCs w:val="24"/>
        </w:rPr>
        <w:t xml:space="preserve">, </w:t>
      </w:r>
      <w:r w:rsidRPr="00E10A9D">
        <w:rPr>
          <w:rFonts w:eastAsia="Times New Roman" w:cs="Times New Roman"/>
          <w:i/>
          <w:iCs/>
          <w:szCs w:val="24"/>
        </w:rPr>
        <w:t>91</w:t>
      </w:r>
      <w:r w:rsidRPr="00E10A9D">
        <w:rPr>
          <w:rFonts w:eastAsia="Times New Roman" w:cs="Times New Roman"/>
          <w:szCs w:val="24"/>
        </w:rPr>
        <w:t>(1), 126-134.</w:t>
      </w:r>
    </w:p>
    <w:p w14:paraId="156FA457" w14:textId="3CE2112B" w:rsidR="00070379" w:rsidRPr="00E10A9D" w:rsidRDefault="00070379" w:rsidP="00070379">
      <w:pPr>
        <w:ind w:left="567" w:hanging="567"/>
        <w:rPr>
          <w:rFonts w:eastAsia="Times New Roman" w:cs="Times New Roman"/>
          <w:szCs w:val="24"/>
        </w:rPr>
      </w:pPr>
      <w:proofErr w:type="spellStart"/>
      <w:r w:rsidRPr="00E10A9D">
        <w:rPr>
          <w:rFonts w:eastAsia="Times New Roman" w:cs="Times New Roman"/>
          <w:szCs w:val="24"/>
        </w:rPr>
        <w:t>Futuyma</w:t>
      </w:r>
      <w:proofErr w:type="spellEnd"/>
      <w:r w:rsidRPr="00E10A9D">
        <w:rPr>
          <w:rFonts w:eastAsia="Times New Roman" w:cs="Times New Roman"/>
          <w:szCs w:val="24"/>
        </w:rPr>
        <w:t>, D.J.</w:t>
      </w:r>
      <w:r w:rsidR="00A45624">
        <w:rPr>
          <w:rFonts w:eastAsia="Times New Roman" w:cs="Times New Roman"/>
          <w:szCs w:val="24"/>
        </w:rPr>
        <w:t>,</w:t>
      </w:r>
      <w:r w:rsidRPr="00E10A9D">
        <w:rPr>
          <w:rFonts w:eastAsia="Times New Roman" w:cs="Times New Roman"/>
          <w:szCs w:val="24"/>
        </w:rPr>
        <w:t xml:space="preserve"> and Moreno, G. (1988). The evolution of ecological specialization. </w:t>
      </w:r>
      <w:r w:rsidRPr="00E10A9D">
        <w:rPr>
          <w:rFonts w:eastAsia="Times New Roman" w:cs="Times New Roman"/>
          <w:i/>
          <w:iCs/>
          <w:szCs w:val="24"/>
        </w:rPr>
        <w:t>Annual Review of Ecology and Systematics, 19</w:t>
      </w:r>
      <w:r w:rsidRPr="00E10A9D">
        <w:rPr>
          <w:rFonts w:eastAsia="Times New Roman" w:cs="Times New Roman"/>
          <w:szCs w:val="24"/>
        </w:rPr>
        <w:t>, 207–233.</w:t>
      </w:r>
    </w:p>
    <w:p w14:paraId="77006CE0" w14:textId="77777777"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Gay, H. (1993). Animal-fed plants: an investigation into the uptake of ant-derived nutrients by the far-eastern epiphytic fern </w:t>
      </w:r>
      <w:proofErr w:type="spellStart"/>
      <w:r w:rsidRPr="00E10A9D">
        <w:rPr>
          <w:rFonts w:eastAsia="Times New Roman" w:cs="Times New Roman"/>
          <w:i/>
          <w:iCs/>
          <w:szCs w:val="24"/>
        </w:rPr>
        <w:t>Lecanopteris</w:t>
      </w:r>
      <w:proofErr w:type="spellEnd"/>
      <w:r w:rsidRPr="00E10A9D">
        <w:rPr>
          <w:rFonts w:eastAsia="Times New Roman" w:cs="Times New Roman"/>
          <w:szCs w:val="24"/>
        </w:rPr>
        <w:t xml:space="preserve"> </w:t>
      </w:r>
      <w:proofErr w:type="spellStart"/>
      <w:r w:rsidRPr="00E10A9D">
        <w:rPr>
          <w:rFonts w:eastAsia="Times New Roman" w:cs="Times New Roman"/>
          <w:szCs w:val="24"/>
        </w:rPr>
        <w:t>Reinw</w:t>
      </w:r>
      <w:proofErr w:type="spellEnd"/>
      <w:r w:rsidRPr="00E10A9D">
        <w:rPr>
          <w:rFonts w:eastAsia="Times New Roman" w:cs="Times New Roman"/>
          <w:szCs w:val="24"/>
        </w:rPr>
        <w:t>. (</w:t>
      </w:r>
      <w:proofErr w:type="spellStart"/>
      <w:r w:rsidRPr="00E10A9D">
        <w:rPr>
          <w:rFonts w:eastAsia="Times New Roman" w:cs="Times New Roman"/>
          <w:szCs w:val="24"/>
        </w:rPr>
        <w:t>Polypodiaceae</w:t>
      </w:r>
      <w:proofErr w:type="spellEnd"/>
      <w:r w:rsidRPr="00E10A9D">
        <w:rPr>
          <w:rFonts w:eastAsia="Times New Roman" w:cs="Times New Roman"/>
          <w:szCs w:val="24"/>
        </w:rPr>
        <w:t xml:space="preserve">). </w:t>
      </w:r>
      <w:r w:rsidRPr="00E10A9D">
        <w:rPr>
          <w:rFonts w:eastAsia="Times New Roman" w:cs="Times New Roman"/>
          <w:i/>
          <w:iCs/>
          <w:szCs w:val="24"/>
        </w:rPr>
        <w:t>Biological Journal of the Linnean Society,</w:t>
      </w:r>
      <w:r w:rsidRPr="00E10A9D">
        <w:rPr>
          <w:rFonts w:eastAsia="Times New Roman" w:cs="Times New Roman"/>
          <w:szCs w:val="24"/>
        </w:rPr>
        <w:t xml:space="preserve"> </w:t>
      </w:r>
      <w:r w:rsidRPr="00E10A9D">
        <w:rPr>
          <w:rFonts w:eastAsia="Times New Roman" w:cs="Times New Roman"/>
          <w:i/>
          <w:iCs/>
          <w:szCs w:val="24"/>
        </w:rPr>
        <w:t>50</w:t>
      </w:r>
      <w:r w:rsidRPr="00E10A9D">
        <w:rPr>
          <w:rFonts w:eastAsia="Times New Roman" w:cs="Times New Roman"/>
          <w:b/>
          <w:bCs/>
          <w:szCs w:val="24"/>
        </w:rPr>
        <w:t>,</w:t>
      </w:r>
      <w:r w:rsidRPr="00E10A9D">
        <w:rPr>
          <w:rFonts w:eastAsia="Times New Roman" w:cs="Times New Roman"/>
          <w:szCs w:val="24"/>
        </w:rPr>
        <w:t xml:space="preserve"> 221–23.</w:t>
      </w:r>
    </w:p>
    <w:p w14:paraId="665DD452" w14:textId="749CC297" w:rsidR="00070379" w:rsidRPr="00E10A9D" w:rsidRDefault="00070379" w:rsidP="00070379">
      <w:pPr>
        <w:ind w:left="567" w:hanging="567"/>
        <w:rPr>
          <w:rFonts w:eastAsia="Times New Roman" w:cs="Times New Roman"/>
          <w:szCs w:val="24"/>
        </w:rPr>
      </w:pPr>
      <w:r w:rsidRPr="00E10A9D">
        <w:rPr>
          <w:rFonts w:eastAsia="Times New Roman" w:cs="Times New Roman"/>
          <w:szCs w:val="24"/>
        </w:rPr>
        <w:lastRenderedPageBreak/>
        <w:t>Gegenbauer, C., Mayer, V.E., Zotz, G.</w:t>
      </w:r>
      <w:r w:rsidR="00A45624">
        <w:rPr>
          <w:rFonts w:eastAsia="Times New Roman" w:cs="Times New Roman"/>
          <w:szCs w:val="24"/>
        </w:rPr>
        <w:t>,</w:t>
      </w:r>
      <w:r w:rsidRPr="00E10A9D">
        <w:rPr>
          <w:rFonts w:eastAsia="Times New Roman" w:cs="Times New Roman"/>
          <w:szCs w:val="24"/>
        </w:rPr>
        <w:t xml:space="preserve"> and Richter, A. (2012). Uptake of ant-derived nitrogen in the myrmecophytic orchid </w:t>
      </w:r>
      <w:proofErr w:type="spellStart"/>
      <w:r w:rsidRPr="00E10A9D">
        <w:rPr>
          <w:rFonts w:eastAsia="Times New Roman" w:cs="Times New Roman"/>
          <w:i/>
          <w:iCs/>
          <w:szCs w:val="24"/>
        </w:rPr>
        <w:t>Caularthron</w:t>
      </w:r>
      <w:proofErr w:type="spellEnd"/>
      <w:r w:rsidRPr="00E10A9D">
        <w:rPr>
          <w:rFonts w:eastAsia="Times New Roman" w:cs="Times New Roman"/>
          <w:i/>
          <w:iCs/>
          <w:szCs w:val="24"/>
        </w:rPr>
        <w:t xml:space="preserve"> </w:t>
      </w:r>
      <w:proofErr w:type="spellStart"/>
      <w:r w:rsidRPr="00E10A9D">
        <w:rPr>
          <w:rFonts w:eastAsia="Times New Roman" w:cs="Times New Roman"/>
          <w:i/>
          <w:iCs/>
          <w:szCs w:val="24"/>
        </w:rPr>
        <w:t>bilamellatum</w:t>
      </w:r>
      <w:proofErr w:type="spellEnd"/>
      <w:r w:rsidRPr="00E10A9D">
        <w:rPr>
          <w:rFonts w:eastAsia="Times New Roman" w:cs="Times New Roman"/>
          <w:szCs w:val="24"/>
        </w:rPr>
        <w:t xml:space="preserve">. </w:t>
      </w:r>
      <w:r w:rsidRPr="00E10A9D">
        <w:rPr>
          <w:rFonts w:eastAsia="Times New Roman" w:cs="Times New Roman"/>
          <w:i/>
          <w:iCs/>
          <w:szCs w:val="24"/>
        </w:rPr>
        <w:t>Annals of Botany Plants</w:t>
      </w:r>
      <w:r w:rsidRPr="00E10A9D">
        <w:rPr>
          <w:rFonts w:eastAsia="Times New Roman" w:cs="Times New Roman"/>
          <w:szCs w:val="24"/>
        </w:rPr>
        <w:t xml:space="preserve">, </w:t>
      </w:r>
      <w:r w:rsidRPr="00E10A9D">
        <w:rPr>
          <w:rFonts w:eastAsia="Times New Roman" w:cs="Times New Roman"/>
          <w:i/>
          <w:iCs/>
          <w:szCs w:val="24"/>
        </w:rPr>
        <w:t>110</w:t>
      </w:r>
      <w:r w:rsidRPr="00E10A9D">
        <w:rPr>
          <w:rFonts w:eastAsia="Times New Roman" w:cs="Times New Roman"/>
          <w:szCs w:val="24"/>
        </w:rPr>
        <w:t>(4), 757-765.</w:t>
      </w:r>
    </w:p>
    <w:p w14:paraId="38A72CE0" w14:textId="6E84B83C"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Glass, A.D.M., Britto, D.T., Kaiser, B.N., Kinghorn, J.R., Kronzucker, H.J., Kumar, A., Okamoto, M., Rawat, S., Siddiqi, M.Y., </w:t>
      </w:r>
      <w:proofErr w:type="spellStart"/>
      <w:r w:rsidRPr="00E10A9D">
        <w:rPr>
          <w:rFonts w:eastAsia="Times New Roman" w:cs="Times New Roman"/>
          <w:szCs w:val="24"/>
        </w:rPr>
        <w:t>Unkles</w:t>
      </w:r>
      <w:proofErr w:type="spellEnd"/>
      <w:r w:rsidRPr="00E10A9D">
        <w:rPr>
          <w:rFonts w:eastAsia="Times New Roman" w:cs="Times New Roman"/>
          <w:szCs w:val="24"/>
        </w:rPr>
        <w:t>, S.E.</w:t>
      </w:r>
      <w:r w:rsidR="00A45624">
        <w:rPr>
          <w:rFonts w:eastAsia="Times New Roman" w:cs="Times New Roman"/>
          <w:szCs w:val="24"/>
        </w:rPr>
        <w:t>,</w:t>
      </w:r>
      <w:r w:rsidRPr="00E10A9D">
        <w:rPr>
          <w:rFonts w:eastAsia="Times New Roman" w:cs="Times New Roman"/>
          <w:szCs w:val="24"/>
        </w:rPr>
        <w:t xml:space="preserve"> and Vidmar, J.J. (2002). The regulation of nitrate and ammonium transport systems in plants. </w:t>
      </w:r>
      <w:r w:rsidRPr="00E10A9D">
        <w:rPr>
          <w:rFonts w:eastAsia="Times New Roman" w:cs="Times New Roman"/>
          <w:i/>
          <w:iCs/>
          <w:szCs w:val="24"/>
        </w:rPr>
        <w:t>Journal of Experimental Botany, 53</w:t>
      </w:r>
      <w:r w:rsidRPr="00E10A9D">
        <w:rPr>
          <w:rFonts w:eastAsia="Times New Roman" w:cs="Times New Roman"/>
          <w:szCs w:val="24"/>
        </w:rPr>
        <w:t>(370), 855–864.</w:t>
      </w:r>
    </w:p>
    <w:p w14:paraId="0071541D" w14:textId="4BC8B997" w:rsidR="00070379" w:rsidRPr="00E10A9D" w:rsidRDefault="00070379" w:rsidP="00070379">
      <w:pPr>
        <w:ind w:left="567" w:hanging="567"/>
        <w:rPr>
          <w:rFonts w:eastAsia="Times New Roman" w:cs="Times New Roman"/>
          <w:szCs w:val="24"/>
        </w:rPr>
      </w:pPr>
      <w:r w:rsidRPr="00E10A9D">
        <w:rPr>
          <w:rFonts w:eastAsia="Times New Roman" w:cs="Times New Roman"/>
          <w:szCs w:val="24"/>
        </w:rPr>
        <w:t>Hachiya, T.</w:t>
      </w:r>
      <w:r w:rsidR="00A45624">
        <w:rPr>
          <w:rFonts w:eastAsia="Times New Roman" w:cs="Times New Roman"/>
          <w:szCs w:val="24"/>
        </w:rPr>
        <w:t>,</w:t>
      </w:r>
      <w:r w:rsidRPr="00E10A9D">
        <w:rPr>
          <w:rFonts w:eastAsia="Times New Roman" w:cs="Times New Roman"/>
          <w:szCs w:val="24"/>
        </w:rPr>
        <w:t xml:space="preserve"> and Sakakibara, H. (2017). Interactions between nitrate and ammonium in their uptake, allocation, assimilation, and </w:t>
      </w:r>
      <w:proofErr w:type="spellStart"/>
      <w:r w:rsidRPr="00E10A9D">
        <w:rPr>
          <w:rFonts w:eastAsia="Times New Roman" w:cs="Times New Roman"/>
          <w:szCs w:val="24"/>
        </w:rPr>
        <w:t>signaling</w:t>
      </w:r>
      <w:proofErr w:type="spellEnd"/>
      <w:r w:rsidRPr="00E10A9D">
        <w:rPr>
          <w:rFonts w:eastAsia="Times New Roman" w:cs="Times New Roman"/>
          <w:szCs w:val="24"/>
        </w:rPr>
        <w:t xml:space="preserve"> in plants. </w:t>
      </w:r>
      <w:r w:rsidRPr="00E10A9D">
        <w:rPr>
          <w:rFonts w:eastAsia="Times New Roman" w:cs="Times New Roman"/>
          <w:i/>
          <w:iCs/>
          <w:szCs w:val="24"/>
        </w:rPr>
        <w:t>Journal of Experimental Botany</w:t>
      </w:r>
      <w:r w:rsidRPr="00E10A9D">
        <w:rPr>
          <w:rFonts w:eastAsia="Times New Roman" w:cs="Times New Roman"/>
          <w:szCs w:val="24"/>
        </w:rPr>
        <w:t>, </w:t>
      </w:r>
      <w:r w:rsidRPr="00E10A9D">
        <w:rPr>
          <w:rFonts w:eastAsia="Times New Roman" w:cs="Times New Roman"/>
          <w:i/>
          <w:iCs/>
          <w:szCs w:val="24"/>
        </w:rPr>
        <w:t>68</w:t>
      </w:r>
      <w:r w:rsidRPr="00E10A9D">
        <w:rPr>
          <w:rFonts w:eastAsia="Times New Roman" w:cs="Times New Roman"/>
          <w:szCs w:val="24"/>
        </w:rPr>
        <w:t>(10), 2501–2512.</w:t>
      </w:r>
    </w:p>
    <w:p w14:paraId="16B47BA2" w14:textId="5D3EC2EC" w:rsidR="00070379" w:rsidRPr="00E10A9D" w:rsidRDefault="00070379" w:rsidP="00070379">
      <w:pPr>
        <w:ind w:left="567" w:hanging="567"/>
        <w:rPr>
          <w:rFonts w:eastAsia="Times New Roman" w:cs="Times New Roman"/>
          <w:szCs w:val="24"/>
        </w:rPr>
      </w:pPr>
      <w:bookmarkStart w:id="134" w:name="_n7ifv8q6lftm" w:colFirst="0" w:colLast="0"/>
      <w:bookmarkEnd w:id="134"/>
      <w:r w:rsidRPr="00E10A9D">
        <w:rPr>
          <w:rFonts w:eastAsia="Times New Roman" w:cs="Times New Roman"/>
          <w:szCs w:val="24"/>
        </w:rPr>
        <w:t>Heil, M.</w:t>
      </w:r>
      <w:r w:rsidR="00A45624">
        <w:rPr>
          <w:rFonts w:eastAsia="Times New Roman" w:cs="Times New Roman"/>
          <w:szCs w:val="24"/>
        </w:rPr>
        <w:t>,</w:t>
      </w:r>
      <w:r w:rsidRPr="00E10A9D">
        <w:rPr>
          <w:rFonts w:eastAsia="Times New Roman" w:cs="Times New Roman"/>
          <w:szCs w:val="24"/>
        </w:rPr>
        <w:t xml:space="preserve"> and McKey, D. (2003)</w:t>
      </w:r>
      <w:r w:rsidRPr="00E10A9D">
        <w:rPr>
          <w:rFonts w:eastAsia="Aptos" w:cs="Times New Roman"/>
          <w:szCs w:val="24"/>
        </w:rPr>
        <w:t>.</w:t>
      </w:r>
      <w:r w:rsidRPr="00E10A9D">
        <w:rPr>
          <w:rFonts w:eastAsia="Times New Roman" w:cs="Times New Roman"/>
          <w:szCs w:val="24"/>
        </w:rPr>
        <w:t xml:space="preserve"> Protective ant–plant interactions as model systems in ecological and evolutionary research. </w:t>
      </w:r>
      <w:r w:rsidRPr="00E10A9D">
        <w:rPr>
          <w:rFonts w:eastAsia="Times New Roman" w:cs="Times New Roman"/>
          <w:i/>
          <w:iCs/>
          <w:szCs w:val="24"/>
        </w:rPr>
        <w:t>Annual Review of Ecology, Evolution, and Systematics</w:t>
      </w:r>
      <w:r w:rsidRPr="00E10A9D">
        <w:rPr>
          <w:rFonts w:eastAsia="Aptos" w:cs="Times New Roman"/>
          <w:szCs w:val="24"/>
        </w:rPr>
        <w:t xml:space="preserve">, </w:t>
      </w:r>
      <w:r w:rsidRPr="00E10A9D">
        <w:rPr>
          <w:rFonts w:eastAsia="Aptos" w:cs="Times New Roman"/>
          <w:i/>
          <w:iCs/>
          <w:szCs w:val="24"/>
        </w:rPr>
        <w:t>34</w:t>
      </w:r>
      <w:r w:rsidRPr="00E10A9D">
        <w:rPr>
          <w:rFonts w:eastAsia="Aptos" w:cs="Times New Roman"/>
          <w:szCs w:val="24"/>
        </w:rPr>
        <w:t xml:space="preserve">, </w:t>
      </w:r>
      <w:r w:rsidRPr="00E10A9D">
        <w:rPr>
          <w:rFonts w:eastAsia="Times New Roman" w:cs="Times New Roman"/>
          <w:szCs w:val="24"/>
        </w:rPr>
        <w:t>425–53.</w:t>
      </w:r>
    </w:p>
    <w:p w14:paraId="24F7B7F1" w14:textId="45D37BBC" w:rsidR="00070379" w:rsidRPr="00E10A9D" w:rsidRDefault="00070379" w:rsidP="00070379">
      <w:pPr>
        <w:ind w:left="567" w:hanging="567"/>
        <w:rPr>
          <w:rFonts w:eastAsia="Times New Roman" w:cs="Times New Roman"/>
          <w:szCs w:val="24"/>
        </w:rPr>
      </w:pPr>
      <w:r w:rsidRPr="00E10A9D">
        <w:rPr>
          <w:rFonts w:eastAsia="Times New Roman" w:cs="Times New Roman"/>
          <w:szCs w:val="24"/>
        </w:rPr>
        <w:t>Hoeksema, J.D.</w:t>
      </w:r>
      <w:r w:rsidR="00A45624">
        <w:rPr>
          <w:rFonts w:eastAsia="Times New Roman" w:cs="Times New Roman"/>
          <w:szCs w:val="24"/>
        </w:rPr>
        <w:t>,</w:t>
      </w:r>
      <w:r w:rsidRPr="00E10A9D">
        <w:rPr>
          <w:rFonts w:eastAsia="Times New Roman" w:cs="Times New Roman"/>
          <w:szCs w:val="24"/>
        </w:rPr>
        <w:t xml:space="preserve"> and Bruna, E.M. (2000). Pursuing the big questions about interspecific mutualism: A review of theoretical approaches. </w:t>
      </w:r>
      <w:proofErr w:type="spellStart"/>
      <w:r w:rsidRPr="00E10A9D">
        <w:rPr>
          <w:rFonts w:eastAsia="Times New Roman" w:cs="Times New Roman"/>
          <w:i/>
          <w:iCs/>
          <w:szCs w:val="24"/>
        </w:rPr>
        <w:t>Oecologia</w:t>
      </w:r>
      <w:proofErr w:type="spellEnd"/>
      <w:r w:rsidRPr="00E10A9D">
        <w:rPr>
          <w:rFonts w:eastAsia="Times New Roman" w:cs="Times New Roman"/>
          <w:i/>
          <w:iCs/>
          <w:szCs w:val="24"/>
        </w:rPr>
        <w:t>, 125</w:t>
      </w:r>
      <w:r w:rsidRPr="00E10A9D">
        <w:rPr>
          <w:rFonts w:eastAsia="Times New Roman" w:cs="Times New Roman"/>
          <w:szCs w:val="24"/>
        </w:rPr>
        <w:t>(3), 321–330.</w:t>
      </w:r>
    </w:p>
    <w:p w14:paraId="4E585F78" w14:textId="77777777"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Huxley, C.R. (1978). The ant-plants </w:t>
      </w:r>
      <w:proofErr w:type="spellStart"/>
      <w:r w:rsidRPr="00A331A5">
        <w:rPr>
          <w:rFonts w:eastAsia="Times New Roman" w:cs="Times New Roman"/>
          <w:i/>
          <w:iCs/>
          <w:szCs w:val="24"/>
        </w:rPr>
        <w:t>Myrmecodia</w:t>
      </w:r>
      <w:proofErr w:type="spellEnd"/>
      <w:r w:rsidRPr="00E10A9D">
        <w:rPr>
          <w:rFonts w:eastAsia="Times New Roman" w:cs="Times New Roman"/>
          <w:szCs w:val="24"/>
        </w:rPr>
        <w:t xml:space="preserve"> and </w:t>
      </w:r>
      <w:proofErr w:type="spellStart"/>
      <w:r w:rsidRPr="00A331A5">
        <w:rPr>
          <w:rFonts w:eastAsia="Times New Roman" w:cs="Times New Roman"/>
          <w:i/>
          <w:iCs/>
          <w:szCs w:val="24"/>
        </w:rPr>
        <w:t>Hydnophytum</w:t>
      </w:r>
      <w:proofErr w:type="spellEnd"/>
      <w:r w:rsidRPr="00A331A5">
        <w:rPr>
          <w:rFonts w:eastAsia="Times New Roman" w:cs="Times New Roman"/>
          <w:i/>
          <w:iCs/>
          <w:szCs w:val="24"/>
        </w:rPr>
        <w:t xml:space="preserve"> </w:t>
      </w:r>
      <w:r w:rsidRPr="00E10A9D">
        <w:rPr>
          <w:rFonts w:eastAsia="Times New Roman" w:cs="Times New Roman"/>
          <w:szCs w:val="24"/>
        </w:rPr>
        <w:t>(</w:t>
      </w:r>
      <w:proofErr w:type="spellStart"/>
      <w:r w:rsidRPr="00E10A9D">
        <w:rPr>
          <w:rFonts w:eastAsia="Times New Roman" w:cs="Times New Roman"/>
          <w:szCs w:val="24"/>
        </w:rPr>
        <w:t>Rubiaceae</w:t>
      </w:r>
      <w:proofErr w:type="spellEnd"/>
      <w:r w:rsidRPr="00E10A9D">
        <w:rPr>
          <w:rFonts w:eastAsia="Times New Roman" w:cs="Times New Roman"/>
          <w:szCs w:val="24"/>
        </w:rPr>
        <w:t xml:space="preserve">), and the relationships between their morphology, ant occupants, physiology and ecology. </w:t>
      </w:r>
      <w:r w:rsidRPr="00E10A9D">
        <w:rPr>
          <w:rFonts w:eastAsia="Times New Roman" w:cs="Times New Roman"/>
          <w:i/>
          <w:iCs/>
          <w:szCs w:val="24"/>
        </w:rPr>
        <w:t>The</w:t>
      </w:r>
      <w:r w:rsidRPr="00E10A9D">
        <w:rPr>
          <w:rFonts w:eastAsia="Times New Roman" w:cs="Times New Roman"/>
          <w:szCs w:val="24"/>
        </w:rPr>
        <w:t xml:space="preserve"> </w:t>
      </w:r>
      <w:r w:rsidRPr="00E10A9D">
        <w:rPr>
          <w:rFonts w:eastAsia="Times New Roman" w:cs="Times New Roman"/>
          <w:i/>
          <w:iCs/>
          <w:szCs w:val="24"/>
        </w:rPr>
        <w:t>New Phytologist</w:t>
      </w:r>
      <w:r w:rsidRPr="00E10A9D">
        <w:rPr>
          <w:rFonts w:eastAsia="Times New Roman" w:cs="Times New Roman"/>
          <w:szCs w:val="24"/>
        </w:rPr>
        <w:t xml:space="preserve">, </w:t>
      </w:r>
      <w:r w:rsidRPr="00E10A9D">
        <w:rPr>
          <w:rFonts w:eastAsia="Times New Roman" w:cs="Times New Roman"/>
          <w:i/>
          <w:iCs/>
          <w:szCs w:val="24"/>
        </w:rPr>
        <w:t>80</w:t>
      </w:r>
      <w:r w:rsidRPr="00E10A9D">
        <w:rPr>
          <w:rFonts w:eastAsia="Times New Roman" w:cs="Times New Roman"/>
          <w:szCs w:val="24"/>
        </w:rPr>
        <w:t>(1), 231–268.</w:t>
      </w:r>
    </w:p>
    <w:p w14:paraId="2F5368A8" w14:textId="6BCD80CF" w:rsidR="00070379" w:rsidRPr="00E10A9D" w:rsidRDefault="00070379" w:rsidP="00070379">
      <w:pPr>
        <w:ind w:left="567" w:hanging="567"/>
        <w:rPr>
          <w:rFonts w:eastAsia="Times New Roman" w:cs="Times New Roman"/>
          <w:szCs w:val="24"/>
        </w:rPr>
      </w:pPr>
      <w:r w:rsidRPr="00E10A9D">
        <w:rPr>
          <w:rFonts w:eastAsia="Times New Roman" w:cs="Times New Roman"/>
          <w:szCs w:val="24"/>
        </w:rPr>
        <w:t>Inui, Y., Tanaka, H.O., Hyodo, F.</w:t>
      </w:r>
      <w:r w:rsidR="00A45624">
        <w:rPr>
          <w:rFonts w:eastAsia="Times New Roman" w:cs="Times New Roman"/>
          <w:szCs w:val="24"/>
        </w:rPr>
        <w:t>,</w:t>
      </w:r>
      <w:r w:rsidRPr="00E10A9D">
        <w:rPr>
          <w:rFonts w:eastAsia="Times New Roman" w:cs="Times New Roman"/>
          <w:szCs w:val="24"/>
        </w:rPr>
        <w:t xml:space="preserve"> </w:t>
      </w:r>
      <w:r w:rsidR="00A331A5">
        <w:rPr>
          <w:rFonts w:eastAsia="Times New Roman" w:cs="Times New Roman"/>
          <w:szCs w:val="24"/>
        </w:rPr>
        <w:t xml:space="preserve">and </w:t>
      </w:r>
      <w:proofErr w:type="spellStart"/>
      <w:r w:rsidRPr="00E10A9D">
        <w:rPr>
          <w:rFonts w:eastAsia="Times New Roman" w:cs="Times New Roman"/>
          <w:szCs w:val="24"/>
        </w:rPr>
        <w:t>Itioka</w:t>
      </w:r>
      <w:proofErr w:type="spellEnd"/>
      <w:r w:rsidRPr="00E10A9D">
        <w:rPr>
          <w:rFonts w:eastAsia="Times New Roman" w:cs="Times New Roman"/>
          <w:szCs w:val="24"/>
        </w:rPr>
        <w:t>, T. (2009). Within-nest abundance of a tropical cockroach </w:t>
      </w:r>
      <w:proofErr w:type="spellStart"/>
      <w:r w:rsidRPr="00E10A9D">
        <w:rPr>
          <w:rFonts w:eastAsia="Times New Roman" w:cs="Times New Roman"/>
          <w:i/>
          <w:iCs/>
          <w:szCs w:val="24"/>
        </w:rPr>
        <w:t>Pseudoanaplectinia</w:t>
      </w:r>
      <w:proofErr w:type="spellEnd"/>
      <w:r w:rsidRPr="00E10A9D">
        <w:rPr>
          <w:rFonts w:eastAsia="Times New Roman" w:cs="Times New Roman"/>
          <w:i/>
          <w:iCs/>
          <w:szCs w:val="24"/>
        </w:rPr>
        <w:t xml:space="preserve"> </w:t>
      </w:r>
      <w:proofErr w:type="spellStart"/>
      <w:r w:rsidRPr="00E10A9D">
        <w:rPr>
          <w:rFonts w:eastAsia="Times New Roman" w:cs="Times New Roman"/>
          <w:i/>
          <w:iCs/>
          <w:szCs w:val="24"/>
        </w:rPr>
        <w:t>yumotoi</w:t>
      </w:r>
      <w:proofErr w:type="spellEnd"/>
      <w:r w:rsidRPr="00E10A9D">
        <w:rPr>
          <w:rFonts w:eastAsia="Times New Roman" w:cs="Times New Roman"/>
          <w:szCs w:val="24"/>
        </w:rPr>
        <w:t> associated with </w:t>
      </w:r>
      <w:proofErr w:type="spellStart"/>
      <w:r w:rsidRPr="00E10A9D">
        <w:rPr>
          <w:rFonts w:eastAsia="Times New Roman" w:cs="Times New Roman"/>
          <w:i/>
          <w:iCs/>
          <w:szCs w:val="24"/>
        </w:rPr>
        <w:t>Crematogaster</w:t>
      </w:r>
      <w:proofErr w:type="spellEnd"/>
      <w:r w:rsidRPr="00E10A9D">
        <w:rPr>
          <w:rFonts w:eastAsia="Times New Roman" w:cs="Times New Roman"/>
          <w:szCs w:val="24"/>
        </w:rPr>
        <w:t xml:space="preserve"> ants inhabiting epiphytic fern domatia in a Bornean dipterocarp forest. </w:t>
      </w:r>
      <w:r w:rsidRPr="00E10A9D">
        <w:rPr>
          <w:rFonts w:eastAsia="Times New Roman" w:cs="Times New Roman"/>
          <w:i/>
          <w:iCs/>
          <w:szCs w:val="24"/>
        </w:rPr>
        <w:t>Journal of Natural History, 43</w:t>
      </w:r>
      <w:r w:rsidRPr="00E10A9D">
        <w:rPr>
          <w:rFonts w:eastAsia="Times New Roman" w:cs="Times New Roman"/>
          <w:szCs w:val="24"/>
        </w:rPr>
        <w:t>, 1139–1145.</w:t>
      </w:r>
    </w:p>
    <w:p w14:paraId="2DE2BFF6" w14:textId="77777777"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Janzen, D.H. (1974). Epiphytic myrmecophytes in Sarawak: mutualism through the feeding of plants by ants. </w:t>
      </w:r>
      <w:proofErr w:type="spellStart"/>
      <w:r w:rsidRPr="00E10A9D">
        <w:rPr>
          <w:rFonts w:eastAsia="Times New Roman" w:cs="Times New Roman"/>
          <w:i/>
          <w:iCs/>
          <w:szCs w:val="24"/>
        </w:rPr>
        <w:t>Biotropica</w:t>
      </w:r>
      <w:proofErr w:type="spellEnd"/>
      <w:r w:rsidRPr="00E10A9D">
        <w:rPr>
          <w:rFonts w:eastAsia="Times New Roman" w:cs="Times New Roman"/>
          <w:szCs w:val="24"/>
        </w:rPr>
        <w:t xml:space="preserve">, </w:t>
      </w:r>
      <w:r w:rsidRPr="00E10A9D">
        <w:rPr>
          <w:rFonts w:eastAsia="Times New Roman" w:cs="Times New Roman"/>
          <w:i/>
          <w:iCs/>
          <w:szCs w:val="24"/>
        </w:rPr>
        <w:t>6</w:t>
      </w:r>
      <w:r w:rsidRPr="00E10A9D">
        <w:rPr>
          <w:rFonts w:eastAsia="Times New Roman" w:cs="Times New Roman"/>
          <w:szCs w:val="24"/>
        </w:rPr>
        <w:t>(4), 237-259.</w:t>
      </w:r>
    </w:p>
    <w:p w14:paraId="6EEB0C6B" w14:textId="77777777"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Karban, R. (2011). The ecology and evolution of induced resistance against herbivores. </w:t>
      </w:r>
      <w:r w:rsidRPr="00E10A9D">
        <w:rPr>
          <w:rFonts w:eastAsia="Times New Roman" w:cs="Times New Roman"/>
          <w:i/>
          <w:iCs/>
          <w:szCs w:val="24"/>
        </w:rPr>
        <w:t>Functional Ecology, 25</w:t>
      </w:r>
      <w:r w:rsidRPr="00E10A9D">
        <w:rPr>
          <w:rFonts w:eastAsia="Times New Roman" w:cs="Times New Roman"/>
          <w:szCs w:val="24"/>
        </w:rPr>
        <w:t>(2), 339-347.</w:t>
      </w:r>
    </w:p>
    <w:p w14:paraId="4A484CB9" w14:textId="5516EEA1" w:rsidR="00070379" w:rsidRPr="00E10A9D" w:rsidRDefault="00070379" w:rsidP="00070379">
      <w:pPr>
        <w:ind w:left="567" w:hanging="567"/>
        <w:rPr>
          <w:rFonts w:eastAsia="Times New Roman" w:cs="Times New Roman"/>
          <w:szCs w:val="24"/>
        </w:rPr>
      </w:pPr>
      <w:r w:rsidRPr="00E10A9D">
        <w:rPr>
          <w:rFonts w:eastAsia="Times New Roman" w:cs="Times New Roman"/>
          <w:szCs w:val="24"/>
        </w:rPr>
        <w:t>Kiers, E.T., Palmer, T.M., Ives, A.R., Bruno, J.F.</w:t>
      </w:r>
      <w:r w:rsidR="00A45624">
        <w:rPr>
          <w:rFonts w:eastAsia="Times New Roman" w:cs="Times New Roman"/>
          <w:szCs w:val="24"/>
        </w:rPr>
        <w:t>,</w:t>
      </w:r>
      <w:r w:rsidRPr="00E10A9D">
        <w:rPr>
          <w:rFonts w:eastAsia="Times New Roman" w:cs="Times New Roman"/>
          <w:szCs w:val="24"/>
        </w:rPr>
        <w:t xml:space="preserve"> and Bronstein, J.L. (2010). Mutualisms in a changing world: An evolutionary perspective. </w:t>
      </w:r>
      <w:r w:rsidRPr="00E10A9D">
        <w:rPr>
          <w:rFonts w:eastAsia="Times New Roman" w:cs="Times New Roman"/>
          <w:i/>
          <w:iCs/>
          <w:szCs w:val="24"/>
        </w:rPr>
        <w:t>Ecology Letters, 13</w:t>
      </w:r>
      <w:r w:rsidRPr="00E10A9D">
        <w:rPr>
          <w:rFonts w:eastAsia="Times New Roman" w:cs="Times New Roman"/>
          <w:szCs w:val="24"/>
        </w:rPr>
        <w:t>(12), 1459–1474.</w:t>
      </w:r>
    </w:p>
    <w:p w14:paraId="52B425C1" w14:textId="6DB50893" w:rsidR="00070379" w:rsidRPr="00E10A9D" w:rsidRDefault="00070379" w:rsidP="00070379">
      <w:pPr>
        <w:ind w:left="567" w:hanging="567"/>
        <w:rPr>
          <w:rFonts w:eastAsia="Times New Roman" w:cs="Times New Roman"/>
          <w:szCs w:val="24"/>
        </w:rPr>
      </w:pPr>
      <w:r w:rsidRPr="00E10A9D">
        <w:rPr>
          <w:rFonts w:eastAsia="Times New Roman" w:cs="Times New Roman"/>
          <w:szCs w:val="24"/>
        </w:rPr>
        <w:lastRenderedPageBreak/>
        <w:t>Kim, D., Paggi, J.M., Park, C., Bennett, C.</w:t>
      </w:r>
      <w:r w:rsidR="00A45624">
        <w:rPr>
          <w:rFonts w:eastAsia="Times New Roman" w:cs="Times New Roman"/>
          <w:szCs w:val="24"/>
        </w:rPr>
        <w:t>,</w:t>
      </w:r>
      <w:r w:rsidRPr="00E10A9D">
        <w:rPr>
          <w:rFonts w:eastAsia="Times New Roman" w:cs="Times New Roman"/>
          <w:szCs w:val="24"/>
        </w:rPr>
        <w:t xml:space="preserve"> and Salzberg, S.L. (2019). Graph-based genome alignment and genotyping with HISAT2 and HISAT-genotype. </w:t>
      </w:r>
      <w:r w:rsidRPr="00E10A9D">
        <w:rPr>
          <w:rFonts w:eastAsia="Times New Roman" w:cs="Times New Roman"/>
          <w:i/>
          <w:iCs/>
          <w:szCs w:val="24"/>
        </w:rPr>
        <w:t>Nature Biotechnology</w:t>
      </w:r>
      <w:r w:rsidRPr="00E10A9D">
        <w:rPr>
          <w:rFonts w:eastAsia="Times New Roman" w:cs="Times New Roman"/>
          <w:szCs w:val="24"/>
        </w:rPr>
        <w:t xml:space="preserve">, </w:t>
      </w:r>
      <w:r w:rsidRPr="00E10A9D">
        <w:rPr>
          <w:rFonts w:eastAsia="Times New Roman" w:cs="Times New Roman"/>
          <w:i/>
          <w:iCs/>
          <w:szCs w:val="24"/>
        </w:rPr>
        <w:t>37</w:t>
      </w:r>
      <w:r w:rsidRPr="00E10A9D">
        <w:rPr>
          <w:rFonts w:eastAsia="Times New Roman" w:cs="Times New Roman"/>
          <w:szCs w:val="24"/>
        </w:rPr>
        <w:t xml:space="preserve">(8), 907–915. </w:t>
      </w:r>
    </w:p>
    <w:p w14:paraId="64194111" w14:textId="0E95EB01"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Krapp, A., David, L.C., Chardin, C., Girin, T., </w:t>
      </w:r>
      <w:proofErr w:type="spellStart"/>
      <w:r w:rsidRPr="00E10A9D">
        <w:rPr>
          <w:rFonts w:eastAsia="Times New Roman" w:cs="Times New Roman"/>
          <w:szCs w:val="24"/>
        </w:rPr>
        <w:t>Marmagne</w:t>
      </w:r>
      <w:proofErr w:type="spellEnd"/>
      <w:r w:rsidRPr="00E10A9D">
        <w:rPr>
          <w:rFonts w:eastAsia="Times New Roman" w:cs="Times New Roman"/>
          <w:szCs w:val="24"/>
        </w:rPr>
        <w:t xml:space="preserve">, A., Leprince, A.S., </w:t>
      </w:r>
      <w:proofErr w:type="spellStart"/>
      <w:r w:rsidRPr="00E10A9D">
        <w:rPr>
          <w:rFonts w:eastAsia="Times New Roman" w:cs="Times New Roman"/>
          <w:szCs w:val="24"/>
        </w:rPr>
        <w:t>Chaillou</w:t>
      </w:r>
      <w:proofErr w:type="spellEnd"/>
      <w:r w:rsidRPr="00E10A9D">
        <w:rPr>
          <w:rFonts w:eastAsia="Times New Roman" w:cs="Times New Roman"/>
          <w:szCs w:val="24"/>
        </w:rPr>
        <w:t>, S., Ferrario-Méry, S., Meyer, C.</w:t>
      </w:r>
      <w:r w:rsidR="00CC4044">
        <w:rPr>
          <w:rFonts w:eastAsia="Times New Roman" w:cs="Times New Roman"/>
          <w:szCs w:val="24"/>
        </w:rPr>
        <w:t>,</w:t>
      </w:r>
      <w:r w:rsidRPr="00E10A9D">
        <w:rPr>
          <w:rFonts w:eastAsia="Times New Roman" w:cs="Times New Roman"/>
          <w:szCs w:val="24"/>
        </w:rPr>
        <w:t xml:space="preserve"> and Daniel-Vedele, F. (2014). Nitrate transport and signalling in Arabidopsis. </w:t>
      </w:r>
      <w:r w:rsidRPr="00E10A9D">
        <w:rPr>
          <w:rFonts w:eastAsia="Times New Roman" w:cs="Times New Roman"/>
          <w:i/>
          <w:iCs/>
          <w:szCs w:val="24"/>
        </w:rPr>
        <w:t>Journal of Experimental Botany, 65</w:t>
      </w:r>
      <w:r w:rsidRPr="00E10A9D">
        <w:rPr>
          <w:rFonts w:eastAsia="Times New Roman" w:cs="Times New Roman"/>
          <w:szCs w:val="24"/>
        </w:rPr>
        <w:t>(3), 789-798.</w:t>
      </w:r>
    </w:p>
    <w:p w14:paraId="37E20EDB" w14:textId="5F3EFDA7"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Leroy, C., </w:t>
      </w:r>
      <w:proofErr w:type="spellStart"/>
      <w:r w:rsidRPr="00E10A9D">
        <w:rPr>
          <w:rFonts w:eastAsia="Times New Roman" w:cs="Times New Roman"/>
          <w:szCs w:val="24"/>
        </w:rPr>
        <w:t>Séjalon</w:t>
      </w:r>
      <w:proofErr w:type="spellEnd"/>
      <w:r w:rsidRPr="00E10A9D">
        <w:rPr>
          <w:rFonts w:eastAsia="Times New Roman" w:cs="Times New Roman"/>
          <w:szCs w:val="24"/>
        </w:rPr>
        <w:t xml:space="preserve">‐Delmas, N., </w:t>
      </w:r>
      <w:proofErr w:type="spellStart"/>
      <w:r w:rsidRPr="00E10A9D">
        <w:rPr>
          <w:rFonts w:eastAsia="Times New Roman" w:cs="Times New Roman"/>
          <w:szCs w:val="24"/>
        </w:rPr>
        <w:t>Jauneau</w:t>
      </w:r>
      <w:proofErr w:type="spellEnd"/>
      <w:r w:rsidRPr="00E10A9D">
        <w:rPr>
          <w:rFonts w:eastAsia="Times New Roman" w:cs="Times New Roman"/>
          <w:szCs w:val="24"/>
        </w:rPr>
        <w:t xml:space="preserve">, A., Ruiz‐González, M.X., Gryta, H., </w:t>
      </w:r>
      <w:proofErr w:type="spellStart"/>
      <w:r w:rsidRPr="00E10A9D">
        <w:rPr>
          <w:rFonts w:eastAsia="Times New Roman" w:cs="Times New Roman"/>
          <w:szCs w:val="24"/>
        </w:rPr>
        <w:t>Jargeat</w:t>
      </w:r>
      <w:proofErr w:type="spellEnd"/>
      <w:r w:rsidRPr="00E10A9D">
        <w:rPr>
          <w:rFonts w:eastAsia="Times New Roman" w:cs="Times New Roman"/>
          <w:szCs w:val="24"/>
        </w:rPr>
        <w:t xml:space="preserve">, P., </w:t>
      </w:r>
      <w:proofErr w:type="spellStart"/>
      <w:r w:rsidRPr="00E10A9D">
        <w:rPr>
          <w:rFonts w:eastAsia="Times New Roman" w:cs="Times New Roman"/>
          <w:szCs w:val="24"/>
        </w:rPr>
        <w:t>Corbara</w:t>
      </w:r>
      <w:proofErr w:type="spellEnd"/>
      <w:r w:rsidRPr="00E10A9D">
        <w:rPr>
          <w:rFonts w:eastAsia="Times New Roman" w:cs="Times New Roman"/>
          <w:szCs w:val="24"/>
        </w:rPr>
        <w:t>, B., Dejean, A.</w:t>
      </w:r>
      <w:r w:rsidR="00CC4044">
        <w:rPr>
          <w:rFonts w:eastAsia="Times New Roman" w:cs="Times New Roman"/>
          <w:szCs w:val="24"/>
        </w:rPr>
        <w:t>,</w:t>
      </w:r>
      <w:r w:rsidRPr="00E10A9D">
        <w:rPr>
          <w:rFonts w:eastAsia="Times New Roman" w:cs="Times New Roman"/>
          <w:szCs w:val="24"/>
        </w:rPr>
        <w:t xml:space="preserve"> and </w:t>
      </w:r>
      <w:proofErr w:type="spellStart"/>
      <w:r w:rsidRPr="00E10A9D">
        <w:rPr>
          <w:rFonts w:eastAsia="Times New Roman" w:cs="Times New Roman"/>
          <w:szCs w:val="24"/>
        </w:rPr>
        <w:t>Orivel</w:t>
      </w:r>
      <w:proofErr w:type="spellEnd"/>
      <w:r w:rsidRPr="00E10A9D">
        <w:rPr>
          <w:rFonts w:eastAsia="Times New Roman" w:cs="Times New Roman"/>
          <w:szCs w:val="24"/>
        </w:rPr>
        <w:t xml:space="preserve">, J. (2011). Trophic mediation by a fungus in an ant–plant mutualism. </w:t>
      </w:r>
      <w:r w:rsidRPr="00E10A9D">
        <w:rPr>
          <w:rFonts w:eastAsia="Times New Roman" w:cs="Times New Roman"/>
          <w:i/>
          <w:iCs/>
          <w:szCs w:val="24"/>
        </w:rPr>
        <w:t>Journal of Ecology, 99</w:t>
      </w:r>
      <w:r w:rsidRPr="00E10A9D">
        <w:rPr>
          <w:rFonts w:eastAsia="Times New Roman" w:cs="Times New Roman"/>
          <w:szCs w:val="24"/>
        </w:rPr>
        <w:t>(2), 583-590.</w:t>
      </w:r>
    </w:p>
    <w:p w14:paraId="7660ADB0" w14:textId="55CE1D18"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Li, H., Handsaker, B., </w:t>
      </w:r>
      <w:proofErr w:type="spellStart"/>
      <w:r w:rsidRPr="00E10A9D">
        <w:rPr>
          <w:rFonts w:eastAsia="Times New Roman" w:cs="Times New Roman"/>
          <w:szCs w:val="24"/>
        </w:rPr>
        <w:t>Wysoker</w:t>
      </w:r>
      <w:proofErr w:type="spellEnd"/>
      <w:r w:rsidRPr="00E10A9D">
        <w:rPr>
          <w:rFonts w:eastAsia="Times New Roman" w:cs="Times New Roman"/>
          <w:szCs w:val="24"/>
        </w:rPr>
        <w:t xml:space="preserve">, A., Fennell, T., Ruan, J., Homer, N., Marth, G., </w:t>
      </w:r>
      <w:proofErr w:type="spellStart"/>
      <w:r w:rsidRPr="00E10A9D">
        <w:rPr>
          <w:rFonts w:eastAsia="Times New Roman" w:cs="Times New Roman"/>
          <w:szCs w:val="24"/>
        </w:rPr>
        <w:t>Abecasis</w:t>
      </w:r>
      <w:proofErr w:type="spellEnd"/>
      <w:r w:rsidRPr="00E10A9D">
        <w:rPr>
          <w:rFonts w:eastAsia="Times New Roman" w:cs="Times New Roman"/>
          <w:szCs w:val="24"/>
        </w:rPr>
        <w:t>, G., Durbin, R.</w:t>
      </w:r>
      <w:r w:rsidR="00CC4044">
        <w:rPr>
          <w:rFonts w:eastAsia="Times New Roman" w:cs="Times New Roman"/>
          <w:szCs w:val="24"/>
        </w:rPr>
        <w:t>,</w:t>
      </w:r>
      <w:r w:rsidRPr="00E10A9D">
        <w:rPr>
          <w:rFonts w:eastAsia="Times New Roman" w:cs="Times New Roman"/>
          <w:szCs w:val="24"/>
        </w:rPr>
        <w:t xml:space="preserve"> and 1000 Genome Project Data Processing Subgroup. (2009). The Sequence Alignment/Map format and </w:t>
      </w:r>
      <w:proofErr w:type="spellStart"/>
      <w:r w:rsidRPr="00E10A9D">
        <w:rPr>
          <w:rFonts w:eastAsia="Times New Roman" w:cs="Times New Roman"/>
          <w:szCs w:val="24"/>
        </w:rPr>
        <w:t>SAMtools</w:t>
      </w:r>
      <w:proofErr w:type="spellEnd"/>
      <w:r w:rsidRPr="00E10A9D">
        <w:rPr>
          <w:rFonts w:eastAsia="Times New Roman" w:cs="Times New Roman"/>
          <w:szCs w:val="24"/>
        </w:rPr>
        <w:t>. </w:t>
      </w:r>
      <w:r w:rsidRPr="00E10A9D">
        <w:rPr>
          <w:rFonts w:eastAsia="Times New Roman" w:cs="Times New Roman"/>
          <w:i/>
          <w:iCs/>
          <w:szCs w:val="24"/>
        </w:rPr>
        <w:t>Bioinformatics</w:t>
      </w:r>
      <w:r w:rsidRPr="00E10A9D">
        <w:rPr>
          <w:rFonts w:eastAsia="Times New Roman" w:cs="Times New Roman"/>
          <w:szCs w:val="24"/>
        </w:rPr>
        <w:t>, </w:t>
      </w:r>
      <w:r w:rsidRPr="00E10A9D">
        <w:rPr>
          <w:rFonts w:eastAsia="Times New Roman" w:cs="Times New Roman"/>
          <w:i/>
          <w:iCs/>
          <w:szCs w:val="24"/>
        </w:rPr>
        <w:t>25</w:t>
      </w:r>
      <w:r w:rsidRPr="00E10A9D">
        <w:rPr>
          <w:rFonts w:eastAsia="Times New Roman" w:cs="Times New Roman"/>
          <w:szCs w:val="24"/>
        </w:rPr>
        <w:t xml:space="preserve">(16), 2078–2079. </w:t>
      </w:r>
    </w:p>
    <w:p w14:paraId="75F439BC" w14:textId="2E435160" w:rsidR="00070379" w:rsidRPr="00E10A9D" w:rsidRDefault="00070379" w:rsidP="00070379">
      <w:pPr>
        <w:ind w:left="567" w:hanging="567"/>
        <w:rPr>
          <w:rFonts w:eastAsia="Times New Roman" w:cs="Times New Roman"/>
          <w:szCs w:val="24"/>
        </w:rPr>
      </w:pPr>
      <w:r w:rsidRPr="00E10A9D">
        <w:rPr>
          <w:rFonts w:eastAsia="Times New Roman" w:cs="Times New Roman"/>
          <w:szCs w:val="24"/>
        </w:rPr>
        <w:t>Liao, Y., Smyth, G.K.</w:t>
      </w:r>
      <w:r w:rsidR="00CC4044">
        <w:rPr>
          <w:rFonts w:eastAsia="Times New Roman" w:cs="Times New Roman"/>
          <w:szCs w:val="24"/>
        </w:rPr>
        <w:t>,</w:t>
      </w:r>
      <w:r w:rsidRPr="00E10A9D">
        <w:rPr>
          <w:rFonts w:eastAsia="Times New Roman" w:cs="Times New Roman"/>
          <w:szCs w:val="24"/>
        </w:rPr>
        <w:t xml:space="preserve"> and Shi, W. (2014). </w:t>
      </w:r>
      <w:proofErr w:type="spellStart"/>
      <w:r w:rsidRPr="00E10A9D">
        <w:rPr>
          <w:rFonts w:eastAsia="Times New Roman" w:cs="Times New Roman"/>
          <w:szCs w:val="24"/>
        </w:rPr>
        <w:t>FeatureCounts</w:t>
      </w:r>
      <w:proofErr w:type="spellEnd"/>
      <w:r w:rsidRPr="00E10A9D">
        <w:rPr>
          <w:rFonts w:eastAsia="Times New Roman" w:cs="Times New Roman"/>
          <w:szCs w:val="24"/>
        </w:rPr>
        <w:t xml:space="preserve">: an efficient </w:t>
      </w:r>
      <w:r w:rsidR="001501D6" w:rsidRPr="00E10A9D">
        <w:rPr>
          <w:rFonts w:eastAsia="Times New Roman" w:cs="Times New Roman"/>
          <w:szCs w:val="24"/>
        </w:rPr>
        <w:t>general-purpose</w:t>
      </w:r>
      <w:r w:rsidRPr="00E10A9D">
        <w:rPr>
          <w:rFonts w:eastAsia="Times New Roman" w:cs="Times New Roman"/>
          <w:szCs w:val="24"/>
        </w:rPr>
        <w:t xml:space="preserve"> program for assigning sequence reads to genomic features. </w:t>
      </w:r>
      <w:r w:rsidRPr="00E10A9D">
        <w:rPr>
          <w:rFonts w:eastAsia="Times New Roman" w:cs="Times New Roman"/>
          <w:i/>
          <w:iCs/>
          <w:szCs w:val="24"/>
        </w:rPr>
        <w:t>Bioinformatics</w:t>
      </w:r>
      <w:r w:rsidRPr="00E10A9D">
        <w:rPr>
          <w:rFonts w:eastAsia="Times New Roman" w:cs="Times New Roman"/>
          <w:szCs w:val="24"/>
        </w:rPr>
        <w:t xml:space="preserve">, </w:t>
      </w:r>
      <w:r w:rsidRPr="00E10A9D">
        <w:rPr>
          <w:rFonts w:eastAsia="Times New Roman" w:cs="Times New Roman"/>
          <w:i/>
          <w:iCs/>
          <w:szCs w:val="24"/>
        </w:rPr>
        <w:t>30</w:t>
      </w:r>
      <w:r w:rsidRPr="00E10A9D">
        <w:rPr>
          <w:rFonts w:eastAsia="Times New Roman" w:cs="Times New Roman"/>
          <w:szCs w:val="24"/>
        </w:rPr>
        <w:t>(7), 923–930.</w:t>
      </w:r>
    </w:p>
    <w:p w14:paraId="3557EACB" w14:textId="6B246CC4"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Ludewig, U., </w:t>
      </w:r>
      <w:proofErr w:type="spellStart"/>
      <w:r w:rsidRPr="00E10A9D">
        <w:rPr>
          <w:rFonts w:eastAsia="Times New Roman" w:cs="Times New Roman"/>
          <w:szCs w:val="24"/>
        </w:rPr>
        <w:t>Neuhäuser</w:t>
      </w:r>
      <w:proofErr w:type="spellEnd"/>
      <w:r w:rsidRPr="00E10A9D">
        <w:rPr>
          <w:rFonts w:eastAsia="Times New Roman" w:cs="Times New Roman"/>
          <w:szCs w:val="24"/>
        </w:rPr>
        <w:t>, B.</w:t>
      </w:r>
      <w:r w:rsidR="00CC4044">
        <w:rPr>
          <w:rFonts w:eastAsia="Times New Roman" w:cs="Times New Roman"/>
          <w:szCs w:val="24"/>
        </w:rPr>
        <w:t>,</w:t>
      </w:r>
      <w:r w:rsidRPr="00E10A9D">
        <w:rPr>
          <w:rFonts w:eastAsia="Times New Roman" w:cs="Times New Roman"/>
          <w:szCs w:val="24"/>
        </w:rPr>
        <w:t xml:space="preserve"> and </w:t>
      </w:r>
      <w:proofErr w:type="spellStart"/>
      <w:r w:rsidRPr="00E10A9D">
        <w:rPr>
          <w:rFonts w:eastAsia="Times New Roman" w:cs="Times New Roman"/>
          <w:szCs w:val="24"/>
        </w:rPr>
        <w:t>Dynowski</w:t>
      </w:r>
      <w:proofErr w:type="spellEnd"/>
      <w:r w:rsidRPr="00E10A9D">
        <w:rPr>
          <w:rFonts w:eastAsia="Times New Roman" w:cs="Times New Roman"/>
          <w:szCs w:val="24"/>
        </w:rPr>
        <w:t xml:space="preserve">, M. (2007). Molecular mechanisms of ammonium transport and accumulation in plants. </w:t>
      </w:r>
      <w:r w:rsidRPr="00E10A9D">
        <w:rPr>
          <w:rFonts w:eastAsia="Times New Roman" w:cs="Times New Roman"/>
          <w:i/>
          <w:iCs/>
          <w:szCs w:val="24"/>
        </w:rPr>
        <w:t>FEBS Letters, 581</w:t>
      </w:r>
      <w:r w:rsidRPr="00E10A9D">
        <w:rPr>
          <w:rFonts w:eastAsia="Times New Roman" w:cs="Times New Roman"/>
          <w:szCs w:val="24"/>
        </w:rPr>
        <w:t>(12), 2301-2308.</w:t>
      </w:r>
    </w:p>
    <w:p w14:paraId="08D72D37" w14:textId="00918EEB" w:rsidR="00070379" w:rsidRPr="00E10A9D" w:rsidRDefault="00070379" w:rsidP="00070379">
      <w:pPr>
        <w:ind w:left="567" w:hanging="567"/>
        <w:rPr>
          <w:rFonts w:eastAsia="Times New Roman" w:cs="Times New Roman"/>
          <w:szCs w:val="24"/>
        </w:rPr>
      </w:pPr>
      <w:proofErr w:type="spellStart"/>
      <w:r w:rsidRPr="00E10A9D">
        <w:rPr>
          <w:rFonts w:eastAsia="Times New Roman" w:cs="Times New Roman"/>
          <w:szCs w:val="24"/>
        </w:rPr>
        <w:t>Loqué</w:t>
      </w:r>
      <w:proofErr w:type="spellEnd"/>
      <w:r w:rsidRPr="00E10A9D">
        <w:rPr>
          <w:rFonts w:eastAsia="Times New Roman" w:cs="Times New Roman"/>
          <w:szCs w:val="24"/>
        </w:rPr>
        <w:t>, D.</w:t>
      </w:r>
      <w:r w:rsidR="00CC4044">
        <w:rPr>
          <w:rFonts w:eastAsia="Times New Roman" w:cs="Times New Roman"/>
          <w:szCs w:val="24"/>
        </w:rPr>
        <w:t>,</w:t>
      </w:r>
      <w:r w:rsidRPr="00E10A9D">
        <w:rPr>
          <w:rFonts w:eastAsia="Times New Roman" w:cs="Times New Roman"/>
          <w:szCs w:val="24"/>
        </w:rPr>
        <w:t xml:space="preserve"> and von </w:t>
      </w:r>
      <w:proofErr w:type="spellStart"/>
      <w:r w:rsidRPr="00E10A9D">
        <w:rPr>
          <w:rFonts w:eastAsia="Times New Roman" w:cs="Times New Roman"/>
          <w:szCs w:val="24"/>
        </w:rPr>
        <w:t>Wirén</w:t>
      </w:r>
      <w:proofErr w:type="spellEnd"/>
      <w:r w:rsidRPr="00E10A9D">
        <w:rPr>
          <w:rFonts w:eastAsia="Times New Roman" w:cs="Times New Roman"/>
          <w:szCs w:val="24"/>
        </w:rPr>
        <w:t xml:space="preserve">, N. (2004). Regulatory levels for the transport of ammonium in plant roots. </w:t>
      </w:r>
      <w:r w:rsidRPr="00E10A9D">
        <w:rPr>
          <w:rFonts w:eastAsia="Times New Roman" w:cs="Times New Roman"/>
          <w:i/>
          <w:iCs/>
          <w:szCs w:val="24"/>
        </w:rPr>
        <w:t>Journal of Experimental Botany, 55</w:t>
      </w:r>
      <w:r w:rsidRPr="00E10A9D">
        <w:rPr>
          <w:rFonts w:eastAsia="Times New Roman" w:cs="Times New Roman"/>
          <w:szCs w:val="24"/>
        </w:rPr>
        <w:t>(401), 1293-1305.</w:t>
      </w:r>
    </w:p>
    <w:p w14:paraId="41EE44B0" w14:textId="2FF90DC2" w:rsidR="00070379" w:rsidRPr="00E10A9D" w:rsidRDefault="00070379" w:rsidP="00070379">
      <w:pPr>
        <w:ind w:left="567" w:hanging="567"/>
        <w:rPr>
          <w:rFonts w:eastAsia="Times New Roman" w:cs="Times New Roman"/>
          <w:szCs w:val="24"/>
        </w:rPr>
      </w:pPr>
      <w:r w:rsidRPr="00E10A9D">
        <w:rPr>
          <w:rFonts w:eastAsia="Times New Roman" w:cs="Times New Roman"/>
          <w:szCs w:val="24"/>
        </w:rPr>
        <w:t>Love, M.I., Huber, W.</w:t>
      </w:r>
      <w:r w:rsidR="00CC4044">
        <w:rPr>
          <w:rFonts w:eastAsia="Times New Roman" w:cs="Times New Roman"/>
          <w:szCs w:val="24"/>
        </w:rPr>
        <w:t>,</w:t>
      </w:r>
      <w:r w:rsidRPr="00E10A9D">
        <w:rPr>
          <w:rFonts w:eastAsia="Times New Roman" w:cs="Times New Roman"/>
          <w:szCs w:val="24"/>
        </w:rPr>
        <w:t xml:space="preserve"> and Anders, S. (2014). Moderated estimation of fold change and dispersion for RNA-</w:t>
      </w:r>
      <w:proofErr w:type="spellStart"/>
      <w:r w:rsidRPr="00E10A9D">
        <w:rPr>
          <w:rFonts w:eastAsia="Times New Roman" w:cs="Times New Roman"/>
          <w:szCs w:val="24"/>
        </w:rPr>
        <w:t>seq</w:t>
      </w:r>
      <w:proofErr w:type="spellEnd"/>
      <w:r w:rsidRPr="00E10A9D">
        <w:rPr>
          <w:rFonts w:eastAsia="Times New Roman" w:cs="Times New Roman"/>
          <w:szCs w:val="24"/>
        </w:rPr>
        <w:t xml:space="preserve"> data with DESeq2. </w:t>
      </w:r>
      <w:r w:rsidRPr="00E10A9D">
        <w:rPr>
          <w:rFonts w:eastAsia="Times New Roman" w:cs="Times New Roman"/>
          <w:i/>
          <w:iCs/>
          <w:szCs w:val="24"/>
        </w:rPr>
        <w:t>Genome Biology</w:t>
      </w:r>
      <w:r w:rsidRPr="00E10A9D">
        <w:rPr>
          <w:rFonts w:eastAsia="Times New Roman" w:cs="Times New Roman"/>
          <w:szCs w:val="24"/>
        </w:rPr>
        <w:t xml:space="preserve">, </w:t>
      </w:r>
      <w:r w:rsidRPr="00E10A9D">
        <w:rPr>
          <w:rFonts w:eastAsia="Times New Roman" w:cs="Times New Roman"/>
          <w:i/>
          <w:iCs/>
          <w:szCs w:val="24"/>
        </w:rPr>
        <w:t>15</w:t>
      </w:r>
      <w:r w:rsidRPr="00E10A9D">
        <w:rPr>
          <w:rFonts w:eastAsia="Times New Roman" w:cs="Times New Roman"/>
          <w:szCs w:val="24"/>
        </w:rPr>
        <w:t>(12), 550.</w:t>
      </w:r>
    </w:p>
    <w:p w14:paraId="6CCDE622" w14:textId="2849BD8A"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Maeyama, T., </w:t>
      </w:r>
      <w:proofErr w:type="spellStart"/>
      <w:r w:rsidRPr="00E10A9D">
        <w:rPr>
          <w:rFonts w:eastAsia="Times New Roman" w:cs="Times New Roman"/>
          <w:szCs w:val="24"/>
        </w:rPr>
        <w:t>Kitade</w:t>
      </w:r>
      <w:proofErr w:type="spellEnd"/>
      <w:r w:rsidRPr="00E10A9D">
        <w:rPr>
          <w:rFonts w:eastAsia="Times New Roman" w:cs="Times New Roman"/>
          <w:szCs w:val="24"/>
        </w:rPr>
        <w:t>, O.</w:t>
      </w:r>
      <w:r w:rsidR="00CC4044">
        <w:rPr>
          <w:rFonts w:eastAsia="Times New Roman" w:cs="Times New Roman"/>
          <w:szCs w:val="24"/>
        </w:rPr>
        <w:t>,</w:t>
      </w:r>
      <w:r w:rsidRPr="00E10A9D">
        <w:rPr>
          <w:rFonts w:eastAsia="Times New Roman" w:cs="Times New Roman"/>
          <w:szCs w:val="24"/>
        </w:rPr>
        <w:t xml:space="preserve"> and Matsumoto, T. (1997). The diverse occupant fauna in epiphytic ant-plants, </w:t>
      </w:r>
      <w:proofErr w:type="spellStart"/>
      <w:r w:rsidRPr="00E10A9D">
        <w:rPr>
          <w:rFonts w:eastAsia="Times New Roman" w:cs="Times New Roman"/>
          <w:i/>
          <w:iCs/>
          <w:szCs w:val="24"/>
        </w:rPr>
        <w:t>Hydnophytum</w:t>
      </w:r>
      <w:proofErr w:type="spellEnd"/>
      <w:r w:rsidRPr="00E10A9D">
        <w:rPr>
          <w:rFonts w:eastAsia="Times New Roman" w:cs="Times New Roman"/>
          <w:i/>
          <w:iCs/>
          <w:szCs w:val="24"/>
        </w:rPr>
        <w:t xml:space="preserve"> </w:t>
      </w:r>
      <w:proofErr w:type="spellStart"/>
      <w:r w:rsidRPr="00E10A9D">
        <w:rPr>
          <w:rFonts w:eastAsia="Times New Roman" w:cs="Times New Roman"/>
          <w:i/>
          <w:iCs/>
          <w:szCs w:val="24"/>
        </w:rPr>
        <w:t>moseleyanum</w:t>
      </w:r>
      <w:proofErr w:type="spellEnd"/>
      <w:r w:rsidRPr="00E10A9D">
        <w:rPr>
          <w:rFonts w:eastAsia="Times New Roman" w:cs="Times New Roman"/>
          <w:szCs w:val="24"/>
        </w:rPr>
        <w:t xml:space="preserve"> (</w:t>
      </w:r>
      <w:proofErr w:type="spellStart"/>
      <w:r w:rsidRPr="00E10A9D">
        <w:rPr>
          <w:rFonts w:eastAsia="Times New Roman" w:cs="Times New Roman"/>
          <w:szCs w:val="24"/>
        </w:rPr>
        <w:t>Rubiaceae</w:t>
      </w:r>
      <w:proofErr w:type="spellEnd"/>
      <w:r w:rsidRPr="00E10A9D">
        <w:rPr>
          <w:rFonts w:eastAsia="Times New Roman" w:cs="Times New Roman"/>
          <w:szCs w:val="24"/>
        </w:rPr>
        <w:t xml:space="preserve">) in New Guinea. </w:t>
      </w:r>
      <w:r w:rsidRPr="00E10A9D">
        <w:rPr>
          <w:rFonts w:eastAsia="Times New Roman" w:cs="Times New Roman"/>
          <w:i/>
          <w:iCs/>
          <w:szCs w:val="24"/>
        </w:rPr>
        <w:t>Tropics,</w:t>
      </w:r>
      <w:r w:rsidRPr="00E10A9D">
        <w:rPr>
          <w:rFonts w:eastAsia="Times New Roman" w:cs="Times New Roman"/>
          <w:szCs w:val="24"/>
        </w:rPr>
        <w:t xml:space="preserve"> </w:t>
      </w:r>
      <w:r w:rsidRPr="00E10A9D">
        <w:rPr>
          <w:rFonts w:eastAsia="Times New Roman" w:cs="Times New Roman"/>
          <w:i/>
          <w:iCs/>
          <w:szCs w:val="24"/>
        </w:rPr>
        <w:t>7</w:t>
      </w:r>
      <w:r w:rsidRPr="00E10A9D">
        <w:rPr>
          <w:rFonts w:eastAsia="Times New Roman" w:cs="Times New Roman"/>
          <w:szCs w:val="24"/>
        </w:rPr>
        <w:t>, 101.</w:t>
      </w:r>
    </w:p>
    <w:p w14:paraId="32028A28" w14:textId="77777777"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Martin, M. (2011). </w:t>
      </w:r>
      <w:proofErr w:type="spellStart"/>
      <w:r w:rsidRPr="00E10A9D">
        <w:rPr>
          <w:rFonts w:eastAsia="Times New Roman" w:cs="Times New Roman"/>
          <w:szCs w:val="24"/>
        </w:rPr>
        <w:t>Cutadapt</w:t>
      </w:r>
      <w:proofErr w:type="spellEnd"/>
      <w:r w:rsidRPr="00E10A9D">
        <w:rPr>
          <w:rFonts w:eastAsia="Times New Roman" w:cs="Times New Roman"/>
          <w:szCs w:val="24"/>
        </w:rPr>
        <w:t xml:space="preserve"> removes adapter sequences from high-throughput sequencing reads. </w:t>
      </w:r>
      <w:proofErr w:type="spellStart"/>
      <w:r w:rsidRPr="00E10A9D">
        <w:rPr>
          <w:rFonts w:eastAsia="Times New Roman" w:cs="Times New Roman"/>
          <w:i/>
          <w:iCs/>
          <w:szCs w:val="24"/>
        </w:rPr>
        <w:t>EMBnet.journal</w:t>
      </w:r>
      <w:proofErr w:type="spellEnd"/>
      <w:r w:rsidRPr="00E10A9D">
        <w:rPr>
          <w:rFonts w:eastAsia="Times New Roman" w:cs="Times New Roman"/>
          <w:i/>
          <w:iCs/>
          <w:szCs w:val="24"/>
        </w:rPr>
        <w:t>, 17</w:t>
      </w:r>
      <w:r w:rsidRPr="00E10A9D">
        <w:rPr>
          <w:rFonts w:eastAsia="Times New Roman" w:cs="Times New Roman"/>
          <w:szCs w:val="24"/>
        </w:rPr>
        <w:t>(1), 10–12.</w:t>
      </w:r>
    </w:p>
    <w:p w14:paraId="267AF846" w14:textId="4F05B050" w:rsidR="00070379" w:rsidRPr="00E10A9D" w:rsidRDefault="00070379" w:rsidP="00070379">
      <w:pPr>
        <w:ind w:left="567" w:hanging="567"/>
        <w:rPr>
          <w:rFonts w:eastAsia="Times New Roman" w:cs="Times New Roman"/>
          <w:szCs w:val="24"/>
        </w:rPr>
      </w:pPr>
      <w:r w:rsidRPr="00E10A9D">
        <w:rPr>
          <w:rFonts w:eastAsia="Times New Roman" w:cs="Times New Roman"/>
          <w:szCs w:val="24"/>
        </w:rPr>
        <w:t>Mayer, V.E., Frederickson, M.E., McKey, D.</w:t>
      </w:r>
      <w:r w:rsidR="00CC4044">
        <w:rPr>
          <w:rFonts w:eastAsia="Times New Roman" w:cs="Times New Roman"/>
          <w:szCs w:val="24"/>
        </w:rPr>
        <w:t>,</w:t>
      </w:r>
      <w:r w:rsidRPr="00E10A9D">
        <w:rPr>
          <w:rFonts w:eastAsia="Times New Roman" w:cs="Times New Roman"/>
          <w:szCs w:val="24"/>
        </w:rPr>
        <w:t xml:space="preserve"> and </w:t>
      </w:r>
      <w:proofErr w:type="spellStart"/>
      <w:r w:rsidRPr="00E10A9D">
        <w:rPr>
          <w:rFonts w:eastAsia="Times New Roman" w:cs="Times New Roman"/>
          <w:szCs w:val="24"/>
        </w:rPr>
        <w:t>Blatrix</w:t>
      </w:r>
      <w:proofErr w:type="spellEnd"/>
      <w:r w:rsidRPr="00E10A9D">
        <w:rPr>
          <w:rFonts w:eastAsia="Times New Roman" w:cs="Times New Roman"/>
          <w:szCs w:val="24"/>
        </w:rPr>
        <w:t>, R. (2014). Current issues in the evolutionary ecology of ant-plant symbioses. </w:t>
      </w:r>
      <w:r w:rsidRPr="00E10A9D">
        <w:rPr>
          <w:rFonts w:eastAsia="Times New Roman" w:cs="Times New Roman"/>
          <w:i/>
          <w:iCs/>
          <w:szCs w:val="24"/>
        </w:rPr>
        <w:t>The New Phytologist</w:t>
      </w:r>
      <w:r w:rsidRPr="00E10A9D">
        <w:rPr>
          <w:rFonts w:eastAsia="Times New Roman" w:cs="Times New Roman"/>
          <w:szCs w:val="24"/>
        </w:rPr>
        <w:t>, </w:t>
      </w:r>
      <w:r w:rsidRPr="00E10A9D">
        <w:rPr>
          <w:rFonts w:eastAsia="Times New Roman" w:cs="Times New Roman"/>
          <w:i/>
          <w:iCs/>
          <w:szCs w:val="24"/>
        </w:rPr>
        <w:t>202</w:t>
      </w:r>
      <w:r w:rsidRPr="00E10A9D">
        <w:rPr>
          <w:rFonts w:eastAsia="Times New Roman" w:cs="Times New Roman"/>
          <w:szCs w:val="24"/>
        </w:rPr>
        <w:t xml:space="preserve">(3), 749–764. </w:t>
      </w:r>
    </w:p>
    <w:p w14:paraId="569363CE" w14:textId="1705A7DE" w:rsidR="00070379" w:rsidRPr="00E10A9D" w:rsidRDefault="00070379" w:rsidP="00070379">
      <w:pPr>
        <w:ind w:left="567" w:hanging="567"/>
        <w:rPr>
          <w:rFonts w:eastAsia="Times New Roman" w:cs="Times New Roman"/>
          <w:szCs w:val="24"/>
        </w:rPr>
      </w:pPr>
      <w:r w:rsidRPr="00E10A9D">
        <w:rPr>
          <w:rFonts w:eastAsia="Times New Roman" w:cs="Times New Roman"/>
          <w:szCs w:val="24"/>
        </w:rPr>
        <w:t>Mithöfer, A.</w:t>
      </w:r>
      <w:r w:rsidR="00CC4044">
        <w:rPr>
          <w:rFonts w:eastAsia="Times New Roman" w:cs="Times New Roman"/>
          <w:szCs w:val="24"/>
        </w:rPr>
        <w:t>,</w:t>
      </w:r>
      <w:r w:rsidRPr="00E10A9D">
        <w:rPr>
          <w:rFonts w:eastAsia="Times New Roman" w:cs="Times New Roman"/>
          <w:szCs w:val="24"/>
        </w:rPr>
        <w:t xml:space="preserve"> and Boland, W. (2012) Plant </w:t>
      </w:r>
      <w:proofErr w:type="spellStart"/>
      <w:r w:rsidRPr="00E10A9D">
        <w:rPr>
          <w:rFonts w:eastAsia="Times New Roman" w:cs="Times New Roman"/>
          <w:szCs w:val="24"/>
        </w:rPr>
        <w:t>defense</w:t>
      </w:r>
      <w:proofErr w:type="spellEnd"/>
      <w:r w:rsidRPr="00E10A9D">
        <w:rPr>
          <w:rFonts w:eastAsia="Times New Roman" w:cs="Times New Roman"/>
          <w:szCs w:val="24"/>
        </w:rPr>
        <w:t xml:space="preserve"> against herbivores: chemical aspects. </w:t>
      </w:r>
      <w:r w:rsidRPr="00E10A9D">
        <w:rPr>
          <w:rFonts w:eastAsia="Times New Roman" w:cs="Times New Roman"/>
          <w:i/>
          <w:iCs/>
          <w:szCs w:val="24"/>
        </w:rPr>
        <w:t>Annual Review of Plant Biology, 63</w:t>
      </w:r>
      <w:r w:rsidRPr="00E10A9D">
        <w:rPr>
          <w:rFonts w:eastAsia="Times New Roman" w:cs="Times New Roman"/>
          <w:szCs w:val="24"/>
        </w:rPr>
        <w:t>, 431–450.</w:t>
      </w:r>
    </w:p>
    <w:p w14:paraId="6F68AF86" w14:textId="76C5A2DB" w:rsidR="00070379" w:rsidRPr="00E10A9D" w:rsidRDefault="00070379" w:rsidP="00070379">
      <w:pPr>
        <w:ind w:left="567" w:hanging="567"/>
        <w:rPr>
          <w:rFonts w:eastAsia="Times New Roman" w:cs="Times New Roman"/>
          <w:szCs w:val="24"/>
        </w:rPr>
      </w:pPr>
      <w:r w:rsidRPr="00E10A9D">
        <w:rPr>
          <w:rFonts w:eastAsia="Times New Roman" w:cs="Times New Roman"/>
          <w:szCs w:val="24"/>
        </w:rPr>
        <w:lastRenderedPageBreak/>
        <w:t>Moran, N.A., McCutcheon, J.P.</w:t>
      </w:r>
      <w:r w:rsidR="00CC4044">
        <w:rPr>
          <w:rFonts w:eastAsia="Times New Roman" w:cs="Times New Roman"/>
          <w:szCs w:val="24"/>
        </w:rPr>
        <w:t>,</w:t>
      </w:r>
      <w:r w:rsidRPr="00E10A9D">
        <w:rPr>
          <w:rFonts w:eastAsia="Times New Roman" w:cs="Times New Roman"/>
          <w:szCs w:val="24"/>
        </w:rPr>
        <w:t xml:space="preserve"> and </w:t>
      </w:r>
      <w:proofErr w:type="spellStart"/>
      <w:r w:rsidRPr="00E10A9D">
        <w:rPr>
          <w:rFonts w:eastAsia="Times New Roman" w:cs="Times New Roman"/>
          <w:szCs w:val="24"/>
        </w:rPr>
        <w:t>Nakabachi</w:t>
      </w:r>
      <w:proofErr w:type="spellEnd"/>
      <w:r w:rsidRPr="00E10A9D">
        <w:rPr>
          <w:rFonts w:eastAsia="Times New Roman" w:cs="Times New Roman"/>
          <w:szCs w:val="24"/>
        </w:rPr>
        <w:t>, A. (2008). Genomics and evolution of heritable bacterial symbionts. </w:t>
      </w:r>
      <w:r w:rsidRPr="00E10A9D">
        <w:rPr>
          <w:rFonts w:eastAsia="Times New Roman" w:cs="Times New Roman"/>
          <w:i/>
          <w:iCs/>
          <w:szCs w:val="24"/>
        </w:rPr>
        <w:t>Annual Review of Genetics</w:t>
      </w:r>
      <w:r w:rsidRPr="00E10A9D">
        <w:rPr>
          <w:rFonts w:eastAsia="Times New Roman" w:cs="Times New Roman"/>
          <w:szCs w:val="24"/>
        </w:rPr>
        <w:t>, </w:t>
      </w:r>
      <w:r w:rsidRPr="00E10A9D">
        <w:rPr>
          <w:rFonts w:eastAsia="Times New Roman" w:cs="Times New Roman"/>
          <w:i/>
          <w:iCs/>
          <w:szCs w:val="24"/>
        </w:rPr>
        <w:t>42</w:t>
      </w:r>
      <w:r w:rsidRPr="00E10A9D">
        <w:rPr>
          <w:rFonts w:eastAsia="Times New Roman" w:cs="Times New Roman"/>
          <w:szCs w:val="24"/>
        </w:rPr>
        <w:t xml:space="preserve">, 165–190. </w:t>
      </w:r>
    </w:p>
    <w:p w14:paraId="1E2291C8" w14:textId="42D16968"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Nepel, M., Pfeifer, J., Oberhauser, F.B., Richter, A., </w:t>
      </w:r>
      <w:proofErr w:type="spellStart"/>
      <w:r w:rsidRPr="00E10A9D">
        <w:rPr>
          <w:rFonts w:eastAsia="Times New Roman" w:cs="Times New Roman"/>
          <w:szCs w:val="24"/>
        </w:rPr>
        <w:t>Woebken</w:t>
      </w:r>
      <w:proofErr w:type="spellEnd"/>
      <w:r w:rsidRPr="00E10A9D">
        <w:rPr>
          <w:rFonts w:eastAsia="Times New Roman" w:cs="Times New Roman"/>
          <w:szCs w:val="24"/>
        </w:rPr>
        <w:t>, D.</w:t>
      </w:r>
      <w:r w:rsidR="00CC4044">
        <w:rPr>
          <w:rFonts w:eastAsia="Times New Roman" w:cs="Times New Roman"/>
          <w:szCs w:val="24"/>
        </w:rPr>
        <w:t>,</w:t>
      </w:r>
      <w:r w:rsidRPr="00E10A9D">
        <w:rPr>
          <w:rFonts w:eastAsia="Times New Roman" w:cs="Times New Roman"/>
          <w:szCs w:val="24"/>
        </w:rPr>
        <w:t xml:space="preserve"> and Mayer, V.E. (2022). Nitrogen fixation by diverse diazotrophic communities can support population growth of arboreal ants. </w:t>
      </w:r>
      <w:r w:rsidRPr="00E10A9D">
        <w:rPr>
          <w:rFonts w:eastAsia="Times New Roman" w:cs="Times New Roman"/>
          <w:i/>
          <w:iCs/>
          <w:szCs w:val="24"/>
        </w:rPr>
        <w:t>BMC Biology, 20</w:t>
      </w:r>
      <w:r w:rsidRPr="00E10A9D">
        <w:rPr>
          <w:rFonts w:eastAsia="Times New Roman" w:cs="Times New Roman"/>
          <w:szCs w:val="24"/>
        </w:rPr>
        <w:t>(1), 135.</w:t>
      </w:r>
    </w:p>
    <w:p w14:paraId="2F3F60ED" w14:textId="027AF9E5" w:rsidR="00070379" w:rsidRPr="00E10A9D" w:rsidRDefault="00070379" w:rsidP="00070379">
      <w:pPr>
        <w:ind w:left="567" w:hanging="567"/>
        <w:rPr>
          <w:rFonts w:eastAsia="Times New Roman" w:cs="Times New Roman"/>
          <w:szCs w:val="24"/>
        </w:rPr>
      </w:pPr>
      <w:r w:rsidRPr="00E10A9D">
        <w:rPr>
          <w:rFonts w:eastAsia="Times New Roman" w:cs="Times New Roman"/>
          <w:szCs w:val="24"/>
        </w:rPr>
        <w:t>Okamoto, M., Vidmar, J.J.</w:t>
      </w:r>
      <w:r w:rsidR="00CC4044">
        <w:rPr>
          <w:rFonts w:eastAsia="Times New Roman" w:cs="Times New Roman"/>
          <w:szCs w:val="24"/>
        </w:rPr>
        <w:t>,</w:t>
      </w:r>
      <w:r w:rsidRPr="00E10A9D">
        <w:rPr>
          <w:rFonts w:eastAsia="Times New Roman" w:cs="Times New Roman"/>
          <w:szCs w:val="24"/>
        </w:rPr>
        <w:t xml:space="preserve"> and Glass, A.D. (2003). Regulation of NRT1 and NRT2 gene families of Arabidopsis thaliana: responses to nitrate provision. </w:t>
      </w:r>
      <w:r w:rsidRPr="00E10A9D">
        <w:rPr>
          <w:rFonts w:eastAsia="Times New Roman" w:cs="Times New Roman"/>
          <w:i/>
          <w:iCs/>
          <w:szCs w:val="24"/>
        </w:rPr>
        <w:t>Plant and Cell Physiology, 44</w:t>
      </w:r>
      <w:r w:rsidRPr="00E10A9D">
        <w:rPr>
          <w:rFonts w:eastAsia="Times New Roman" w:cs="Times New Roman"/>
          <w:szCs w:val="24"/>
        </w:rPr>
        <w:t>(3), 304-317.</w:t>
      </w:r>
    </w:p>
    <w:p w14:paraId="2D763193" w14:textId="24C24F9D" w:rsidR="00070379" w:rsidRPr="00E10A9D" w:rsidRDefault="00070379" w:rsidP="00070379">
      <w:pPr>
        <w:ind w:left="567" w:hanging="567"/>
        <w:rPr>
          <w:rFonts w:eastAsia="Times New Roman" w:cs="Times New Roman"/>
          <w:szCs w:val="24"/>
        </w:rPr>
      </w:pPr>
      <w:proofErr w:type="spellStart"/>
      <w:r w:rsidRPr="00E10A9D">
        <w:rPr>
          <w:rFonts w:eastAsia="Times New Roman" w:cs="Times New Roman"/>
          <w:szCs w:val="24"/>
        </w:rPr>
        <w:t>Pinton</w:t>
      </w:r>
      <w:proofErr w:type="spellEnd"/>
      <w:r w:rsidRPr="00E10A9D">
        <w:rPr>
          <w:rFonts w:eastAsia="Times New Roman" w:cs="Times New Roman"/>
          <w:szCs w:val="24"/>
        </w:rPr>
        <w:t>, R., Tomasi, N.</w:t>
      </w:r>
      <w:r w:rsidR="00CC4044">
        <w:rPr>
          <w:rFonts w:eastAsia="Times New Roman" w:cs="Times New Roman"/>
          <w:szCs w:val="24"/>
        </w:rPr>
        <w:t>,</w:t>
      </w:r>
      <w:r w:rsidRPr="00E10A9D">
        <w:rPr>
          <w:rFonts w:eastAsia="Times New Roman" w:cs="Times New Roman"/>
          <w:szCs w:val="24"/>
        </w:rPr>
        <w:t xml:space="preserve"> and Zanin, L. (2016). Molecular and physiological interactions of urea and nitrate uptake in plants. </w:t>
      </w:r>
      <w:r w:rsidRPr="00E10A9D">
        <w:rPr>
          <w:rFonts w:eastAsia="Times New Roman" w:cs="Times New Roman"/>
          <w:i/>
          <w:iCs/>
          <w:szCs w:val="24"/>
        </w:rPr>
        <w:t xml:space="preserve">Plant </w:t>
      </w:r>
      <w:proofErr w:type="spellStart"/>
      <w:r w:rsidRPr="00E10A9D">
        <w:rPr>
          <w:rFonts w:eastAsia="Times New Roman" w:cs="Times New Roman"/>
          <w:i/>
          <w:iCs/>
          <w:szCs w:val="24"/>
        </w:rPr>
        <w:t>Signaling</w:t>
      </w:r>
      <w:proofErr w:type="spellEnd"/>
      <w:r w:rsidRPr="00E10A9D">
        <w:rPr>
          <w:rFonts w:eastAsia="Times New Roman" w:cs="Times New Roman"/>
          <w:i/>
          <w:iCs/>
          <w:szCs w:val="24"/>
        </w:rPr>
        <w:t xml:space="preserve"> and </w:t>
      </w:r>
      <w:proofErr w:type="spellStart"/>
      <w:r w:rsidRPr="00E10A9D">
        <w:rPr>
          <w:rFonts w:eastAsia="Times New Roman" w:cs="Times New Roman"/>
          <w:i/>
          <w:iCs/>
          <w:szCs w:val="24"/>
        </w:rPr>
        <w:t>Behavior</w:t>
      </w:r>
      <w:proofErr w:type="spellEnd"/>
      <w:r w:rsidRPr="00E10A9D">
        <w:rPr>
          <w:rFonts w:eastAsia="Times New Roman" w:cs="Times New Roman"/>
          <w:szCs w:val="24"/>
        </w:rPr>
        <w:t>, </w:t>
      </w:r>
      <w:r w:rsidRPr="00E10A9D">
        <w:rPr>
          <w:rFonts w:eastAsia="Times New Roman" w:cs="Times New Roman"/>
          <w:i/>
          <w:iCs/>
          <w:szCs w:val="24"/>
        </w:rPr>
        <w:t>11</w:t>
      </w:r>
      <w:r w:rsidRPr="00E10A9D">
        <w:rPr>
          <w:rFonts w:eastAsia="Times New Roman" w:cs="Times New Roman"/>
          <w:szCs w:val="24"/>
        </w:rPr>
        <w:t>(1), e1076603.</w:t>
      </w:r>
    </w:p>
    <w:p w14:paraId="2A58A733" w14:textId="2814104E"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Pu, Y., </w:t>
      </w:r>
      <w:proofErr w:type="spellStart"/>
      <w:r w:rsidRPr="00E10A9D">
        <w:rPr>
          <w:rFonts w:eastAsia="Times New Roman" w:cs="Times New Roman"/>
          <w:szCs w:val="24"/>
        </w:rPr>
        <w:t>Naikatini</w:t>
      </w:r>
      <w:proofErr w:type="spellEnd"/>
      <w:r w:rsidRPr="00E10A9D">
        <w:rPr>
          <w:rFonts w:eastAsia="Times New Roman" w:cs="Times New Roman"/>
          <w:szCs w:val="24"/>
        </w:rPr>
        <w:t>, A., Pérez‐Escobar, O.A., Silber, M., Renner, S.S.</w:t>
      </w:r>
      <w:r w:rsidR="00CC4044">
        <w:rPr>
          <w:rFonts w:eastAsia="Times New Roman" w:cs="Times New Roman"/>
          <w:szCs w:val="24"/>
        </w:rPr>
        <w:t>,</w:t>
      </w:r>
      <w:r w:rsidRPr="00E10A9D">
        <w:rPr>
          <w:rFonts w:eastAsia="Times New Roman" w:cs="Times New Roman"/>
          <w:szCs w:val="24"/>
        </w:rPr>
        <w:t xml:space="preserve"> and Chomicki, G. (2021). Genome‐wide transcriptome signatures of ant-farmed </w:t>
      </w:r>
      <w:proofErr w:type="spellStart"/>
      <w:r w:rsidRPr="00E10A9D">
        <w:rPr>
          <w:rFonts w:eastAsia="Times New Roman" w:cs="Times New Roman"/>
          <w:i/>
          <w:iCs/>
          <w:szCs w:val="24"/>
        </w:rPr>
        <w:t>Squamellaria</w:t>
      </w:r>
      <w:proofErr w:type="spellEnd"/>
      <w:r w:rsidRPr="00E10A9D">
        <w:rPr>
          <w:rFonts w:eastAsia="Times New Roman" w:cs="Times New Roman"/>
          <w:szCs w:val="24"/>
        </w:rPr>
        <w:t xml:space="preserve"> epiphytes reveal key functions in a unique symbiosis. </w:t>
      </w:r>
      <w:r w:rsidRPr="00E10A9D">
        <w:rPr>
          <w:rFonts w:eastAsia="Times New Roman" w:cs="Times New Roman"/>
          <w:i/>
          <w:iCs/>
          <w:szCs w:val="24"/>
        </w:rPr>
        <w:t>Ecology and Evolution</w:t>
      </w:r>
      <w:r w:rsidRPr="00E10A9D">
        <w:rPr>
          <w:rFonts w:eastAsia="Times New Roman" w:cs="Times New Roman"/>
          <w:szCs w:val="24"/>
        </w:rPr>
        <w:t xml:space="preserve">, </w:t>
      </w:r>
      <w:r w:rsidRPr="00E10A9D">
        <w:rPr>
          <w:rFonts w:eastAsia="Times New Roman" w:cs="Times New Roman"/>
          <w:i/>
          <w:iCs/>
          <w:szCs w:val="24"/>
        </w:rPr>
        <w:t>11</w:t>
      </w:r>
      <w:r w:rsidRPr="00E10A9D">
        <w:rPr>
          <w:rFonts w:eastAsia="Times New Roman" w:cs="Times New Roman"/>
          <w:szCs w:val="24"/>
        </w:rPr>
        <w:t>(22), 15882-15895.</w:t>
      </w:r>
    </w:p>
    <w:p w14:paraId="26131E5B" w14:textId="513B5488" w:rsidR="00070379" w:rsidRPr="00E10A9D" w:rsidRDefault="00070379" w:rsidP="00070379">
      <w:pPr>
        <w:ind w:left="567" w:hanging="567"/>
        <w:rPr>
          <w:rFonts w:eastAsia="Times New Roman" w:cs="Times New Roman"/>
          <w:szCs w:val="24"/>
        </w:rPr>
      </w:pPr>
      <w:r w:rsidRPr="00E10A9D">
        <w:rPr>
          <w:rFonts w:eastAsia="Times New Roman" w:cs="Times New Roman"/>
          <w:szCs w:val="24"/>
        </w:rPr>
        <w:t xml:space="preserve">Solano, P., </w:t>
      </w:r>
      <w:r w:rsidR="00FA7B5D">
        <w:rPr>
          <w:rFonts w:eastAsia="Times New Roman" w:cs="Times New Roman"/>
          <w:szCs w:val="24"/>
        </w:rPr>
        <w:t xml:space="preserve">and </w:t>
      </w:r>
      <w:r w:rsidRPr="00E10A9D">
        <w:rPr>
          <w:rFonts w:eastAsia="Times New Roman" w:cs="Times New Roman"/>
          <w:szCs w:val="24"/>
        </w:rPr>
        <w:t xml:space="preserve">Dejean, A. (2004). Ant-fed plants: comparison between three geophytic myrmecophytes. </w:t>
      </w:r>
      <w:r w:rsidRPr="00E10A9D">
        <w:rPr>
          <w:rFonts w:eastAsia="Times New Roman" w:cs="Times New Roman"/>
          <w:i/>
          <w:iCs/>
          <w:szCs w:val="24"/>
        </w:rPr>
        <w:t>Biological Journal of the Linnean Society, 83</w:t>
      </w:r>
      <w:r w:rsidRPr="00E10A9D">
        <w:rPr>
          <w:rFonts w:eastAsia="Times New Roman" w:cs="Times New Roman"/>
          <w:szCs w:val="24"/>
        </w:rPr>
        <w:t>(4), 433–9.</w:t>
      </w:r>
    </w:p>
    <w:p w14:paraId="46803FD5" w14:textId="77777777" w:rsidR="00070379" w:rsidRPr="00E10A9D" w:rsidRDefault="00070379" w:rsidP="00070379">
      <w:pPr>
        <w:ind w:left="567" w:hanging="567"/>
        <w:rPr>
          <w:rFonts w:eastAsia="Times New Roman" w:cs="Times New Roman"/>
          <w:szCs w:val="24"/>
        </w:rPr>
      </w:pPr>
      <w:r w:rsidRPr="00E10A9D">
        <w:rPr>
          <w:rFonts w:eastAsia="Times New Roman" w:cs="Times New Roman"/>
          <w:szCs w:val="24"/>
          <w:highlight w:val="white"/>
        </w:rPr>
        <w:t xml:space="preserve">Stachowicz, J.J. (2001). Mutualism, facilitation, and the structure of ecological communities. </w:t>
      </w:r>
      <w:proofErr w:type="spellStart"/>
      <w:r w:rsidRPr="00E10A9D">
        <w:rPr>
          <w:rFonts w:eastAsia="Times New Roman" w:cs="Times New Roman"/>
          <w:i/>
          <w:iCs/>
          <w:szCs w:val="24"/>
          <w:highlight w:val="white"/>
        </w:rPr>
        <w:t>BioScience</w:t>
      </w:r>
      <w:proofErr w:type="spellEnd"/>
      <w:r w:rsidRPr="00E10A9D">
        <w:rPr>
          <w:rFonts w:eastAsia="Times New Roman" w:cs="Times New Roman"/>
          <w:i/>
          <w:iCs/>
          <w:szCs w:val="24"/>
          <w:highlight w:val="white"/>
        </w:rPr>
        <w:t>, 51</w:t>
      </w:r>
      <w:r w:rsidRPr="00E10A9D">
        <w:rPr>
          <w:rFonts w:eastAsia="Times New Roman" w:cs="Times New Roman"/>
          <w:szCs w:val="24"/>
          <w:highlight w:val="white"/>
        </w:rPr>
        <w:t>(3), 235–246.</w:t>
      </w:r>
    </w:p>
    <w:p w14:paraId="411D9FC0" w14:textId="7535D43C" w:rsidR="00070379" w:rsidRPr="00E10A9D" w:rsidRDefault="00070379" w:rsidP="00070379">
      <w:pPr>
        <w:ind w:left="567" w:hanging="567"/>
        <w:rPr>
          <w:rFonts w:eastAsia="Times New Roman" w:cs="Times New Roman"/>
          <w:szCs w:val="24"/>
        </w:rPr>
      </w:pPr>
      <w:r w:rsidRPr="00E10A9D">
        <w:rPr>
          <w:rFonts w:eastAsia="Times New Roman" w:cs="Times New Roman"/>
          <w:szCs w:val="24"/>
        </w:rPr>
        <w:t>Tanaka, H.O., Inui, Y.</w:t>
      </w:r>
      <w:r w:rsidR="00FA7B5D">
        <w:rPr>
          <w:rFonts w:eastAsia="Times New Roman" w:cs="Times New Roman"/>
          <w:szCs w:val="24"/>
        </w:rPr>
        <w:t>,</w:t>
      </w:r>
      <w:r w:rsidR="00893FAC">
        <w:rPr>
          <w:rFonts w:eastAsia="Times New Roman" w:cs="Times New Roman"/>
          <w:szCs w:val="24"/>
        </w:rPr>
        <w:t xml:space="preserve"> and</w:t>
      </w:r>
      <w:r w:rsidRPr="00E10A9D">
        <w:rPr>
          <w:rFonts w:eastAsia="Times New Roman" w:cs="Times New Roman"/>
          <w:szCs w:val="24"/>
        </w:rPr>
        <w:t xml:space="preserve"> </w:t>
      </w:r>
      <w:proofErr w:type="spellStart"/>
      <w:r w:rsidRPr="00E10A9D">
        <w:rPr>
          <w:rFonts w:eastAsia="Times New Roman" w:cs="Times New Roman"/>
          <w:szCs w:val="24"/>
        </w:rPr>
        <w:t>Itioka</w:t>
      </w:r>
      <w:proofErr w:type="spellEnd"/>
      <w:r w:rsidRPr="00E10A9D">
        <w:rPr>
          <w:rFonts w:eastAsia="Times New Roman" w:cs="Times New Roman"/>
          <w:szCs w:val="24"/>
        </w:rPr>
        <w:t>, T. (2009). Anti-herbivore effects of an ant species, </w:t>
      </w:r>
      <w:proofErr w:type="spellStart"/>
      <w:r w:rsidRPr="00E10A9D">
        <w:rPr>
          <w:rFonts w:eastAsia="Times New Roman" w:cs="Times New Roman"/>
          <w:i/>
          <w:iCs/>
          <w:szCs w:val="24"/>
        </w:rPr>
        <w:t>Crematogaster</w:t>
      </w:r>
      <w:proofErr w:type="spellEnd"/>
      <w:r w:rsidRPr="00E10A9D">
        <w:rPr>
          <w:rFonts w:eastAsia="Times New Roman" w:cs="Times New Roman"/>
          <w:i/>
          <w:iCs/>
          <w:szCs w:val="24"/>
        </w:rPr>
        <w:t xml:space="preserve"> </w:t>
      </w:r>
      <w:proofErr w:type="spellStart"/>
      <w:r w:rsidRPr="00E10A9D">
        <w:rPr>
          <w:rFonts w:eastAsia="Times New Roman" w:cs="Times New Roman"/>
          <w:i/>
          <w:iCs/>
          <w:szCs w:val="24"/>
        </w:rPr>
        <w:t>difformis</w:t>
      </w:r>
      <w:proofErr w:type="spellEnd"/>
      <w:r w:rsidRPr="00E10A9D">
        <w:rPr>
          <w:rFonts w:eastAsia="Times New Roman" w:cs="Times New Roman"/>
          <w:szCs w:val="24"/>
        </w:rPr>
        <w:t xml:space="preserve">, inhabiting myrmecophytic epiphytes in the canopy of a tropical lowland rainforest in Borneo. </w:t>
      </w:r>
      <w:r w:rsidRPr="00E10A9D">
        <w:rPr>
          <w:rFonts w:eastAsia="Times New Roman" w:cs="Times New Roman"/>
          <w:i/>
          <w:iCs/>
          <w:szCs w:val="24"/>
        </w:rPr>
        <w:t>Ecological Research, 24</w:t>
      </w:r>
      <w:r w:rsidRPr="00E10A9D">
        <w:rPr>
          <w:rFonts w:eastAsia="Times New Roman" w:cs="Times New Roman"/>
          <w:szCs w:val="24"/>
        </w:rPr>
        <w:t>, 1393–1397.</w:t>
      </w:r>
    </w:p>
    <w:p w14:paraId="28866CA2" w14:textId="55E60AB6" w:rsidR="00070379" w:rsidRPr="00E10A9D" w:rsidRDefault="00070379" w:rsidP="00070379">
      <w:pPr>
        <w:ind w:left="567" w:hanging="567"/>
        <w:rPr>
          <w:rFonts w:eastAsia="Times New Roman" w:cs="Times New Roman"/>
          <w:szCs w:val="24"/>
        </w:rPr>
      </w:pPr>
      <w:r w:rsidRPr="00E10A9D">
        <w:rPr>
          <w:rFonts w:eastAsia="Times New Roman" w:cs="Times New Roman"/>
          <w:szCs w:val="24"/>
        </w:rPr>
        <w:t>Treseder, K.K., Davidson, D.W.</w:t>
      </w:r>
      <w:r w:rsidR="00FA7B5D">
        <w:rPr>
          <w:rFonts w:eastAsia="Times New Roman" w:cs="Times New Roman"/>
          <w:szCs w:val="24"/>
        </w:rPr>
        <w:t>,</w:t>
      </w:r>
      <w:r w:rsidRPr="00E10A9D">
        <w:rPr>
          <w:rFonts w:eastAsia="Times New Roman" w:cs="Times New Roman"/>
          <w:szCs w:val="24"/>
        </w:rPr>
        <w:t xml:space="preserve"> and Ehleringer, J.R. (1995). Absorption of ant-provided carbon dioxide and nitrogen by a tropical epiphyte. </w:t>
      </w:r>
      <w:r w:rsidRPr="00E10A9D">
        <w:rPr>
          <w:rFonts w:eastAsia="Times New Roman" w:cs="Times New Roman"/>
          <w:i/>
          <w:iCs/>
          <w:szCs w:val="24"/>
        </w:rPr>
        <w:t>Nature.</w:t>
      </w:r>
      <w:r w:rsidRPr="00E10A9D">
        <w:rPr>
          <w:rFonts w:eastAsia="Times New Roman" w:cs="Times New Roman"/>
          <w:szCs w:val="24"/>
        </w:rPr>
        <w:t xml:space="preserve"> </w:t>
      </w:r>
      <w:r w:rsidRPr="00E10A9D">
        <w:rPr>
          <w:rFonts w:eastAsia="Times New Roman" w:cs="Times New Roman"/>
          <w:i/>
          <w:iCs/>
          <w:szCs w:val="24"/>
        </w:rPr>
        <w:t>375</w:t>
      </w:r>
      <w:r w:rsidRPr="00E10A9D">
        <w:rPr>
          <w:rFonts w:eastAsia="Times New Roman" w:cs="Times New Roman"/>
          <w:szCs w:val="24"/>
        </w:rPr>
        <w:t>(6527)</w:t>
      </w:r>
      <w:r w:rsidRPr="00E10A9D">
        <w:rPr>
          <w:rFonts w:eastAsia="Times New Roman" w:cs="Times New Roman"/>
          <w:b/>
          <w:bCs/>
          <w:szCs w:val="24"/>
        </w:rPr>
        <w:t>,</w:t>
      </w:r>
      <w:r w:rsidRPr="00E10A9D">
        <w:rPr>
          <w:rFonts w:eastAsia="Times New Roman" w:cs="Times New Roman"/>
          <w:szCs w:val="24"/>
        </w:rPr>
        <w:t xml:space="preserve"> 137–139.</w:t>
      </w:r>
    </w:p>
    <w:p w14:paraId="48023B33" w14:textId="6BB69103" w:rsidR="00070379" w:rsidRPr="00E10A9D" w:rsidRDefault="00070379" w:rsidP="00070379">
      <w:pPr>
        <w:ind w:left="567" w:hanging="567"/>
        <w:rPr>
          <w:rFonts w:eastAsia="Times New Roman" w:cs="Times New Roman"/>
          <w:szCs w:val="24"/>
        </w:rPr>
      </w:pPr>
      <w:r w:rsidRPr="00E10A9D">
        <w:rPr>
          <w:rFonts w:eastAsia="Times New Roman" w:cs="Times New Roman"/>
          <w:szCs w:val="24"/>
        </w:rPr>
        <w:t>Vidal, E.A.</w:t>
      </w:r>
      <w:r w:rsidR="00FA7B5D">
        <w:rPr>
          <w:rFonts w:eastAsia="Times New Roman" w:cs="Times New Roman"/>
          <w:szCs w:val="24"/>
        </w:rPr>
        <w:t>,</w:t>
      </w:r>
      <w:r w:rsidRPr="00E10A9D">
        <w:rPr>
          <w:rFonts w:eastAsia="Times New Roman" w:cs="Times New Roman"/>
          <w:szCs w:val="24"/>
        </w:rPr>
        <w:t xml:space="preserve"> and Gutiérrez, R.A. (2008). A systems view of nitrogen nutrient and metabolite responses in Arabidopsis. </w:t>
      </w:r>
      <w:r w:rsidRPr="00E10A9D">
        <w:rPr>
          <w:rFonts w:eastAsia="Times New Roman" w:cs="Times New Roman"/>
          <w:i/>
          <w:iCs/>
          <w:szCs w:val="24"/>
        </w:rPr>
        <w:t>Current opinion in plant biology</w:t>
      </w:r>
      <w:r w:rsidRPr="00E10A9D">
        <w:rPr>
          <w:rFonts w:eastAsia="Times New Roman" w:cs="Times New Roman"/>
          <w:szCs w:val="24"/>
        </w:rPr>
        <w:t xml:space="preserve">, </w:t>
      </w:r>
      <w:r w:rsidRPr="00E10A9D">
        <w:rPr>
          <w:rFonts w:eastAsia="Times New Roman" w:cs="Times New Roman"/>
          <w:i/>
          <w:iCs/>
          <w:szCs w:val="24"/>
        </w:rPr>
        <w:t>11</w:t>
      </w:r>
      <w:r w:rsidRPr="00E10A9D">
        <w:rPr>
          <w:rFonts w:eastAsia="Times New Roman" w:cs="Times New Roman"/>
          <w:szCs w:val="24"/>
        </w:rPr>
        <w:t>(5), 521–529.</w:t>
      </w:r>
    </w:p>
    <w:p w14:paraId="18A5DDC9" w14:textId="6E73CE19" w:rsidR="00070379" w:rsidRPr="00E10A9D" w:rsidRDefault="00070379" w:rsidP="00070379">
      <w:pPr>
        <w:ind w:left="567" w:hanging="567"/>
        <w:rPr>
          <w:rFonts w:eastAsia="Times New Roman" w:cs="Times New Roman"/>
          <w:szCs w:val="24"/>
        </w:rPr>
      </w:pPr>
      <w:proofErr w:type="spellStart"/>
      <w:r w:rsidRPr="00E10A9D">
        <w:rPr>
          <w:rFonts w:eastAsia="Times New Roman" w:cs="Times New Roman"/>
          <w:szCs w:val="24"/>
        </w:rPr>
        <w:t>Vidkjær</w:t>
      </w:r>
      <w:proofErr w:type="spellEnd"/>
      <w:r w:rsidRPr="00E10A9D">
        <w:rPr>
          <w:rFonts w:eastAsia="Times New Roman" w:cs="Times New Roman"/>
          <w:szCs w:val="24"/>
        </w:rPr>
        <w:t>, N.H., Wollenweber, B., Gislum, R., Jensen, K.M.V.</w:t>
      </w:r>
      <w:r w:rsidR="00FA7B5D">
        <w:rPr>
          <w:rFonts w:eastAsia="Times New Roman" w:cs="Times New Roman"/>
          <w:szCs w:val="24"/>
        </w:rPr>
        <w:t>,</w:t>
      </w:r>
      <w:r w:rsidRPr="00E10A9D">
        <w:rPr>
          <w:rFonts w:eastAsia="Times New Roman" w:cs="Times New Roman"/>
          <w:szCs w:val="24"/>
        </w:rPr>
        <w:t xml:space="preserve"> and Fomsgaard, I.S. (2015). Are ant </w:t>
      </w:r>
      <w:proofErr w:type="spellStart"/>
      <w:r w:rsidRPr="00E10A9D">
        <w:rPr>
          <w:rFonts w:eastAsia="Times New Roman" w:cs="Times New Roman"/>
          <w:szCs w:val="24"/>
        </w:rPr>
        <w:t>feces</w:t>
      </w:r>
      <w:proofErr w:type="spellEnd"/>
      <w:r w:rsidRPr="00E10A9D">
        <w:rPr>
          <w:rFonts w:eastAsia="Times New Roman" w:cs="Times New Roman"/>
          <w:szCs w:val="24"/>
        </w:rPr>
        <w:t xml:space="preserve"> nutrients for plants? A metabolomics approach to elucidate the nutritional effects on plants hosting weaver ants. </w:t>
      </w:r>
      <w:r w:rsidRPr="00E10A9D">
        <w:rPr>
          <w:rFonts w:eastAsia="Times New Roman" w:cs="Times New Roman"/>
          <w:i/>
          <w:iCs/>
          <w:szCs w:val="24"/>
        </w:rPr>
        <w:t>Metabolomics</w:t>
      </w:r>
      <w:r w:rsidRPr="00E10A9D">
        <w:rPr>
          <w:rFonts w:eastAsia="Times New Roman" w:cs="Times New Roman"/>
          <w:szCs w:val="24"/>
        </w:rPr>
        <w:t xml:space="preserve">, </w:t>
      </w:r>
      <w:r w:rsidRPr="00E10A9D">
        <w:rPr>
          <w:rFonts w:eastAsia="Times New Roman" w:cs="Times New Roman"/>
          <w:i/>
          <w:iCs/>
          <w:szCs w:val="24"/>
        </w:rPr>
        <w:t>11</w:t>
      </w:r>
      <w:r w:rsidRPr="00E10A9D">
        <w:rPr>
          <w:rFonts w:eastAsia="Times New Roman" w:cs="Times New Roman"/>
          <w:szCs w:val="24"/>
        </w:rPr>
        <w:t>(4), 1013-1028.</w:t>
      </w:r>
    </w:p>
    <w:p w14:paraId="2E3A1BB9" w14:textId="3ECD8BAA" w:rsidR="00070379" w:rsidRPr="00E10A9D" w:rsidRDefault="00070379" w:rsidP="00070379">
      <w:pPr>
        <w:ind w:left="567" w:hanging="567"/>
        <w:rPr>
          <w:rFonts w:eastAsia="Times New Roman" w:cs="Times New Roman"/>
          <w:szCs w:val="24"/>
        </w:rPr>
      </w:pPr>
      <w:proofErr w:type="spellStart"/>
      <w:r w:rsidRPr="00E10A9D">
        <w:rPr>
          <w:rFonts w:eastAsia="Times New Roman" w:cs="Times New Roman"/>
          <w:szCs w:val="24"/>
        </w:rPr>
        <w:t>Vidkjær</w:t>
      </w:r>
      <w:proofErr w:type="spellEnd"/>
      <w:r w:rsidRPr="00E10A9D">
        <w:rPr>
          <w:rFonts w:eastAsia="Times New Roman" w:cs="Times New Roman"/>
          <w:szCs w:val="24"/>
        </w:rPr>
        <w:t>, N.H., Wollenweber, B., Jensen, K.M.V., Ambus, P.L., Offenberg, J.</w:t>
      </w:r>
      <w:r w:rsidR="00FA7B5D">
        <w:rPr>
          <w:rFonts w:eastAsia="Times New Roman" w:cs="Times New Roman"/>
          <w:szCs w:val="24"/>
        </w:rPr>
        <w:t>,</w:t>
      </w:r>
      <w:r w:rsidRPr="00E10A9D">
        <w:rPr>
          <w:rFonts w:eastAsia="Times New Roman" w:cs="Times New Roman"/>
          <w:szCs w:val="24"/>
        </w:rPr>
        <w:t xml:space="preserve"> and Fomsgaard, I.S. (2016). Urea in weaver ant </w:t>
      </w:r>
      <w:proofErr w:type="spellStart"/>
      <w:r w:rsidRPr="00E10A9D">
        <w:rPr>
          <w:rFonts w:eastAsia="Times New Roman" w:cs="Times New Roman"/>
          <w:szCs w:val="24"/>
        </w:rPr>
        <w:t>feces</w:t>
      </w:r>
      <w:proofErr w:type="spellEnd"/>
      <w:r w:rsidRPr="00E10A9D">
        <w:rPr>
          <w:rFonts w:eastAsia="Times New Roman" w:cs="Times New Roman"/>
          <w:szCs w:val="24"/>
        </w:rPr>
        <w:t xml:space="preserve">: quantification and investigation of the uptake and </w:t>
      </w:r>
      <w:r w:rsidRPr="00E10A9D">
        <w:rPr>
          <w:rFonts w:eastAsia="Times New Roman" w:cs="Times New Roman"/>
          <w:szCs w:val="24"/>
        </w:rPr>
        <w:lastRenderedPageBreak/>
        <w:t xml:space="preserve">translocation of urea in </w:t>
      </w:r>
      <w:r w:rsidRPr="00E10A9D">
        <w:rPr>
          <w:rFonts w:eastAsia="Times New Roman" w:cs="Times New Roman"/>
          <w:i/>
          <w:iCs/>
          <w:szCs w:val="24"/>
        </w:rPr>
        <w:t>Coffea arabica</w:t>
      </w:r>
      <w:r w:rsidRPr="00E10A9D">
        <w:rPr>
          <w:rFonts w:eastAsia="Times New Roman" w:cs="Times New Roman"/>
          <w:szCs w:val="24"/>
        </w:rPr>
        <w:t xml:space="preserve">. </w:t>
      </w:r>
      <w:r w:rsidRPr="00E10A9D">
        <w:rPr>
          <w:rFonts w:eastAsia="Times New Roman" w:cs="Times New Roman"/>
          <w:i/>
          <w:iCs/>
          <w:szCs w:val="24"/>
        </w:rPr>
        <w:t>Journal of Plant Growth Regulation, 35</w:t>
      </w:r>
      <w:r w:rsidRPr="00E10A9D">
        <w:rPr>
          <w:rFonts w:eastAsia="Times New Roman" w:cs="Times New Roman"/>
          <w:szCs w:val="24"/>
        </w:rPr>
        <w:t>(3), 803-814.</w:t>
      </w:r>
    </w:p>
    <w:p w14:paraId="0646486D" w14:textId="7F6773AC" w:rsidR="00070379" w:rsidRPr="00E10A9D" w:rsidRDefault="00070379" w:rsidP="00070379">
      <w:pPr>
        <w:ind w:left="567" w:hanging="567"/>
        <w:rPr>
          <w:rFonts w:eastAsia="Times New Roman" w:cs="Times New Roman"/>
          <w:szCs w:val="24"/>
        </w:rPr>
      </w:pPr>
      <w:r w:rsidRPr="00E10A9D">
        <w:rPr>
          <w:rFonts w:eastAsia="Times New Roman" w:cs="Times New Roman"/>
          <w:szCs w:val="24"/>
        </w:rPr>
        <w:t>Von Wittgenstein, N.J., Le, C.H., Hawkins, B.J.</w:t>
      </w:r>
      <w:r w:rsidR="00FA7B5D">
        <w:rPr>
          <w:rFonts w:eastAsia="Times New Roman" w:cs="Times New Roman"/>
          <w:szCs w:val="24"/>
        </w:rPr>
        <w:t>,</w:t>
      </w:r>
      <w:r w:rsidRPr="00E10A9D">
        <w:rPr>
          <w:rFonts w:eastAsia="Times New Roman" w:cs="Times New Roman"/>
          <w:szCs w:val="24"/>
        </w:rPr>
        <w:t xml:space="preserve"> and </w:t>
      </w:r>
      <w:proofErr w:type="spellStart"/>
      <w:r w:rsidRPr="00E10A9D">
        <w:rPr>
          <w:rFonts w:eastAsia="Times New Roman" w:cs="Times New Roman"/>
          <w:szCs w:val="24"/>
        </w:rPr>
        <w:t>Ehlting</w:t>
      </w:r>
      <w:proofErr w:type="spellEnd"/>
      <w:r w:rsidRPr="00E10A9D">
        <w:rPr>
          <w:rFonts w:eastAsia="Times New Roman" w:cs="Times New Roman"/>
          <w:szCs w:val="24"/>
        </w:rPr>
        <w:t xml:space="preserve">, J. (2014). Evolutionary classification of ammonium, nitrate, and peptide transporters in land plants. </w:t>
      </w:r>
      <w:r w:rsidRPr="00E10A9D">
        <w:rPr>
          <w:rFonts w:eastAsia="Times New Roman" w:cs="Times New Roman"/>
          <w:i/>
          <w:iCs/>
          <w:szCs w:val="24"/>
        </w:rPr>
        <w:t>BMC Evolutionary Biology, 14</w:t>
      </w:r>
      <w:r w:rsidRPr="00E10A9D">
        <w:rPr>
          <w:rFonts w:eastAsia="Times New Roman" w:cs="Times New Roman"/>
          <w:szCs w:val="24"/>
        </w:rPr>
        <w:t>(1), 11.</w:t>
      </w:r>
    </w:p>
    <w:p w14:paraId="51552443" w14:textId="1C08245B" w:rsidR="00070379" w:rsidRPr="00E10A9D" w:rsidRDefault="00070379" w:rsidP="00070379">
      <w:pPr>
        <w:ind w:left="567" w:hanging="567"/>
        <w:rPr>
          <w:rFonts w:eastAsia="Times New Roman" w:cs="Times New Roman"/>
          <w:szCs w:val="24"/>
        </w:rPr>
      </w:pPr>
      <w:r w:rsidRPr="00E10A9D">
        <w:rPr>
          <w:rFonts w:eastAsia="Times New Roman" w:cs="Times New Roman"/>
          <w:szCs w:val="24"/>
        </w:rPr>
        <w:t>Wang, Y.Y., Cheng, Y.H., Chen, K.E.</w:t>
      </w:r>
      <w:r w:rsidR="00FA7B5D">
        <w:rPr>
          <w:rFonts w:eastAsia="Times New Roman" w:cs="Times New Roman"/>
          <w:szCs w:val="24"/>
        </w:rPr>
        <w:t>,</w:t>
      </w:r>
      <w:r w:rsidRPr="00E10A9D">
        <w:rPr>
          <w:rFonts w:eastAsia="Times New Roman" w:cs="Times New Roman"/>
          <w:szCs w:val="24"/>
        </w:rPr>
        <w:t xml:space="preserve"> and Tsay, Y.F. (2018). Nitrate transport, </w:t>
      </w:r>
      <w:proofErr w:type="spellStart"/>
      <w:r w:rsidRPr="00E10A9D">
        <w:rPr>
          <w:rFonts w:eastAsia="Times New Roman" w:cs="Times New Roman"/>
          <w:szCs w:val="24"/>
        </w:rPr>
        <w:t>signaling</w:t>
      </w:r>
      <w:proofErr w:type="spellEnd"/>
      <w:r w:rsidRPr="00E10A9D">
        <w:rPr>
          <w:rFonts w:eastAsia="Times New Roman" w:cs="Times New Roman"/>
          <w:szCs w:val="24"/>
        </w:rPr>
        <w:t xml:space="preserve">, and use efficiency. </w:t>
      </w:r>
      <w:r w:rsidRPr="00E10A9D">
        <w:rPr>
          <w:rFonts w:eastAsia="Times New Roman" w:cs="Times New Roman"/>
          <w:i/>
          <w:iCs/>
          <w:szCs w:val="24"/>
        </w:rPr>
        <w:t>Annual Review of Plant Biology, 69</w:t>
      </w:r>
      <w:r w:rsidRPr="00E10A9D">
        <w:rPr>
          <w:rFonts w:eastAsia="Times New Roman" w:cs="Times New Roman"/>
          <w:szCs w:val="24"/>
        </w:rPr>
        <w:t>(1), 85-122.</w:t>
      </w:r>
    </w:p>
    <w:p w14:paraId="4A5CEDB0" w14:textId="77777777" w:rsidR="00070379" w:rsidRPr="00E10A9D" w:rsidRDefault="00070379" w:rsidP="00070379">
      <w:pPr>
        <w:ind w:left="567" w:hanging="567"/>
        <w:rPr>
          <w:rFonts w:eastAsia="Times New Roman" w:cs="Times New Roman"/>
          <w:szCs w:val="24"/>
        </w:rPr>
      </w:pPr>
      <w:r w:rsidRPr="00E10A9D">
        <w:rPr>
          <w:rFonts w:eastAsia="Times New Roman" w:cs="Times New Roman"/>
          <w:szCs w:val="24"/>
        </w:rPr>
        <w:t>Zotz, G. (2016). </w:t>
      </w:r>
      <w:r w:rsidRPr="00E10A9D">
        <w:rPr>
          <w:rFonts w:eastAsia="Times New Roman" w:cs="Times New Roman"/>
          <w:i/>
          <w:iCs/>
          <w:szCs w:val="24"/>
        </w:rPr>
        <w:t>Plants on plants: The biology of vascular epiphytes</w:t>
      </w:r>
      <w:r w:rsidRPr="00E10A9D">
        <w:rPr>
          <w:rFonts w:eastAsia="Times New Roman" w:cs="Times New Roman"/>
          <w:szCs w:val="24"/>
        </w:rPr>
        <w:t>. Springer International Publishing. </w:t>
      </w:r>
    </w:p>
    <w:p w14:paraId="266BB9EF" w14:textId="77777777" w:rsidR="000778C1" w:rsidRDefault="000778C1" w:rsidP="003F6053"/>
    <w:p w14:paraId="0AF2E8D0" w14:textId="77777777" w:rsidR="003F6053" w:rsidRDefault="003F6053" w:rsidP="003F6053"/>
    <w:p w14:paraId="651CE678" w14:textId="77777777" w:rsidR="00736108" w:rsidRDefault="00736108" w:rsidP="003F6053"/>
    <w:p w14:paraId="5EDD2EEE" w14:textId="77777777" w:rsidR="00736108" w:rsidRDefault="00736108" w:rsidP="003F6053"/>
    <w:p w14:paraId="6E30AA56" w14:textId="77777777" w:rsidR="002A3C4A" w:rsidRDefault="002A3C4A" w:rsidP="003F6053"/>
    <w:p w14:paraId="1028D808" w14:textId="77777777" w:rsidR="002A3C4A" w:rsidRDefault="002A3C4A" w:rsidP="003F6053"/>
    <w:p w14:paraId="01D524BF" w14:textId="77777777" w:rsidR="002A3C4A" w:rsidRDefault="002A3C4A" w:rsidP="003F6053"/>
    <w:p w14:paraId="450D49A8" w14:textId="77777777" w:rsidR="002A3C4A" w:rsidRDefault="002A3C4A" w:rsidP="003F6053"/>
    <w:p w14:paraId="189D8E0D" w14:textId="77777777" w:rsidR="002A3C4A" w:rsidRDefault="002A3C4A" w:rsidP="003F6053"/>
    <w:p w14:paraId="34F9B22A" w14:textId="77777777" w:rsidR="002A3C4A" w:rsidRDefault="002A3C4A" w:rsidP="003F6053"/>
    <w:p w14:paraId="0516D97C" w14:textId="77777777" w:rsidR="002A3C4A" w:rsidRDefault="002A3C4A" w:rsidP="003F6053"/>
    <w:p w14:paraId="5E872D06" w14:textId="77777777" w:rsidR="002A3C4A" w:rsidRDefault="002A3C4A" w:rsidP="003F6053"/>
    <w:p w14:paraId="4BD4E0C5" w14:textId="77777777" w:rsidR="00736108" w:rsidRDefault="00736108" w:rsidP="003F6053"/>
    <w:p w14:paraId="15783D78" w14:textId="77777777" w:rsidR="00736108" w:rsidRDefault="00736108" w:rsidP="003F6053"/>
    <w:p w14:paraId="255B2AD4" w14:textId="77777777" w:rsidR="00736108" w:rsidRPr="003F6053" w:rsidRDefault="00736108" w:rsidP="003F6053"/>
    <w:p w14:paraId="10468171" w14:textId="77777777" w:rsidR="00741103" w:rsidRDefault="00741103">
      <w:pPr>
        <w:pStyle w:val="Heading2"/>
        <w:keepNext w:val="0"/>
        <w:keepLines w:val="0"/>
        <w:widowControl w:val="0"/>
        <w:spacing w:line="344" w:lineRule="auto"/>
        <w:ind w:left="1441" w:right="350" w:firstLine="3"/>
        <w:rPr>
          <w:rFonts w:eastAsia="Times New Roman" w:cs="Times New Roman"/>
          <w:sz w:val="24"/>
          <w:szCs w:val="24"/>
        </w:rPr>
      </w:pPr>
    </w:p>
    <w:p w14:paraId="54C01777" w14:textId="77777777" w:rsidR="002A3C4A" w:rsidRPr="002A3C4A" w:rsidRDefault="002A3C4A" w:rsidP="002A3C4A"/>
    <w:p w14:paraId="2D5EC763" w14:textId="482A3865" w:rsidR="009948F1" w:rsidRDefault="003D034D" w:rsidP="002A3C4A">
      <w:pPr>
        <w:pStyle w:val="Heading2"/>
      </w:pPr>
      <w:bookmarkStart w:id="135" w:name="_Toc235393027"/>
      <w:r>
        <w:rPr>
          <w:noProof/>
        </w:rPr>
        <w:lastRenderedPageBreak/>
        <w:drawing>
          <wp:anchor distT="0" distB="0" distL="114300" distR="114300" simplePos="0" relativeHeight="251659270" behindDoc="0" locked="0" layoutInCell="1" allowOverlap="1" wp14:anchorId="68BC1445" wp14:editId="2F9C6411">
            <wp:simplePos x="0" y="0"/>
            <wp:positionH relativeFrom="page">
              <wp:posOffset>295882</wp:posOffset>
            </wp:positionH>
            <wp:positionV relativeFrom="paragraph">
              <wp:posOffset>365153</wp:posOffset>
            </wp:positionV>
            <wp:extent cx="6910070" cy="3690620"/>
            <wp:effectExtent l="0" t="0" r="5080" b="5080"/>
            <wp:wrapNone/>
            <wp:docPr id="774996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96411" name=""/>
                    <pic:cNvPicPr/>
                  </pic:nvPicPr>
                  <pic:blipFill>
                    <a:blip r:embed="rId35">
                      <a:extLst>
                        <a:ext uri="{28A0092B-C50C-407E-A947-70E740481C1C}">
                          <a14:useLocalDpi xmlns:a14="http://schemas.microsoft.com/office/drawing/2010/main" val="0"/>
                        </a:ext>
                      </a:extLst>
                    </a:blip>
                    <a:stretch>
                      <a:fillRect/>
                    </a:stretch>
                  </pic:blipFill>
                  <pic:spPr>
                    <a:xfrm>
                      <a:off x="0" y="0"/>
                      <a:ext cx="6910070" cy="3690620"/>
                    </a:xfrm>
                    <a:prstGeom prst="rect">
                      <a:avLst/>
                    </a:prstGeom>
                  </pic:spPr>
                </pic:pic>
              </a:graphicData>
            </a:graphic>
            <wp14:sizeRelH relativeFrom="page">
              <wp14:pctWidth>0</wp14:pctWidth>
            </wp14:sizeRelH>
            <wp14:sizeRelV relativeFrom="page">
              <wp14:pctHeight>0</wp14:pctHeight>
            </wp14:sizeRelV>
          </wp:anchor>
        </w:drawing>
      </w:r>
      <w:r w:rsidR="00CE671C">
        <w:t>Supplementary figures</w:t>
      </w:r>
      <w:bookmarkEnd w:id="135"/>
    </w:p>
    <w:p w14:paraId="2EC33F28" w14:textId="4B744FE7" w:rsidR="00A4071C" w:rsidRDefault="00A4071C" w:rsidP="003D034D"/>
    <w:p w14:paraId="6D8EAFCE" w14:textId="572A040A" w:rsidR="003D034D" w:rsidRPr="003D034D" w:rsidRDefault="003D034D" w:rsidP="003D034D"/>
    <w:p w14:paraId="6CD14AD4" w14:textId="77777777" w:rsidR="003D034D" w:rsidRDefault="003D034D" w:rsidP="003D034D"/>
    <w:p w14:paraId="48750DB6" w14:textId="77777777" w:rsidR="003D034D" w:rsidRPr="003D034D" w:rsidRDefault="003D034D" w:rsidP="003D034D"/>
    <w:p w14:paraId="1C81BC73" w14:textId="12AA0EBA" w:rsidR="009948F1" w:rsidRDefault="009948F1" w:rsidP="009948F1">
      <w:pPr>
        <w:pStyle w:val="Heading2"/>
        <w:keepNext w:val="0"/>
        <w:keepLines w:val="0"/>
        <w:widowControl w:val="0"/>
        <w:spacing w:line="344" w:lineRule="auto"/>
        <w:ind w:left="1441" w:right="350" w:firstLine="3"/>
        <w:rPr>
          <w:rFonts w:eastAsia="Times New Roman" w:cs="Times New Roman"/>
          <w:sz w:val="24"/>
          <w:szCs w:val="24"/>
        </w:rPr>
      </w:pPr>
    </w:p>
    <w:p w14:paraId="67C638A9" w14:textId="77777777" w:rsidR="003D034D" w:rsidRDefault="003D034D" w:rsidP="003D034D"/>
    <w:p w14:paraId="3EC127C5" w14:textId="77777777" w:rsidR="003D034D" w:rsidRDefault="003D034D" w:rsidP="003D034D"/>
    <w:p w14:paraId="39028C80" w14:textId="77777777" w:rsidR="003D034D" w:rsidRDefault="003D034D" w:rsidP="003D034D"/>
    <w:p w14:paraId="4FDB48AE" w14:textId="77777777" w:rsidR="003D034D" w:rsidRDefault="003D034D" w:rsidP="003D034D"/>
    <w:p w14:paraId="11A2A3A5" w14:textId="77777777" w:rsidR="003D034D" w:rsidRDefault="003D034D" w:rsidP="003D034D"/>
    <w:p w14:paraId="317D349F" w14:textId="77777777" w:rsidR="003D034D" w:rsidRPr="003D034D" w:rsidRDefault="003D034D" w:rsidP="003D034D"/>
    <w:p w14:paraId="601424AE" w14:textId="0A528A04" w:rsidR="00C865CD" w:rsidRDefault="009948F1" w:rsidP="003D034D">
      <w:pPr>
        <w:rPr>
          <w:szCs w:val="24"/>
        </w:rPr>
      </w:pPr>
      <w:r w:rsidRPr="006F1683">
        <w:rPr>
          <w:b/>
          <w:bCs/>
          <w:szCs w:val="24"/>
        </w:rPr>
        <w:t>Figure S1</w:t>
      </w:r>
      <w:r w:rsidRPr="009948F1">
        <w:rPr>
          <w:szCs w:val="24"/>
        </w:rPr>
        <w:t xml:space="preserve">. Heatmap of nitrogen-related genes in </w:t>
      </w:r>
      <w:r w:rsidRPr="008D458D">
        <w:rPr>
          <w:i/>
          <w:iCs/>
          <w:szCs w:val="24"/>
        </w:rPr>
        <w:t xml:space="preserve">M. </w:t>
      </w:r>
      <w:proofErr w:type="spellStart"/>
      <w:r w:rsidRPr="008D458D">
        <w:rPr>
          <w:i/>
          <w:iCs/>
          <w:szCs w:val="24"/>
        </w:rPr>
        <w:t>beccarii</w:t>
      </w:r>
      <w:proofErr w:type="spellEnd"/>
      <w:r w:rsidRPr="009948F1">
        <w:rPr>
          <w:szCs w:val="24"/>
        </w:rPr>
        <w:t xml:space="preserve"> showing log</w:t>
      </w:r>
      <w:r w:rsidRPr="009948F1">
        <w:rPr>
          <w:rFonts w:ascii="Cambria Math" w:hAnsi="Cambria Math" w:cs="Cambria Math"/>
          <w:szCs w:val="24"/>
        </w:rPr>
        <w:t>₂</w:t>
      </w:r>
      <w:r w:rsidRPr="009948F1">
        <w:rPr>
          <w:szCs w:val="24"/>
        </w:rPr>
        <w:t>-transformed normali</w:t>
      </w:r>
      <w:r w:rsidR="006F1683">
        <w:rPr>
          <w:szCs w:val="24"/>
        </w:rPr>
        <w:t>s</w:t>
      </w:r>
      <w:r w:rsidRPr="009948F1">
        <w:rPr>
          <w:szCs w:val="24"/>
        </w:rPr>
        <w:t>ed expression values from DESeq2 (variance-stabili</w:t>
      </w:r>
      <w:r w:rsidR="006F1683">
        <w:rPr>
          <w:szCs w:val="24"/>
        </w:rPr>
        <w:t>s</w:t>
      </w:r>
      <w:r w:rsidRPr="009948F1">
        <w:rPr>
          <w:szCs w:val="24"/>
        </w:rPr>
        <w:t>ed counts). Samples include control cavity and fertilised cavity across warty, smooth, and tuber tissues, with three biological replicates each. Genes are hierarchically clustered based on expression similarity. Gene functional annotations are attributed to Helixer arbitrary gene ids on the left side.</w:t>
      </w:r>
    </w:p>
    <w:p w14:paraId="36ED6C13" w14:textId="77777777" w:rsidR="006F1683" w:rsidRDefault="006F1683" w:rsidP="003D034D">
      <w:pPr>
        <w:rPr>
          <w:szCs w:val="24"/>
        </w:rPr>
      </w:pPr>
    </w:p>
    <w:p w14:paraId="3F6957F9" w14:textId="77777777" w:rsidR="006F1683" w:rsidRDefault="006F1683" w:rsidP="003D034D">
      <w:pPr>
        <w:rPr>
          <w:szCs w:val="24"/>
        </w:rPr>
      </w:pPr>
    </w:p>
    <w:p w14:paraId="685AF0D0" w14:textId="77777777" w:rsidR="006F1683" w:rsidRDefault="006F1683" w:rsidP="003D034D">
      <w:pPr>
        <w:rPr>
          <w:szCs w:val="24"/>
        </w:rPr>
      </w:pPr>
    </w:p>
    <w:p w14:paraId="265477BF" w14:textId="77777777" w:rsidR="006F1683" w:rsidRDefault="006F1683" w:rsidP="003D034D">
      <w:pPr>
        <w:rPr>
          <w:szCs w:val="24"/>
        </w:rPr>
      </w:pPr>
    </w:p>
    <w:p w14:paraId="5ACDCED5" w14:textId="77777777" w:rsidR="006F1683" w:rsidRDefault="006F1683" w:rsidP="003D034D">
      <w:pPr>
        <w:rPr>
          <w:szCs w:val="24"/>
        </w:rPr>
      </w:pPr>
    </w:p>
    <w:p w14:paraId="0FECF1E1" w14:textId="77777777" w:rsidR="006F1683" w:rsidRDefault="006F1683" w:rsidP="003D034D">
      <w:pPr>
        <w:rPr>
          <w:szCs w:val="24"/>
        </w:rPr>
      </w:pPr>
    </w:p>
    <w:p w14:paraId="1D4E61B5" w14:textId="77777777" w:rsidR="006F1683" w:rsidRDefault="006F1683" w:rsidP="003D034D">
      <w:pPr>
        <w:rPr>
          <w:szCs w:val="24"/>
        </w:rPr>
      </w:pPr>
    </w:p>
    <w:p w14:paraId="214B7601" w14:textId="77777777" w:rsidR="006F1683" w:rsidRDefault="006F1683" w:rsidP="003D034D">
      <w:pPr>
        <w:rPr>
          <w:szCs w:val="24"/>
        </w:rPr>
      </w:pPr>
    </w:p>
    <w:p w14:paraId="3DC7299F" w14:textId="3BB521C9" w:rsidR="006F1683" w:rsidRDefault="006F1683" w:rsidP="003D034D">
      <w:pPr>
        <w:rPr>
          <w:szCs w:val="24"/>
        </w:rPr>
      </w:pPr>
      <w:r>
        <w:rPr>
          <w:noProof/>
        </w:rPr>
        <w:lastRenderedPageBreak/>
        <w:drawing>
          <wp:anchor distT="0" distB="0" distL="114300" distR="114300" simplePos="0" relativeHeight="251675654" behindDoc="0" locked="0" layoutInCell="1" allowOverlap="1" wp14:anchorId="2F86377A" wp14:editId="114F904F">
            <wp:simplePos x="0" y="0"/>
            <wp:positionH relativeFrom="column">
              <wp:posOffset>-532185</wp:posOffset>
            </wp:positionH>
            <wp:positionV relativeFrom="paragraph">
              <wp:posOffset>-11623</wp:posOffset>
            </wp:positionV>
            <wp:extent cx="6910070" cy="3804920"/>
            <wp:effectExtent l="0" t="0" r="5080" b="5080"/>
            <wp:wrapNone/>
            <wp:docPr id="1259065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65005" name=""/>
                    <pic:cNvPicPr/>
                  </pic:nvPicPr>
                  <pic:blipFill>
                    <a:blip r:embed="rId36">
                      <a:extLst>
                        <a:ext uri="{28A0092B-C50C-407E-A947-70E740481C1C}">
                          <a14:useLocalDpi xmlns:a14="http://schemas.microsoft.com/office/drawing/2010/main" val="0"/>
                        </a:ext>
                      </a:extLst>
                    </a:blip>
                    <a:stretch>
                      <a:fillRect/>
                    </a:stretch>
                  </pic:blipFill>
                  <pic:spPr>
                    <a:xfrm>
                      <a:off x="0" y="0"/>
                      <a:ext cx="6910070" cy="3804920"/>
                    </a:xfrm>
                    <a:prstGeom prst="rect">
                      <a:avLst/>
                    </a:prstGeom>
                  </pic:spPr>
                </pic:pic>
              </a:graphicData>
            </a:graphic>
          </wp:anchor>
        </w:drawing>
      </w:r>
    </w:p>
    <w:p w14:paraId="07819562" w14:textId="015AD54E" w:rsidR="006F1683" w:rsidRDefault="006F1683" w:rsidP="003D034D">
      <w:pPr>
        <w:rPr>
          <w:szCs w:val="24"/>
        </w:rPr>
      </w:pPr>
    </w:p>
    <w:p w14:paraId="417EED67" w14:textId="77777777" w:rsidR="006F1683" w:rsidRDefault="006F1683" w:rsidP="003D034D">
      <w:pPr>
        <w:rPr>
          <w:szCs w:val="24"/>
        </w:rPr>
      </w:pPr>
    </w:p>
    <w:p w14:paraId="189874E6" w14:textId="731B2126" w:rsidR="006F1683" w:rsidRDefault="006F1683" w:rsidP="003D034D">
      <w:pPr>
        <w:rPr>
          <w:szCs w:val="24"/>
        </w:rPr>
      </w:pPr>
    </w:p>
    <w:p w14:paraId="647C7C7E" w14:textId="1F4FF75F" w:rsidR="006F1683" w:rsidRDefault="006F1683" w:rsidP="003D034D">
      <w:pPr>
        <w:rPr>
          <w:szCs w:val="24"/>
        </w:rPr>
      </w:pPr>
    </w:p>
    <w:p w14:paraId="7D1E1F0C" w14:textId="449DA498" w:rsidR="006F1683" w:rsidRDefault="006F1683" w:rsidP="003D034D">
      <w:pPr>
        <w:rPr>
          <w:szCs w:val="24"/>
        </w:rPr>
      </w:pPr>
    </w:p>
    <w:p w14:paraId="3D06110B" w14:textId="0E750A7A" w:rsidR="006F1683" w:rsidRDefault="006F1683" w:rsidP="003D034D">
      <w:pPr>
        <w:rPr>
          <w:szCs w:val="24"/>
        </w:rPr>
      </w:pPr>
    </w:p>
    <w:p w14:paraId="26C9DFE0" w14:textId="77777777" w:rsidR="006F1683" w:rsidRDefault="006F1683" w:rsidP="003D034D">
      <w:pPr>
        <w:rPr>
          <w:szCs w:val="24"/>
        </w:rPr>
      </w:pPr>
    </w:p>
    <w:p w14:paraId="3DAF28E3" w14:textId="13AE8C08" w:rsidR="006F1683" w:rsidRDefault="006F1683" w:rsidP="003D034D">
      <w:pPr>
        <w:rPr>
          <w:szCs w:val="24"/>
        </w:rPr>
      </w:pPr>
    </w:p>
    <w:p w14:paraId="0541859C" w14:textId="77777777" w:rsidR="006F1683" w:rsidRDefault="006F1683" w:rsidP="003D034D">
      <w:pPr>
        <w:rPr>
          <w:szCs w:val="24"/>
        </w:rPr>
      </w:pPr>
    </w:p>
    <w:p w14:paraId="2D6D3DA6" w14:textId="49316657" w:rsidR="00C865CD" w:rsidRDefault="00C865CD" w:rsidP="006F1683"/>
    <w:p w14:paraId="4A0C822A" w14:textId="709A31CE" w:rsidR="004507E2" w:rsidRDefault="00C865CD" w:rsidP="006F1683">
      <w:pPr>
        <w:rPr>
          <w:b/>
          <w:bCs/>
          <w:szCs w:val="24"/>
        </w:rPr>
      </w:pPr>
      <w:r w:rsidRPr="006F1683">
        <w:rPr>
          <w:b/>
          <w:bCs/>
          <w:szCs w:val="24"/>
        </w:rPr>
        <w:t>Figure S2</w:t>
      </w:r>
      <w:r w:rsidRPr="00C865CD">
        <w:rPr>
          <w:szCs w:val="24"/>
        </w:rPr>
        <w:t xml:space="preserve">. Heatmap of nitrogen-related genes in </w:t>
      </w:r>
      <w:r w:rsidRPr="00680B71">
        <w:rPr>
          <w:i/>
          <w:iCs/>
          <w:szCs w:val="24"/>
        </w:rPr>
        <w:t xml:space="preserve">M. </w:t>
      </w:r>
      <w:proofErr w:type="spellStart"/>
      <w:r w:rsidRPr="00680B71">
        <w:rPr>
          <w:i/>
          <w:iCs/>
          <w:szCs w:val="24"/>
        </w:rPr>
        <w:t>beccarii</w:t>
      </w:r>
      <w:proofErr w:type="spellEnd"/>
      <w:r w:rsidRPr="00C865CD">
        <w:rPr>
          <w:szCs w:val="24"/>
        </w:rPr>
        <w:t xml:space="preserve"> showing log</w:t>
      </w:r>
      <w:r w:rsidRPr="00C865CD">
        <w:rPr>
          <w:rFonts w:ascii="Cambria Math" w:hAnsi="Cambria Math" w:cs="Cambria Math"/>
          <w:szCs w:val="24"/>
        </w:rPr>
        <w:t>₂</w:t>
      </w:r>
      <w:r w:rsidRPr="00C865CD">
        <w:rPr>
          <w:szCs w:val="24"/>
        </w:rPr>
        <w:t>-transformed normali</w:t>
      </w:r>
      <w:r w:rsidR="006F1683">
        <w:rPr>
          <w:szCs w:val="24"/>
        </w:rPr>
        <w:t>s</w:t>
      </w:r>
      <w:r w:rsidRPr="00C865CD">
        <w:rPr>
          <w:szCs w:val="24"/>
        </w:rPr>
        <w:t>ed expression values from DESeq2 (variance-stabili</w:t>
      </w:r>
      <w:r w:rsidR="006F1683">
        <w:rPr>
          <w:szCs w:val="24"/>
        </w:rPr>
        <w:t>s</w:t>
      </w:r>
      <w:r w:rsidRPr="00C865CD">
        <w:rPr>
          <w:szCs w:val="24"/>
        </w:rPr>
        <w:t>ed counts). Samples include control cavity and fertilised cavity across warty, smooth, and tuber tissues, with three biological replicates each. Genes are hierarchically clustered based on expression similarity. Gene functional annotations are attributed to Helixer arbitrary gene ids on the left side.</w:t>
      </w:r>
    </w:p>
    <w:p w14:paraId="4E187713" w14:textId="77777777" w:rsidR="00AF0D20" w:rsidRDefault="00AF0D20" w:rsidP="00C865CD">
      <w:pPr>
        <w:pStyle w:val="Heading2"/>
        <w:keepNext w:val="0"/>
        <w:keepLines w:val="0"/>
        <w:widowControl w:val="0"/>
        <w:spacing w:line="344" w:lineRule="auto"/>
        <w:ind w:left="1441" w:right="350" w:firstLine="3"/>
        <w:rPr>
          <w:b w:val="0"/>
          <w:bCs w:val="0"/>
          <w:sz w:val="24"/>
          <w:szCs w:val="24"/>
        </w:rPr>
      </w:pPr>
    </w:p>
    <w:p w14:paraId="1363AAF5" w14:textId="77777777" w:rsidR="00776794" w:rsidRDefault="00776794" w:rsidP="00776794"/>
    <w:p w14:paraId="77ADA40A" w14:textId="77777777" w:rsidR="00776794" w:rsidRDefault="00776794" w:rsidP="00776794"/>
    <w:p w14:paraId="1A89D7F1" w14:textId="77777777" w:rsidR="00776794" w:rsidRDefault="00776794" w:rsidP="00776794"/>
    <w:p w14:paraId="3FBBA395" w14:textId="77777777" w:rsidR="00776794" w:rsidRDefault="00776794" w:rsidP="00776794"/>
    <w:p w14:paraId="5F682338" w14:textId="77777777" w:rsidR="00776794" w:rsidRDefault="00776794" w:rsidP="00776794"/>
    <w:p w14:paraId="03DE581E" w14:textId="77777777" w:rsidR="00776794" w:rsidRDefault="00776794" w:rsidP="00776794"/>
    <w:p w14:paraId="54C1E886" w14:textId="77777777" w:rsidR="00776794" w:rsidRDefault="00776794" w:rsidP="00776794"/>
    <w:p w14:paraId="257C834B" w14:textId="77777777" w:rsidR="00776794" w:rsidRDefault="00776794" w:rsidP="00776794"/>
    <w:p w14:paraId="1B365BE3" w14:textId="2A3EDBEF" w:rsidR="00776794" w:rsidRDefault="00776794" w:rsidP="00776794">
      <w:r>
        <w:rPr>
          <w:noProof/>
        </w:rPr>
        <w:lastRenderedPageBreak/>
        <w:drawing>
          <wp:anchor distT="0" distB="0" distL="114300" distR="114300" simplePos="0" relativeHeight="251661318" behindDoc="0" locked="0" layoutInCell="1" allowOverlap="1" wp14:anchorId="772725E4" wp14:editId="4CE1028C">
            <wp:simplePos x="0" y="0"/>
            <wp:positionH relativeFrom="column">
              <wp:posOffset>-475671</wp:posOffset>
            </wp:positionH>
            <wp:positionV relativeFrom="paragraph">
              <wp:posOffset>166</wp:posOffset>
            </wp:positionV>
            <wp:extent cx="6910070" cy="6383655"/>
            <wp:effectExtent l="0" t="0" r="5080" b="0"/>
            <wp:wrapNone/>
            <wp:docPr id="1351764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764785" name=""/>
                    <pic:cNvPicPr/>
                  </pic:nvPicPr>
                  <pic:blipFill>
                    <a:blip r:embed="rId37">
                      <a:extLst>
                        <a:ext uri="{28A0092B-C50C-407E-A947-70E740481C1C}">
                          <a14:useLocalDpi xmlns:a14="http://schemas.microsoft.com/office/drawing/2010/main" val="0"/>
                        </a:ext>
                      </a:extLst>
                    </a:blip>
                    <a:stretch>
                      <a:fillRect/>
                    </a:stretch>
                  </pic:blipFill>
                  <pic:spPr>
                    <a:xfrm>
                      <a:off x="0" y="0"/>
                      <a:ext cx="6910070" cy="6383655"/>
                    </a:xfrm>
                    <a:prstGeom prst="rect">
                      <a:avLst/>
                    </a:prstGeom>
                  </pic:spPr>
                </pic:pic>
              </a:graphicData>
            </a:graphic>
            <wp14:sizeRelH relativeFrom="page">
              <wp14:pctWidth>0</wp14:pctWidth>
            </wp14:sizeRelH>
            <wp14:sizeRelV relativeFrom="page">
              <wp14:pctHeight>0</wp14:pctHeight>
            </wp14:sizeRelV>
          </wp:anchor>
        </w:drawing>
      </w:r>
    </w:p>
    <w:p w14:paraId="507762F8" w14:textId="77777777" w:rsidR="00776794" w:rsidRDefault="00776794" w:rsidP="00776794"/>
    <w:p w14:paraId="58EEFF78" w14:textId="77777777" w:rsidR="00776794" w:rsidRDefault="00776794" w:rsidP="00776794"/>
    <w:p w14:paraId="0FD52C21" w14:textId="77777777" w:rsidR="00776794" w:rsidRDefault="00776794" w:rsidP="00776794"/>
    <w:p w14:paraId="336DFD91" w14:textId="77777777" w:rsidR="00776794" w:rsidRDefault="00776794" w:rsidP="00776794"/>
    <w:p w14:paraId="6F37C27F" w14:textId="77777777" w:rsidR="00776794" w:rsidRDefault="00776794" w:rsidP="00776794"/>
    <w:p w14:paraId="6D4AEAD6" w14:textId="77777777" w:rsidR="00776794" w:rsidRDefault="00776794" w:rsidP="00776794"/>
    <w:p w14:paraId="5E092F7D" w14:textId="77777777" w:rsidR="00776794" w:rsidRDefault="00776794" w:rsidP="00776794"/>
    <w:p w14:paraId="532EF594" w14:textId="77777777" w:rsidR="00776794" w:rsidRDefault="00776794" w:rsidP="00776794"/>
    <w:p w14:paraId="6ED23D8C" w14:textId="77777777" w:rsidR="00776794" w:rsidRDefault="00776794" w:rsidP="00776794"/>
    <w:p w14:paraId="3E684FB3" w14:textId="77777777" w:rsidR="00776794" w:rsidRDefault="00776794" w:rsidP="00776794"/>
    <w:p w14:paraId="4D16D350" w14:textId="77777777" w:rsidR="00776794" w:rsidRDefault="00776794" w:rsidP="00776794"/>
    <w:p w14:paraId="7401922D" w14:textId="77777777" w:rsidR="00776794" w:rsidRDefault="00776794" w:rsidP="00776794"/>
    <w:p w14:paraId="0C061548" w14:textId="77777777" w:rsidR="00776794" w:rsidRDefault="00776794" w:rsidP="00776794"/>
    <w:p w14:paraId="0B12610A" w14:textId="77777777" w:rsidR="00776794" w:rsidRDefault="00776794" w:rsidP="00776794"/>
    <w:p w14:paraId="2FB0D2FF" w14:textId="77777777" w:rsidR="00776794" w:rsidRPr="00776794" w:rsidRDefault="00776794" w:rsidP="00776794"/>
    <w:p w14:paraId="71A95D8B" w14:textId="16BD23CA" w:rsidR="00AF0D20" w:rsidRDefault="00AF0D20" w:rsidP="00C865CD">
      <w:pPr>
        <w:pStyle w:val="Heading2"/>
        <w:keepNext w:val="0"/>
        <w:keepLines w:val="0"/>
        <w:widowControl w:val="0"/>
        <w:spacing w:line="344" w:lineRule="auto"/>
        <w:ind w:left="1441" w:right="350" w:firstLine="3"/>
        <w:rPr>
          <w:b w:val="0"/>
          <w:bCs w:val="0"/>
          <w:sz w:val="24"/>
          <w:szCs w:val="24"/>
        </w:rPr>
      </w:pPr>
    </w:p>
    <w:p w14:paraId="5CC8DBF1" w14:textId="77777777" w:rsidR="00940BE3" w:rsidRPr="00940BE3" w:rsidRDefault="00940BE3" w:rsidP="00940BE3"/>
    <w:p w14:paraId="53B75FCD" w14:textId="567C5475" w:rsidR="00636289" w:rsidRDefault="00AF0D20" w:rsidP="00776794">
      <w:pPr>
        <w:rPr>
          <w:b/>
          <w:bCs/>
        </w:rPr>
      </w:pPr>
      <w:r w:rsidRPr="00776794">
        <w:rPr>
          <w:b/>
          <w:bCs/>
        </w:rPr>
        <w:t>Figure S3</w:t>
      </w:r>
      <w:r w:rsidRPr="00AF0D20">
        <w:t xml:space="preserve">. Heatmap of nitrogen-related genes in </w:t>
      </w:r>
      <w:r w:rsidRPr="00766F93">
        <w:rPr>
          <w:i/>
          <w:iCs/>
        </w:rPr>
        <w:t xml:space="preserve">M. </w:t>
      </w:r>
      <w:proofErr w:type="spellStart"/>
      <w:r w:rsidRPr="00766F93">
        <w:rPr>
          <w:i/>
          <w:iCs/>
        </w:rPr>
        <w:t>beccarii</w:t>
      </w:r>
      <w:proofErr w:type="spellEnd"/>
      <w:r w:rsidRPr="00AF0D20">
        <w:t xml:space="preserve"> showing log</w:t>
      </w:r>
      <w:r w:rsidRPr="00AF0D20">
        <w:rPr>
          <w:rFonts w:ascii="Cambria Math" w:hAnsi="Cambria Math" w:cs="Cambria Math"/>
        </w:rPr>
        <w:t>₂</w:t>
      </w:r>
      <w:r w:rsidRPr="00AF0D20">
        <w:t>-transformed normali</w:t>
      </w:r>
      <w:r w:rsidR="00F200A4">
        <w:t>s</w:t>
      </w:r>
      <w:r w:rsidRPr="00AF0D20">
        <w:t>ed expression values from DESeq2 (variance-stabili</w:t>
      </w:r>
      <w:r w:rsidR="00F200A4">
        <w:t>s</w:t>
      </w:r>
      <w:r w:rsidRPr="00AF0D20">
        <w:t>ed counts). Samples include control cavity and fertilised cavity across warty, smooth, and tuber tissues, with three biological replicates each. Genes are hierarchically clustered based on expression similarity. Gene functional annotations are attributed to Helixer arbitrary gene ids on the left side</w:t>
      </w:r>
      <w:r w:rsidR="00636289">
        <w:t>.</w:t>
      </w:r>
    </w:p>
    <w:p w14:paraId="199D3E13" w14:textId="77777777" w:rsidR="00636289" w:rsidRDefault="00636289" w:rsidP="00776794"/>
    <w:p w14:paraId="556B6E7A" w14:textId="77777777" w:rsidR="00F200A4" w:rsidRDefault="00F200A4" w:rsidP="00776794"/>
    <w:p w14:paraId="08202D05" w14:textId="65F0E5E7" w:rsidR="00F200A4" w:rsidRDefault="00A853E7" w:rsidP="00776794">
      <w:r>
        <w:rPr>
          <w:noProof/>
        </w:rPr>
        <w:lastRenderedPageBreak/>
        <mc:AlternateContent>
          <mc:Choice Requires="wps">
            <w:drawing>
              <wp:inline distT="0" distB="0" distL="0" distR="0" wp14:anchorId="2F7E78D4" wp14:editId="0FABA9F2">
                <wp:extent cx="302260" cy="302260"/>
                <wp:effectExtent l="0" t="0" r="0" b="0"/>
                <wp:docPr id="780372434"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99F50C" id="Rectangle 1"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A853E7">
        <w:rPr>
          <w:noProof/>
        </w:rPr>
        <w:t xml:space="preserve"> </w:t>
      </w:r>
      <w:r w:rsidRPr="00A853E7">
        <w:rPr>
          <w:noProof/>
        </w:rPr>
        <w:drawing>
          <wp:inline distT="0" distB="0" distL="0" distR="0" wp14:anchorId="5C749858" wp14:editId="4446A54F">
            <wp:extent cx="5727700" cy="5839460"/>
            <wp:effectExtent l="0" t="0" r="6350" b="8890"/>
            <wp:docPr id="75258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8646" name=""/>
                    <pic:cNvPicPr/>
                  </pic:nvPicPr>
                  <pic:blipFill>
                    <a:blip r:embed="rId38"/>
                    <a:stretch>
                      <a:fillRect/>
                    </a:stretch>
                  </pic:blipFill>
                  <pic:spPr>
                    <a:xfrm>
                      <a:off x="0" y="0"/>
                      <a:ext cx="5727700" cy="5839460"/>
                    </a:xfrm>
                    <a:prstGeom prst="rect">
                      <a:avLst/>
                    </a:prstGeom>
                  </pic:spPr>
                </pic:pic>
              </a:graphicData>
            </a:graphic>
          </wp:inline>
        </w:drawing>
      </w:r>
    </w:p>
    <w:p w14:paraId="798E9FD6" w14:textId="706C43F4" w:rsidR="00F200A4" w:rsidRDefault="00636289" w:rsidP="00F200A4">
      <w:r w:rsidRPr="00F200A4">
        <w:rPr>
          <w:b/>
          <w:bCs/>
        </w:rPr>
        <w:t>Figure S4</w:t>
      </w:r>
      <w:r w:rsidRPr="00636289">
        <w:t xml:space="preserve">. Heatmap of nitrogen-related genes in </w:t>
      </w:r>
      <w:r w:rsidR="009941F8" w:rsidRPr="009941F8">
        <w:rPr>
          <w:i/>
          <w:iCs/>
        </w:rPr>
        <w:t xml:space="preserve">H. </w:t>
      </w:r>
      <w:proofErr w:type="spellStart"/>
      <w:r w:rsidR="009941F8" w:rsidRPr="009941F8">
        <w:rPr>
          <w:i/>
          <w:iCs/>
        </w:rPr>
        <w:t>moseleyanum</w:t>
      </w:r>
      <w:proofErr w:type="spellEnd"/>
      <w:r w:rsidRPr="00636289">
        <w:t xml:space="preserve"> showing log</w:t>
      </w:r>
      <w:r w:rsidRPr="00636289">
        <w:rPr>
          <w:rFonts w:ascii="Cambria Math" w:hAnsi="Cambria Math" w:cs="Cambria Math"/>
        </w:rPr>
        <w:t>₂</w:t>
      </w:r>
      <w:r w:rsidRPr="00636289">
        <w:t>-transformed normali</w:t>
      </w:r>
      <w:r w:rsidR="00F200A4">
        <w:t>s</w:t>
      </w:r>
      <w:r w:rsidRPr="00636289">
        <w:t>ed expression values from DESeq2 (variance-stabili</w:t>
      </w:r>
      <w:r w:rsidR="00F200A4">
        <w:t>s</w:t>
      </w:r>
      <w:r w:rsidRPr="00636289">
        <w:t>ed counts). Samples include control cavity and fertilised cavity across warty, smooth, and tuber tissues, with three biological replicates each. Genes are hierarchically clustered based on expression similarity. Gene functional annotations are attributed to Helixer arbitrary gene ids on the left side.</w:t>
      </w:r>
    </w:p>
    <w:p w14:paraId="035D0561" w14:textId="77777777" w:rsidR="004669C2" w:rsidRDefault="004669C2" w:rsidP="00F200A4"/>
    <w:p w14:paraId="0BC5CA9C" w14:textId="77777777" w:rsidR="004669C2" w:rsidRDefault="004669C2" w:rsidP="00F200A4"/>
    <w:p w14:paraId="4FD7DBD8" w14:textId="77777777" w:rsidR="004669C2" w:rsidRDefault="004669C2" w:rsidP="00F200A4"/>
    <w:p w14:paraId="07578665" w14:textId="20A2E082" w:rsidR="00F200A4" w:rsidRDefault="00940BE3" w:rsidP="00F200A4">
      <w:r w:rsidRPr="00287392">
        <w:rPr>
          <w:noProof/>
        </w:rPr>
        <w:lastRenderedPageBreak/>
        <w:drawing>
          <wp:anchor distT="0" distB="0" distL="114300" distR="114300" simplePos="0" relativeHeight="251677702" behindDoc="0" locked="0" layoutInCell="1" allowOverlap="1" wp14:anchorId="48E998AA" wp14:editId="33816390">
            <wp:simplePos x="0" y="0"/>
            <wp:positionH relativeFrom="column">
              <wp:posOffset>-500407</wp:posOffset>
            </wp:positionH>
            <wp:positionV relativeFrom="paragraph">
              <wp:posOffset>-102484</wp:posOffset>
            </wp:positionV>
            <wp:extent cx="6910070" cy="3879215"/>
            <wp:effectExtent l="0" t="0" r="5080" b="6985"/>
            <wp:wrapNone/>
            <wp:docPr id="7967296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910070" cy="3879215"/>
                    </a:xfrm>
                    <a:prstGeom prst="rect">
                      <a:avLst/>
                    </a:prstGeom>
                    <a:noFill/>
                    <a:ln>
                      <a:noFill/>
                    </a:ln>
                  </pic:spPr>
                </pic:pic>
              </a:graphicData>
            </a:graphic>
          </wp:anchor>
        </w:drawing>
      </w:r>
    </w:p>
    <w:p w14:paraId="6F72501F" w14:textId="1209E500" w:rsidR="00F200A4" w:rsidRDefault="00F200A4" w:rsidP="00F200A4"/>
    <w:p w14:paraId="229D4196" w14:textId="77777777" w:rsidR="00F200A4" w:rsidRDefault="00F200A4" w:rsidP="00F200A4"/>
    <w:p w14:paraId="77A320AA" w14:textId="77777777" w:rsidR="00F200A4" w:rsidRDefault="00F200A4" w:rsidP="00F200A4"/>
    <w:p w14:paraId="6ACA7037" w14:textId="77777777" w:rsidR="00F200A4" w:rsidRDefault="00F200A4" w:rsidP="00F200A4"/>
    <w:p w14:paraId="72D89E7A" w14:textId="77777777" w:rsidR="00F200A4" w:rsidRDefault="00F200A4" w:rsidP="00F200A4"/>
    <w:p w14:paraId="1258B9EA" w14:textId="77777777" w:rsidR="00F200A4" w:rsidRDefault="00F200A4" w:rsidP="00F200A4"/>
    <w:p w14:paraId="05A12FC0" w14:textId="77777777" w:rsidR="00F200A4" w:rsidRDefault="00F200A4" w:rsidP="00F200A4"/>
    <w:p w14:paraId="200F3FB5" w14:textId="77777777" w:rsidR="00F200A4" w:rsidRDefault="00F200A4" w:rsidP="00F200A4"/>
    <w:p w14:paraId="518B7965" w14:textId="77777777" w:rsidR="00F200A4" w:rsidRDefault="00F200A4" w:rsidP="00F200A4"/>
    <w:p w14:paraId="6500183E" w14:textId="77777777" w:rsidR="00F200A4" w:rsidRDefault="00F200A4" w:rsidP="00F200A4"/>
    <w:p w14:paraId="0AB34A21" w14:textId="38B5175C" w:rsidR="00B77F18" w:rsidRDefault="00CB26D1" w:rsidP="00F200A4">
      <w:pPr>
        <w:rPr>
          <w:b/>
          <w:bCs/>
        </w:rPr>
      </w:pPr>
      <w:r w:rsidRPr="00F200A4">
        <w:rPr>
          <w:b/>
          <w:bCs/>
        </w:rPr>
        <w:t>Figure S5</w:t>
      </w:r>
      <w:r w:rsidRPr="00CB26D1">
        <w:t xml:space="preserve">. Bar plots with error bars for High affinity nitrate transporter accessory, Ig-like domain in </w:t>
      </w:r>
      <w:r w:rsidRPr="00F200A4">
        <w:rPr>
          <w:i/>
          <w:iCs/>
        </w:rPr>
        <w:t xml:space="preserve">H. </w:t>
      </w:r>
      <w:proofErr w:type="spellStart"/>
      <w:r w:rsidRPr="00F200A4">
        <w:rPr>
          <w:i/>
          <w:iCs/>
        </w:rPr>
        <w:t>moseleyanum</w:t>
      </w:r>
      <w:proofErr w:type="spellEnd"/>
      <w:r w:rsidRPr="00CB26D1">
        <w:t xml:space="preserve"> in control cavity vs fertiliser cavity.</w:t>
      </w:r>
    </w:p>
    <w:p w14:paraId="07B7C590" w14:textId="77777777" w:rsidR="00B77F18" w:rsidRDefault="00B77F18" w:rsidP="00F200A4"/>
    <w:p w14:paraId="45B53A1B" w14:textId="77777777" w:rsidR="00B77F18" w:rsidRDefault="00B77F18" w:rsidP="00F200A4"/>
    <w:p w14:paraId="1AAAF5E8" w14:textId="77777777" w:rsidR="00F200A4" w:rsidRDefault="00F200A4" w:rsidP="00F200A4"/>
    <w:p w14:paraId="7C9754D4" w14:textId="77777777" w:rsidR="00F200A4" w:rsidRDefault="00F200A4" w:rsidP="00F200A4"/>
    <w:p w14:paraId="5954651B" w14:textId="77777777" w:rsidR="00F200A4" w:rsidRDefault="00F200A4" w:rsidP="00F200A4"/>
    <w:p w14:paraId="3E94160E" w14:textId="77777777" w:rsidR="00F200A4" w:rsidRDefault="00F200A4" w:rsidP="00F200A4"/>
    <w:p w14:paraId="08442351" w14:textId="77777777" w:rsidR="00F200A4" w:rsidRDefault="00F200A4" w:rsidP="00F200A4"/>
    <w:p w14:paraId="0B020C16" w14:textId="77777777" w:rsidR="00F200A4" w:rsidRDefault="00F200A4" w:rsidP="00F200A4"/>
    <w:p w14:paraId="6A9C03A3" w14:textId="77777777" w:rsidR="00F200A4" w:rsidRDefault="00F200A4" w:rsidP="00F200A4"/>
    <w:p w14:paraId="207CE963" w14:textId="77777777" w:rsidR="00F200A4" w:rsidRDefault="00F200A4" w:rsidP="00F200A4"/>
    <w:p w14:paraId="2088BD4E" w14:textId="77777777" w:rsidR="00F200A4" w:rsidRDefault="00F200A4" w:rsidP="00F200A4"/>
    <w:p w14:paraId="15544594" w14:textId="77777777" w:rsidR="00F200A4" w:rsidRDefault="00F200A4" w:rsidP="00F200A4"/>
    <w:p w14:paraId="190E9A7C" w14:textId="0FB49B3A" w:rsidR="00F200A4" w:rsidRDefault="00940BE3" w:rsidP="00F200A4">
      <w:r>
        <w:rPr>
          <w:noProof/>
        </w:rPr>
        <w:lastRenderedPageBreak/>
        <w:drawing>
          <wp:anchor distT="0" distB="0" distL="114300" distR="114300" simplePos="0" relativeHeight="251678726" behindDoc="0" locked="0" layoutInCell="1" allowOverlap="1" wp14:anchorId="1A585955" wp14:editId="1EB3AD7B">
            <wp:simplePos x="0" y="0"/>
            <wp:positionH relativeFrom="margin">
              <wp:align>left</wp:align>
            </wp:positionH>
            <wp:positionV relativeFrom="paragraph">
              <wp:posOffset>-136359</wp:posOffset>
            </wp:positionV>
            <wp:extent cx="5934075" cy="7572375"/>
            <wp:effectExtent l="0" t="0" r="9525" b="9525"/>
            <wp:wrapNone/>
            <wp:docPr id="1835142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42891" name=""/>
                    <pic:cNvPicPr/>
                  </pic:nvPicPr>
                  <pic:blipFill>
                    <a:blip r:embed="rId40">
                      <a:extLst>
                        <a:ext uri="{28A0092B-C50C-407E-A947-70E740481C1C}">
                          <a14:useLocalDpi xmlns:a14="http://schemas.microsoft.com/office/drawing/2010/main" val="0"/>
                        </a:ext>
                      </a:extLst>
                    </a:blip>
                    <a:stretch>
                      <a:fillRect/>
                    </a:stretch>
                  </pic:blipFill>
                  <pic:spPr>
                    <a:xfrm>
                      <a:off x="0" y="0"/>
                      <a:ext cx="5934075" cy="7572375"/>
                    </a:xfrm>
                    <a:prstGeom prst="rect">
                      <a:avLst/>
                    </a:prstGeom>
                  </pic:spPr>
                </pic:pic>
              </a:graphicData>
            </a:graphic>
          </wp:anchor>
        </w:drawing>
      </w:r>
    </w:p>
    <w:p w14:paraId="783F4B58" w14:textId="0C3606EE" w:rsidR="00F200A4" w:rsidRDefault="00F200A4" w:rsidP="00F200A4"/>
    <w:p w14:paraId="6D8316DA" w14:textId="77777777" w:rsidR="00F200A4" w:rsidRDefault="00F200A4" w:rsidP="00F200A4"/>
    <w:p w14:paraId="6E7EE864" w14:textId="77777777" w:rsidR="00F200A4" w:rsidRDefault="00F200A4" w:rsidP="00F200A4"/>
    <w:p w14:paraId="21F13D29" w14:textId="77777777" w:rsidR="00F200A4" w:rsidRDefault="00F200A4" w:rsidP="00F200A4"/>
    <w:p w14:paraId="014D017D" w14:textId="77777777" w:rsidR="00F200A4" w:rsidRDefault="00F200A4" w:rsidP="00F200A4"/>
    <w:p w14:paraId="3DBBF9AA" w14:textId="77777777" w:rsidR="00F200A4" w:rsidRDefault="00F200A4" w:rsidP="00F200A4"/>
    <w:p w14:paraId="2F13BD1F" w14:textId="77777777" w:rsidR="00F200A4" w:rsidRDefault="00F200A4" w:rsidP="00F200A4"/>
    <w:p w14:paraId="138253D0" w14:textId="77777777" w:rsidR="00F200A4" w:rsidRDefault="00F200A4" w:rsidP="00F200A4"/>
    <w:p w14:paraId="73B533AA" w14:textId="77777777" w:rsidR="00F200A4" w:rsidRDefault="00F200A4" w:rsidP="00F200A4"/>
    <w:p w14:paraId="57255C1E" w14:textId="77777777" w:rsidR="00F200A4" w:rsidRDefault="00F200A4" w:rsidP="00F200A4"/>
    <w:p w14:paraId="2BF4D3BC" w14:textId="77777777" w:rsidR="00F200A4" w:rsidRDefault="00F200A4" w:rsidP="00F200A4"/>
    <w:p w14:paraId="3D7F64AD" w14:textId="77777777" w:rsidR="00F200A4" w:rsidRDefault="00F200A4" w:rsidP="00F200A4"/>
    <w:p w14:paraId="297DDA80" w14:textId="77777777" w:rsidR="00F200A4" w:rsidRDefault="00F200A4" w:rsidP="00F200A4"/>
    <w:p w14:paraId="1DC7A781" w14:textId="77777777" w:rsidR="00F200A4" w:rsidRDefault="00F200A4" w:rsidP="00F200A4"/>
    <w:p w14:paraId="36BDC9E3" w14:textId="77777777" w:rsidR="00F200A4" w:rsidRDefault="00F200A4" w:rsidP="00F200A4"/>
    <w:p w14:paraId="7E7844A5" w14:textId="77777777" w:rsidR="00F200A4" w:rsidRDefault="00F200A4" w:rsidP="00F200A4"/>
    <w:p w14:paraId="620A69F3" w14:textId="77777777" w:rsidR="00F200A4" w:rsidRDefault="00F200A4" w:rsidP="00F200A4"/>
    <w:p w14:paraId="3D020865" w14:textId="77777777" w:rsidR="00B77F18" w:rsidRDefault="00B77F18" w:rsidP="00F200A4"/>
    <w:p w14:paraId="78D556DA" w14:textId="77777777" w:rsidR="00B77F18" w:rsidRDefault="00B77F18" w:rsidP="00F200A4"/>
    <w:p w14:paraId="6E27BF86" w14:textId="4CC47810" w:rsidR="00B77F18" w:rsidRDefault="00B77F18" w:rsidP="00B77F18">
      <w:pPr>
        <w:pStyle w:val="Heading2"/>
        <w:keepNext w:val="0"/>
        <w:keepLines w:val="0"/>
        <w:widowControl w:val="0"/>
        <w:spacing w:line="344" w:lineRule="auto"/>
        <w:ind w:left="1441" w:right="350" w:firstLine="3"/>
        <w:rPr>
          <w:b w:val="0"/>
          <w:bCs w:val="0"/>
          <w:sz w:val="24"/>
          <w:szCs w:val="24"/>
        </w:rPr>
      </w:pPr>
    </w:p>
    <w:p w14:paraId="44656809" w14:textId="4373F118" w:rsidR="009A1DC7" w:rsidRDefault="009A1DC7" w:rsidP="009A1DC7">
      <w:r w:rsidRPr="009A1DC7">
        <w:rPr>
          <w:b/>
          <w:bCs/>
        </w:rPr>
        <w:t>Figure S6</w:t>
      </w:r>
      <w:r w:rsidRPr="009A1DC7">
        <w:t xml:space="preserve">. Principal Component Analysis (PCA) of </w:t>
      </w:r>
      <w:proofErr w:type="spellStart"/>
      <w:r w:rsidRPr="00B62F60">
        <w:rPr>
          <w:i/>
          <w:iCs/>
        </w:rPr>
        <w:t>Myrmecodia</w:t>
      </w:r>
      <w:proofErr w:type="spellEnd"/>
      <w:r w:rsidRPr="00B62F60">
        <w:rPr>
          <w:i/>
          <w:iCs/>
        </w:rPr>
        <w:t xml:space="preserve"> </w:t>
      </w:r>
      <w:proofErr w:type="spellStart"/>
      <w:r w:rsidRPr="00B62F60">
        <w:rPr>
          <w:i/>
          <w:iCs/>
        </w:rPr>
        <w:t>beccarii</w:t>
      </w:r>
      <w:proofErr w:type="spellEnd"/>
      <w:r w:rsidRPr="009A1DC7">
        <w:t xml:space="preserve"> tissue samples. The plot displays the clustering of samples from four tissue types: tuber, leaves, warty, and smooth. Each tissue type includes samples from plants with ant coloni</w:t>
      </w:r>
      <w:r w:rsidR="00F200A4">
        <w:t>s</w:t>
      </w:r>
      <w:r w:rsidRPr="009A1DC7">
        <w:t>ation (ants), without ant coloni</w:t>
      </w:r>
      <w:r w:rsidR="00F200A4">
        <w:t>s</w:t>
      </w:r>
      <w:r w:rsidRPr="009A1DC7">
        <w:t>ation (no ants), and those treated with fertiliser.</w:t>
      </w:r>
    </w:p>
    <w:p w14:paraId="661F0578" w14:textId="77777777" w:rsidR="009A1DC7" w:rsidRDefault="009A1DC7" w:rsidP="009A1DC7"/>
    <w:p w14:paraId="4795FE4C" w14:textId="061867F1" w:rsidR="00DA6D38" w:rsidRDefault="00DA6D38" w:rsidP="009A1DC7">
      <w:r>
        <w:rPr>
          <w:noProof/>
        </w:rPr>
        <w:drawing>
          <wp:anchor distT="0" distB="0" distL="114300" distR="114300" simplePos="0" relativeHeight="251679750" behindDoc="0" locked="0" layoutInCell="1" allowOverlap="1" wp14:anchorId="3BD15135" wp14:editId="65175577">
            <wp:simplePos x="0" y="0"/>
            <wp:positionH relativeFrom="column">
              <wp:posOffset>206652</wp:posOffset>
            </wp:positionH>
            <wp:positionV relativeFrom="paragraph">
              <wp:posOffset>-563770</wp:posOffset>
            </wp:positionV>
            <wp:extent cx="5667375" cy="7534275"/>
            <wp:effectExtent l="0" t="0" r="9525" b="9525"/>
            <wp:wrapNone/>
            <wp:docPr id="1615272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72139" name=""/>
                    <pic:cNvPicPr/>
                  </pic:nvPicPr>
                  <pic:blipFill>
                    <a:blip r:embed="rId41">
                      <a:extLst>
                        <a:ext uri="{28A0092B-C50C-407E-A947-70E740481C1C}">
                          <a14:useLocalDpi xmlns:a14="http://schemas.microsoft.com/office/drawing/2010/main" val="0"/>
                        </a:ext>
                      </a:extLst>
                    </a:blip>
                    <a:stretch>
                      <a:fillRect/>
                    </a:stretch>
                  </pic:blipFill>
                  <pic:spPr>
                    <a:xfrm>
                      <a:off x="0" y="0"/>
                      <a:ext cx="5667375" cy="7534275"/>
                    </a:xfrm>
                    <a:prstGeom prst="rect">
                      <a:avLst/>
                    </a:prstGeom>
                  </pic:spPr>
                </pic:pic>
              </a:graphicData>
            </a:graphic>
          </wp:anchor>
        </w:drawing>
      </w:r>
    </w:p>
    <w:p w14:paraId="7E0E326A" w14:textId="54B6FE23" w:rsidR="00DA6D38" w:rsidRDefault="00DA6D38" w:rsidP="009A1DC7"/>
    <w:p w14:paraId="7DE5CF05" w14:textId="0034E2FB" w:rsidR="00DA6D38" w:rsidRDefault="00DA6D38" w:rsidP="009A1DC7"/>
    <w:p w14:paraId="6C3F618A" w14:textId="77777777" w:rsidR="00DA6D38" w:rsidRDefault="00DA6D38" w:rsidP="009A1DC7"/>
    <w:p w14:paraId="1CC69CC9" w14:textId="4410396C" w:rsidR="00DA6D38" w:rsidRDefault="00DA6D38" w:rsidP="009A1DC7"/>
    <w:p w14:paraId="74B12061" w14:textId="77777777" w:rsidR="00DA6D38" w:rsidRDefault="00DA6D38" w:rsidP="009A1DC7"/>
    <w:p w14:paraId="5DFCC851" w14:textId="1D69FCEA" w:rsidR="009A1DC7" w:rsidRDefault="009A1DC7" w:rsidP="009A1DC7"/>
    <w:p w14:paraId="4C4CEE34" w14:textId="77777777" w:rsidR="009A1DC7" w:rsidRDefault="009A1DC7" w:rsidP="009A1DC7"/>
    <w:p w14:paraId="46571E0A" w14:textId="77777777" w:rsidR="009A1DC7" w:rsidRDefault="009A1DC7" w:rsidP="009A1DC7"/>
    <w:p w14:paraId="5EF2C202" w14:textId="77777777" w:rsidR="00DA6D38" w:rsidRDefault="00DA6D38" w:rsidP="009A1DC7"/>
    <w:p w14:paraId="5CEAAFB1" w14:textId="77777777" w:rsidR="00DA6D38" w:rsidRDefault="00DA6D38" w:rsidP="009A1DC7"/>
    <w:p w14:paraId="1A303114" w14:textId="77777777" w:rsidR="00DA6D38" w:rsidRDefault="00DA6D38" w:rsidP="009A1DC7"/>
    <w:p w14:paraId="7DDE5936" w14:textId="77777777" w:rsidR="009A1DC7" w:rsidRDefault="009A1DC7" w:rsidP="009A1DC7"/>
    <w:p w14:paraId="7651BCFB" w14:textId="77777777" w:rsidR="009A1DC7" w:rsidRDefault="009A1DC7" w:rsidP="009A1DC7"/>
    <w:p w14:paraId="7FC2C3C8" w14:textId="77777777" w:rsidR="009A1DC7" w:rsidRDefault="009A1DC7" w:rsidP="009A1DC7"/>
    <w:p w14:paraId="72BB0E63" w14:textId="77777777" w:rsidR="009A1DC7" w:rsidRDefault="009A1DC7" w:rsidP="009A1DC7"/>
    <w:p w14:paraId="3D52AB9E" w14:textId="77777777" w:rsidR="008E2713" w:rsidRDefault="008E2713" w:rsidP="009A1DC7">
      <w:pPr>
        <w:rPr>
          <w:noProof/>
        </w:rPr>
      </w:pPr>
    </w:p>
    <w:p w14:paraId="32E0A522" w14:textId="4790774A" w:rsidR="009A1DC7" w:rsidRDefault="009A1DC7" w:rsidP="009A1DC7"/>
    <w:p w14:paraId="7F0E5F1F" w14:textId="77777777" w:rsidR="009A1DC7" w:rsidRDefault="009A1DC7" w:rsidP="009A1DC7"/>
    <w:p w14:paraId="4B469372" w14:textId="77777777" w:rsidR="009A1DC7" w:rsidRDefault="009A1DC7" w:rsidP="009A1DC7"/>
    <w:p w14:paraId="4B0A0EA2" w14:textId="4B231A3D" w:rsidR="009A1DC7" w:rsidRDefault="008E2713" w:rsidP="009A1DC7">
      <w:r w:rsidRPr="008E2713">
        <w:rPr>
          <w:b/>
          <w:bCs/>
        </w:rPr>
        <w:t>Figure S7</w:t>
      </w:r>
      <w:r w:rsidRPr="008E2713">
        <w:t xml:space="preserve">. Principal Component Analysis (PCA) of </w:t>
      </w:r>
      <w:proofErr w:type="spellStart"/>
      <w:r w:rsidRPr="00DA6D38">
        <w:rPr>
          <w:i/>
          <w:iCs/>
        </w:rPr>
        <w:t>Hydnophytum</w:t>
      </w:r>
      <w:proofErr w:type="spellEnd"/>
      <w:r w:rsidRPr="00DA6D38">
        <w:rPr>
          <w:i/>
          <w:iCs/>
        </w:rPr>
        <w:t xml:space="preserve"> </w:t>
      </w:r>
      <w:proofErr w:type="spellStart"/>
      <w:r w:rsidRPr="00DA6D38">
        <w:rPr>
          <w:i/>
          <w:iCs/>
        </w:rPr>
        <w:t>moseleyanum</w:t>
      </w:r>
      <w:proofErr w:type="spellEnd"/>
      <w:r w:rsidRPr="008E2713">
        <w:t xml:space="preserve"> tissue samples. The plot displays the clustering of samples from four tissue types: tuber, leaves, warty, and smooth. Each tissue type includes samples from plants with ant coloni</w:t>
      </w:r>
      <w:r w:rsidR="00DA6D38">
        <w:t>s</w:t>
      </w:r>
      <w:r w:rsidRPr="008E2713">
        <w:t>ation (ants), without ant coloni</w:t>
      </w:r>
      <w:r w:rsidR="00DA6D38">
        <w:t>s</w:t>
      </w:r>
      <w:r w:rsidRPr="008E2713">
        <w:t>ation (no ants), and those treated with fertiliser.</w:t>
      </w:r>
    </w:p>
    <w:p w14:paraId="6FA424C5" w14:textId="77777777" w:rsidR="00227162" w:rsidRDefault="00227162" w:rsidP="009A1DC7"/>
    <w:p w14:paraId="774B604D" w14:textId="77777777" w:rsidR="00227162" w:rsidRDefault="00227162" w:rsidP="009A1DC7"/>
    <w:p w14:paraId="7DB39D8F" w14:textId="77777777" w:rsidR="00227162" w:rsidRDefault="00227162" w:rsidP="009A1DC7"/>
    <w:p w14:paraId="2B3BD93B" w14:textId="249B4A51" w:rsidR="00227162" w:rsidRDefault="00227162" w:rsidP="00227162">
      <w:r>
        <w:rPr>
          <w:noProof/>
        </w:rPr>
        <w:drawing>
          <wp:inline distT="0" distB="0" distL="0" distR="0" wp14:anchorId="747EBC32" wp14:editId="69A22197">
            <wp:extent cx="6196011" cy="3133725"/>
            <wp:effectExtent l="0" t="0" r="0" b="0"/>
            <wp:docPr id="1194398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398409" name=""/>
                    <pic:cNvPicPr/>
                  </pic:nvPicPr>
                  <pic:blipFill>
                    <a:blip r:embed="rId42"/>
                    <a:stretch>
                      <a:fillRect/>
                    </a:stretch>
                  </pic:blipFill>
                  <pic:spPr>
                    <a:xfrm>
                      <a:off x="0" y="0"/>
                      <a:ext cx="6202829" cy="3137173"/>
                    </a:xfrm>
                    <a:prstGeom prst="rect">
                      <a:avLst/>
                    </a:prstGeom>
                  </pic:spPr>
                </pic:pic>
              </a:graphicData>
            </a:graphic>
          </wp:inline>
        </w:drawing>
      </w:r>
    </w:p>
    <w:p w14:paraId="380C83B9" w14:textId="599EAE4F" w:rsidR="00541636" w:rsidRPr="00541636" w:rsidRDefault="00541636" w:rsidP="00541636">
      <w:r w:rsidRPr="00541636">
        <w:rPr>
          <w:b/>
          <w:bCs/>
        </w:rPr>
        <w:t xml:space="preserve">Figure </w:t>
      </w:r>
      <w:r>
        <w:rPr>
          <w:b/>
          <w:bCs/>
        </w:rPr>
        <w:t>S8</w:t>
      </w:r>
      <w:r w:rsidRPr="00541636">
        <w:rPr>
          <w:b/>
          <w:bCs/>
        </w:rPr>
        <w:t xml:space="preserve">. </w:t>
      </w:r>
      <w:r w:rsidRPr="00541636">
        <w:t xml:space="preserve">Overlap of differentially expressed nitrogen-related genes across tissue types in </w:t>
      </w:r>
      <w:proofErr w:type="spellStart"/>
      <w:r w:rsidRPr="00541636">
        <w:rPr>
          <w:i/>
          <w:iCs/>
        </w:rPr>
        <w:t>Hydnophytum</w:t>
      </w:r>
      <w:proofErr w:type="spellEnd"/>
      <w:r w:rsidRPr="00541636">
        <w:rPr>
          <w:i/>
          <w:iCs/>
        </w:rPr>
        <w:t xml:space="preserve"> </w:t>
      </w:r>
      <w:proofErr w:type="spellStart"/>
      <w:r w:rsidRPr="00541636">
        <w:rPr>
          <w:i/>
          <w:iCs/>
        </w:rPr>
        <w:t>moseleyanum</w:t>
      </w:r>
      <w:proofErr w:type="spellEnd"/>
      <w:r w:rsidRPr="00541636">
        <w:t xml:space="preserve"> and </w:t>
      </w:r>
      <w:proofErr w:type="spellStart"/>
      <w:r w:rsidRPr="00541636">
        <w:rPr>
          <w:i/>
          <w:iCs/>
        </w:rPr>
        <w:t>Myrmecodia</w:t>
      </w:r>
      <w:proofErr w:type="spellEnd"/>
      <w:r w:rsidRPr="00541636">
        <w:rPr>
          <w:i/>
          <w:iCs/>
        </w:rPr>
        <w:t xml:space="preserve"> </w:t>
      </w:r>
      <w:proofErr w:type="spellStart"/>
      <w:r w:rsidRPr="00541636">
        <w:rPr>
          <w:i/>
          <w:iCs/>
        </w:rPr>
        <w:t>beccarii</w:t>
      </w:r>
      <w:proofErr w:type="spellEnd"/>
      <w:r w:rsidRPr="00541636">
        <w:t xml:space="preserve">. Venn diagrams display the number of unique and shared nitrogen-related genes significantly regulated in response to ant presence (ants vs. no-ants comparison, adjusted </w:t>
      </w:r>
      <w:r w:rsidRPr="00541636">
        <w:rPr>
          <w:i/>
          <w:iCs/>
        </w:rPr>
        <w:t>p</w:t>
      </w:r>
      <w:r w:rsidRPr="00541636">
        <w:t xml:space="preserve">-value &lt; 0.05). Gene counts are broken down by tissue or morph structures: Warty (pink), Smooth (green), and Tuber (blue) for </w:t>
      </w:r>
      <w:r w:rsidRPr="00541636">
        <w:rPr>
          <w:b/>
          <w:bCs/>
        </w:rPr>
        <w:t>(Left)</w:t>
      </w:r>
      <w:r w:rsidRPr="00541636">
        <w:t xml:space="preserve"> </w:t>
      </w:r>
      <w:r w:rsidRPr="00541636">
        <w:rPr>
          <w:i/>
          <w:iCs/>
        </w:rPr>
        <w:t xml:space="preserve">H. </w:t>
      </w:r>
      <w:proofErr w:type="spellStart"/>
      <w:r w:rsidRPr="00541636">
        <w:rPr>
          <w:i/>
          <w:iCs/>
        </w:rPr>
        <w:t>moseleyanum</w:t>
      </w:r>
      <w:proofErr w:type="spellEnd"/>
      <w:r w:rsidRPr="00541636">
        <w:t xml:space="preserve"> and </w:t>
      </w:r>
      <w:r w:rsidRPr="00541636">
        <w:rPr>
          <w:b/>
          <w:bCs/>
        </w:rPr>
        <w:t>(Right)</w:t>
      </w:r>
      <w:r w:rsidRPr="00541636">
        <w:t xml:space="preserve"> </w:t>
      </w:r>
      <w:r w:rsidRPr="00541636">
        <w:rPr>
          <w:i/>
          <w:iCs/>
        </w:rPr>
        <w:t xml:space="preserve">M. </w:t>
      </w:r>
      <w:proofErr w:type="spellStart"/>
      <w:r w:rsidRPr="00541636">
        <w:rPr>
          <w:i/>
          <w:iCs/>
        </w:rPr>
        <w:t>beccarii</w:t>
      </w:r>
      <w:proofErr w:type="spellEnd"/>
      <w:r w:rsidRPr="00541636">
        <w:t>. The value (n) denotes the total number of significant genes identified within each respective category, while values within intersections indicate overlapping genes between categories.</w:t>
      </w:r>
    </w:p>
    <w:p w14:paraId="53261E5B" w14:textId="74A1A94D" w:rsidR="00541636" w:rsidRPr="00541636" w:rsidRDefault="00541636" w:rsidP="00541636"/>
    <w:p w14:paraId="05F30178" w14:textId="77777777" w:rsidR="00227162" w:rsidRPr="00227162" w:rsidRDefault="00227162" w:rsidP="00227162"/>
    <w:p w14:paraId="21427473" w14:textId="77777777" w:rsidR="00227162" w:rsidRDefault="00227162" w:rsidP="009A1DC7"/>
    <w:p w14:paraId="448F2C4A" w14:textId="77777777" w:rsidR="00227162" w:rsidRDefault="00227162" w:rsidP="009A1DC7"/>
    <w:p w14:paraId="5471DB3A" w14:textId="77777777" w:rsidR="00227162" w:rsidRDefault="00227162" w:rsidP="009A1DC7"/>
    <w:p w14:paraId="213B785E" w14:textId="77777777" w:rsidR="00227162" w:rsidRDefault="00227162" w:rsidP="009A1DC7"/>
    <w:p w14:paraId="5A583331" w14:textId="77777777" w:rsidR="00227162" w:rsidRDefault="00227162" w:rsidP="009A1DC7"/>
    <w:p w14:paraId="5F3C05F0" w14:textId="31B58D0E" w:rsidR="00017C13" w:rsidRDefault="00017C13" w:rsidP="00017C13">
      <w:pPr>
        <w:pStyle w:val="Heading1"/>
        <w:jc w:val="center"/>
      </w:pPr>
      <w:bookmarkStart w:id="136" w:name="_Toc218339278"/>
      <w:bookmarkStart w:id="137" w:name="_Toc235393028"/>
      <w:r>
        <w:t>Chapter 5. General Discussion</w:t>
      </w:r>
      <w:bookmarkEnd w:id="136"/>
      <w:bookmarkEnd w:id="137"/>
    </w:p>
    <w:p w14:paraId="693F3568" w14:textId="77777777" w:rsidR="003C7A33" w:rsidRPr="003C7A33" w:rsidRDefault="003C7A33" w:rsidP="003C7A33"/>
    <w:p w14:paraId="2A7B2E2B" w14:textId="77777777" w:rsidR="008E2713" w:rsidRDefault="008E2713" w:rsidP="00741103"/>
    <w:p w14:paraId="698E78F4" w14:textId="77777777" w:rsidR="008E2713" w:rsidRDefault="008E2713" w:rsidP="00741103"/>
    <w:p w14:paraId="103D654B" w14:textId="77777777" w:rsidR="00017C13" w:rsidRDefault="00017C13" w:rsidP="00741103"/>
    <w:p w14:paraId="7264E3AA" w14:textId="77777777" w:rsidR="00017C13" w:rsidRDefault="00017C13" w:rsidP="00741103"/>
    <w:p w14:paraId="576AA510" w14:textId="77777777" w:rsidR="00017C13" w:rsidRDefault="00017C13" w:rsidP="00741103"/>
    <w:p w14:paraId="2D3A20F8" w14:textId="77777777" w:rsidR="00017C13" w:rsidRDefault="00017C13" w:rsidP="00741103"/>
    <w:p w14:paraId="344A826C" w14:textId="77777777" w:rsidR="00017C13" w:rsidRDefault="00017C13" w:rsidP="00741103"/>
    <w:p w14:paraId="4EF98947" w14:textId="77777777" w:rsidR="00017C13" w:rsidRDefault="00017C13" w:rsidP="00741103"/>
    <w:p w14:paraId="621C34B8" w14:textId="77777777" w:rsidR="00017C13" w:rsidRDefault="00017C13" w:rsidP="00741103"/>
    <w:p w14:paraId="2415C552" w14:textId="77777777" w:rsidR="00017C13" w:rsidRDefault="00017C13" w:rsidP="00741103"/>
    <w:p w14:paraId="0C610B72" w14:textId="77777777" w:rsidR="00017C13" w:rsidRDefault="00017C13" w:rsidP="00741103"/>
    <w:p w14:paraId="747136F2" w14:textId="77777777" w:rsidR="00017C13" w:rsidRDefault="00017C13" w:rsidP="00741103"/>
    <w:p w14:paraId="136F7403" w14:textId="77777777" w:rsidR="00017C13" w:rsidRDefault="00017C13" w:rsidP="00741103"/>
    <w:p w14:paraId="7D6AE38A" w14:textId="77777777" w:rsidR="00017C13" w:rsidRDefault="00017C13" w:rsidP="00741103"/>
    <w:p w14:paraId="3268AB8D" w14:textId="77777777" w:rsidR="00017C13" w:rsidRDefault="00017C13" w:rsidP="00741103"/>
    <w:p w14:paraId="6CC3FB46" w14:textId="77777777" w:rsidR="00017C13" w:rsidRDefault="00017C13" w:rsidP="00741103"/>
    <w:p w14:paraId="46AA7FCB" w14:textId="77777777" w:rsidR="00017C13" w:rsidRDefault="00017C13" w:rsidP="00741103"/>
    <w:p w14:paraId="6DA407EA" w14:textId="77777777" w:rsidR="008E2713" w:rsidRDefault="008E2713" w:rsidP="00741103"/>
    <w:p w14:paraId="068F8F29" w14:textId="77777777" w:rsidR="008E2713" w:rsidRDefault="008E2713" w:rsidP="00741103"/>
    <w:p w14:paraId="1161EC48" w14:textId="77777777" w:rsidR="008E2713" w:rsidRDefault="008E2713" w:rsidP="00741103"/>
    <w:p w14:paraId="60F13C72" w14:textId="463AE5F7" w:rsidR="00741103" w:rsidRPr="00F962C0" w:rsidRDefault="00741103" w:rsidP="00825F46">
      <w:pPr>
        <w:pStyle w:val="Heading2"/>
      </w:pPr>
      <w:bookmarkStart w:id="138" w:name="_Toc235393029"/>
      <w:r>
        <w:lastRenderedPageBreak/>
        <w:t>5</w:t>
      </w:r>
      <w:r w:rsidR="00825F46">
        <w:t>.</w:t>
      </w:r>
      <w:r>
        <w:t xml:space="preserve">  General discussion</w:t>
      </w:r>
      <w:bookmarkEnd w:id="138"/>
      <w:r w:rsidR="005A5EA0">
        <w:t xml:space="preserve"> </w:t>
      </w:r>
    </w:p>
    <w:p w14:paraId="67CD0AB8" w14:textId="625F62A3" w:rsidR="00825F46" w:rsidRDefault="008E5528" w:rsidP="00825F46">
      <w:r w:rsidRPr="00D7344E">
        <w:t>Mutualism is a type of species interaction that involves the exchange of resources and/or services between species where every species benefits (Janzen, 1985; Bronstein, 2015; Hale and Valdovinos 2021). Mutualisms are found across the tree of life and occur in virtually every ecosystem, in fact virtually every species on Earth is involved in one or more mutualisms (Bronstein, 2001). Accordingly, mutualisms play key roles in ecosystem functioning, such as pollination, seed dispersal, defence against predators and nutrition (Bronstein, 2015). Ant</w:t>
      </w:r>
      <w:r w:rsidR="009F23E6">
        <w:t>-</w:t>
      </w:r>
      <w:r w:rsidRPr="00D7344E">
        <w:t xml:space="preserve">plant mutualisms have long been used as models to understand mutualism ecology and evolution (Bronstein et al., 2006). Ants and plants have coexisted for over 140 million years (Moreau et al., 2006). As a result, a wide range of interactions between ants and plants have evolved, including many mutualisms (Chomicki and Renner, 2017). </w:t>
      </w:r>
    </w:p>
    <w:p w14:paraId="0000026D" w14:textId="49D4200E" w:rsidR="00E420E3" w:rsidRPr="00D7344E" w:rsidRDefault="008E5528" w:rsidP="00825F46">
      <w:pPr>
        <w:rPr>
          <w:b/>
          <w:bCs/>
          <w:shd w:val="clear" w:color="auto" w:fill="606060"/>
        </w:rPr>
      </w:pPr>
      <w:r w:rsidRPr="00D7344E">
        <w:t xml:space="preserve">There are four main types of </w:t>
      </w:r>
      <w:r w:rsidR="009F23E6">
        <w:t>ant-plant</w:t>
      </w:r>
      <w:r w:rsidRPr="00D7344E">
        <w:t xml:space="preserve"> mutualisms: seed dispersal by ants (myrmecochory), extrafloral nectary (EFN)-based defence mutualisms, domatium-based ant-plant symbioses, and plant cultivation mutualisms.</w:t>
      </w:r>
      <w:r w:rsidRPr="00D7344E">
        <w:rPr>
          <w:shd w:val="clear" w:color="auto" w:fill="606060"/>
        </w:rPr>
        <w:t xml:space="preserve"> </w:t>
      </w:r>
    </w:p>
    <w:p w14:paraId="41811A13" w14:textId="77777777" w:rsidR="00825F46" w:rsidRDefault="008E5528" w:rsidP="00825F46">
      <w:bookmarkStart w:id="139" w:name="_heading=h.7s0p8vb4zpyp" w:colFirst="0" w:colLast="0"/>
      <w:bookmarkEnd w:id="139"/>
      <w:r>
        <w:t>Dependency in ant-plant mutualisms affects both partners’ surviv</w:t>
      </w:r>
      <w:r w:rsidRPr="004A14D8">
        <w:t>al and stability</w:t>
      </w:r>
      <w:r w:rsidRPr="00825F46">
        <w:t xml:space="preserve">. </w:t>
      </w:r>
      <w:r w:rsidR="004A14D8" w:rsidRPr="00825F46">
        <w:rPr>
          <w:rFonts w:eastAsia="Calibri"/>
        </w:rPr>
        <w:t>In the current study, plants maintained without ants throughout the experiment showed no visible signs of reduced fitness over the experimental period, which is consistent with the short timescale of the experiment. However, this does not contradict the long-term fitness consequences of ant loss reported in field studies, as the greenhouse conditions removed the competitive and herbivory pressures that make ant partnerships essential for survival in natural tropical environments</w:t>
      </w:r>
      <w:r w:rsidR="00BD1B5E" w:rsidRPr="00825F46">
        <w:rPr>
          <w:rFonts w:eastAsia="Calibri"/>
        </w:rPr>
        <w:t>.</w:t>
      </w:r>
      <w:r w:rsidR="00BD1B5E" w:rsidRPr="00825F46">
        <w:t xml:space="preserve"> </w:t>
      </w:r>
    </w:p>
    <w:p w14:paraId="0000026E" w14:textId="4410545C" w:rsidR="00E420E3" w:rsidRPr="00BD1B5E" w:rsidRDefault="008E5528" w:rsidP="00825F46">
      <w:pPr>
        <w:rPr>
          <w:b/>
          <w:bCs/>
        </w:rPr>
      </w:pPr>
      <w:r>
        <w:t>Likewise, ants that rely heavily on plants for food or nesting sites may struggle if plant resources decline. Dependence describes how strongly a partner’s fitness declines in the other’s absence, ranging from facultative associations to obligate relationships. Obligate mutualists require a partner to complete their life cycle, whereas facultative mutualists can persist without the partner, albeit sometimes with reduced performance</w:t>
      </w:r>
      <w:r w:rsidRPr="00825F46">
        <w:t xml:space="preserve">. In </w:t>
      </w:r>
      <w:proofErr w:type="spellStart"/>
      <w:r w:rsidRPr="00825F46">
        <w:t>Hydnophytinae</w:t>
      </w:r>
      <w:proofErr w:type="spellEnd"/>
      <w:r w:rsidRPr="00825F46">
        <w:t xml:space="preserve">, this obligate status is nutritional rather than strictly reproductive: </w:t>
      </w:r>
      <w:proofErr w:type="spellStart"/>
      <w:r w:rsidRPr="00825F46">
        <w:rPr>
          <w:i/>
          <w:iCs/>
        </w:rPr>
        <w:t>Myrmecodia</w:t>
      </w:r>
      <w:proofErr w:type="spellEnd"/>
      <w:r w:rsidRPr="00825F46">
        <w:rPr>
          <w:i/>
          <w:iCs/>
        </w:rPr>
        <w:t xml:space="preserve"> </w:t>
      </w:r>
      <w:proofErr w:type="spellStart"/>
      <w:r w:rsidRPr="00825F46">
        <w:rPr>
          <w:i/>
          <w:iCs/>
        </w:rPr>
        <w:t>beccarii</w:t>
      </w:r>
      <w:proofErr w:type="spellEnd"/>
      <w:r w:rsidRPr="00825F46">
        <w:t xml:space="preserve"> lacks the free-living, ant-independent populations documented for </w:t>
      </w:r>
      <w:proofErr w:type="spellStart"/>
      <w:r w:rsidRPr="00825F46">
        <w:rPr>
          <w:i/>
          <w:iCs/>
        </w:rPr>
        <w:t>Hydnophytum</w:t>
      </w:r>
      <w:proofErr w:type="spellEnd"/>
      <w:r w:rsidRPr="00825F46">
        <w:rPr>
          <w:i/>
          <w:iCs/>
        </w:rPr>
        <w:t xml:space="preserve"> </w:t>
      </w:r>
      <w:proofErr w:type="spellStart"/>
      <w:r w:rsidRPr="00825F46">
        <w:rPr>
          <w:i/>
          <w:iCs/>
        </w:rPr>
        <w:t>moseleyanum</w:t>
      </w:r>
      <w:proofErr w:type="spellEnd"/>
      <w:r w:rsidRPr="00825F46">
        <w:t xml:space="preserve">, and depends on resident ants for nitrogen provisioning at the domatium interface (Chomicki and Renner, 2017); the experimental evidence for this dependence in </w:t>
      </w:r>
      <w:r w:rsidRPr="00825F46">
        <w:rPr>
          <w:i/>
          <w:iCs/>
        </w:rPr>
        <w:t xml:space="preserve">M. </w:t>
      </w:r>
      <w:proofErr w:type="spellStart"/>
      <w:r w:rsidRPr="00825F46">
        <w:rPr>
          <w:i/>
          <w:iCs/>
        </w:rPr>
        <w:t>beccarii</w:t>
      </w:r>
      <w:proofErr w:type="spellEnd"/>
      <w:r w:rsidRPr="00825F46">
        <w:t xml:space="preserve"> is presented in Chapters 3 and 4 of this thesis. This dependence gradient provides a direct framework </w:t>
      </w:r>
      <w:r>
        <w:t xml:space="preserve">for testing how nutrient </w:t>
      </w:r>
      <w:r>
        <w:lastRenderedPageBreak/>
        <w:t>acquisition is integrated into plant physiology and gene regulation in facultative versus obligate systems.</w:t>
      </w:r>
      <w:r>
        <w:rPr>
          <w:shd w:val="clear" w:color="auto" w:fill="606060"/>
        </w:rPr>
        <w:t xml:space="preserve"> </w:t>
      </w:r>
    </w:p>
    <w:p w14:paraId="53100155" w14:textId="77777777" w:rsidR="008C1102" w:rsidRDefault="008E5528" w:rsidP="00825F46">
      <w:bookmarkStart w:id="140" w:name="_heading=h.f94qw63oox8h" w:colFirst="0" w:colLast="0"/>
      <w:bookmarkEnd w:id="140"/>
      <w:r>
        <w:t>Genomic studies of mutualisms have largely been restricted to symbiosis with microbes, most notably endosymbiosis</w:t>
      </w:r>
      <w:r w:rsidRPr="00825F46">
        <w:t xml:space="preserve">. By contrast, genomic and transcriptomic approaches have rarely been applied to “macro-mutualisms”, including insect-plant interactions, so the underlying molecular mechanisms remain poorly understood. Concepts from endosymbiosis (e.g. Bennett and Moran, 2015; McCutcheon et al., 2019) may nonetheless provide a foundation for further understanding of genomic evolution in mutualisms. </w:t>
      </w:r>
    </w:p>
    <w:p w14:paraId="0605D708" w14:textId="77777777" w:rsidR="008C1102" w:rsidRDefault="008E5528" w:rsidP="00825F46">
      <w:r w:rsidRPr="00825F46">
        <w:t>Endosymbiosis</w:t>
      </w:r>
      <w:r>
        <w:t>, whereby one organism lives within another, can enable major ecological transitions, for example in herbivorous insects (Oliver et al., 2003) and can reshape lineages through trait loss and metabolic complementarity (Fisher et al., 2017). Endosymbiosis between two species has created new biochemical reactions allowing the intertwined species to survive in inhospitable habitats (</w:t>
      </w:r>
      <w:proofErr w:type="spellStart"/>
      <w:r>
        <w:t>Fukatsu</w:t>
      </w:r>
      <w:proofErr w:type="spellEnd"/>
      <w:r>
        <w:t xml:space="preserve"> and Ishikawa, 1996). These principles, specifically dependence driven by gene loss, offer a useful reference point, although insect-plant mutualisms may be shaped by different </w:t>
      </w:r>
      <w:r w:rsidR="00F962C0">
        <w:t xml:space="preserve">constraints. </w:t>
      </w:r>
    </w:p>
    <w:p w14:paraId="0000026F" w14:textId="280FED0D" w:rsidR="00E420E3" w:rsidRPr="008C1102" w:rsidRDefault="00F962C0" w:rsidP="00825F46">
      <w:pPr>
        <w:rPr>
          <w:b/>
          <w:bCs/>
        </w:rPr>
      </w:pPr>
      <w:r>
        <w:t xml:space="preserve">This thesis investigates genomic and transcriptomic mechanisms associated with mutualistic dependence in two </w:t>
      </w:r>
      <w:proofErr w:type="spellStart"/>
      <w:r>
        <w:t>Hydnophytinae</w:t>
      </w:r>
      <w:proofErr w:type="spellEnd"/>
      <w:r>
        <w:t xml:space="preserve"> ant-plants – the facultative </w:t>
      </w:r>
      <w:proofErr w:type="spellStart"/>
      <w:r>
        <w:rPr>
          <w:i/>
          <w:iCs/>
        </w:rPr>
        <w:t>Hydnophytum</w:t>
      </w:r>
      <w:proofErr w:type="spellEnd"/>
      <w:r>
        <w:rPr>
          <w:i/>
          <w:iCs/>
        </w:rPr>
        <w:t xml:space="preserve"> </w:t>
      </w:r>
      <w:proofErr w:type="spellStart"/>
      <w:r>
        <w:rPr>
          <w:i/>
          <w:iCs/>
        </w:rPr>
        <w:t>moseleyanum</w:t>
      </w:r>
      <w:proofErr w:type="spellEnd"/>
      <w:r>
        <w:t xml:space="preserve"> and the obligate </w:t>
      </w:r>
      <w:proofErr w:type="spellStart"/>
      <w:r>
        <w:rPr>
          <w:i/>
          <w:iCs/>
        </w:rPr>
        <w:t>Myrmecodia</w:t>
      </w:r>
      <w:proofErr w:type="spellEnd"/>
      <w:r>
        <w:rPr>
          <w:i/>
          <w:iCs/>
        </w:rPr>
        <w:t xml:space="preserve"> </w:t>
      </w:r>
      <w:proofErr w:type="spellStart"/>
      <w:r>
        <w:rPr>
          <w:i/>
          <w:iCs/>
        </w:rPr>
        <w:t>beccarii</w:t>
      </w:r>
      <w:proofErr w:type="spellEnd"/>
      <w:r>
        <w:t xml:space="preserve"> – by testing whether nitrogen-related pathways are expressed constitutively or induced by ants, and by quantifying how ant presence alters nitrogen gene expression in each species. </w:t>
      </w:r>
      <w:r w:rsidRPr="008C1102">
        <w:t xml:space="preserve">Within </w:t>
      </w:r>
      <w:proofErr w:type="spellStart"/>
      <w:r w:rsidRPr="008C1102">
        <w:t>Hydnophytinae</w:t>
      </w:r>
      <w:proofErr w:type="spellEnd"/>
      <w:r w:rsidRPr="008C1102">
        <w:t xml:space="preserve">, obligate dependence on ants is a derived condition relative to the ancestral facultative state (Chomicki and Renner, 2017), and </w:t>
      </w:r>
      <w:r w:rsidRPr="008C1102">
        <w:rPr>
          <w:i/>
          <w:iCs/>
        </w:rPr>
        <w:t xml:space="preserve">M. </w:t>
      </w:r>
      <w:proofErr w:type="spellStart"/>
      <w:r w:rsidRPr="008C1102">
        <w:rPr>
          <w:i/>
          <w:iCs/>
        </w:rPr>
        <w:t>beccarii</w:t>
      </w:r>
      <w:proofErr w:type="spellEnd"/>
      <w:r w:rsidRPr="008C1102">
        <w:t xml:space="preserve"> exemplifies this derived, obligate lineage, in contrast to the facultative </w:t>
      </w:r>
      <w:r w:rsidRPr="008C1102">
        <w:rPr>
          <w:i/>
          <w:iCs/>
        </w:rPr>
        <w:t xml:space="preserve">H. </w:t>
      </w:r>
      <w:proofErr w:type="spellStart"/>
      <w:r w:rsidRPr="008C1102">
        <w:rPr>
          <w:i/>
          <w:iCs/>
        </w:rPr>
        <w:t>moseleyanum</w:t>
      </w:r>
      <w:proofErr w:type="spellEnd"/>
      <w:r w:rsidRPr="008C1102">
        <w:t xml:space="preserve"> studied here. </w:t>
      </w:r>
    </w:p>
    <w:p w14:paraId="7004DC25" w14:textId="6D7425B1" w:rsidR="008C1102" w:rsidRDefault="008E5528" w:rsidP="00825F46">
      <w:bookmarkStart w:id="141" w:name="_heading=h.r5b80jrsiikp" w:colFirst="0" w:colLast="0"/>
      <w:bookmarkEnd w:id="141"/>
      <w:r>
        <w:t xml:space="preserve">The aim of this thesis was to </w:t>
      </w:r>
      <w:r w:rsidRPr="008C1102">
        <w:t xml:space="preserve">identify transcriptomic </w:t>
      </w:r>
      <w:r w:rsidRPr="005A51AC">
        <w:t>responses</w:t>
      </w:r>
      <w:r w:rsidR="00976218" w:rsidRPr="005A51AC">
        <w:t xml:space="preserve"> and</w:t>
      </w:r>
      <w:r w:rsidRPr="005A51AC">
        <w:t xml:space="preserve"> differential </w:t>
      </w:r>
      <w:r w:rsidRPr="008C1102">
        <w:t xml:space="preserve">gene expression associated with ant presence and nutrient status and genomic correlates gene family expansion, contraction, and copy-number variation in nitrogen-transport gene families (NRT, AMT, NAR2) underlying mutualistic dependence in an </w:t>
      </w:r>
      <w:r w:rsidR="009F23E6">
        <w:t>ant-plant</w:t>
      </w:r>
      <w:r w:rsidRPr="008C1102">
        <w:t xml:space="preserve"> mutualism. By </w:t>
      </w:r>
      <w:r>
        <w:t xml:space="preserve">focusing on two contrasting plant species </w:t>
      </w:r>
      <w:proofErr w:type="spellStart"/>
      <w:r>
        <w:rPr>
          <w:i/>
          <w:iCs/>
        </w:rPr>
        <w:t>Hydnophytum</w:t>
      </w:r>
      <w:proofErr w:type="spellEnd"/>
      <w:r>
        <w:rPr>
          <w:i/>
          <w:iCs/>
        </w:rPr>
        <w:t xml:space="preserve"> </w:t>
      </w:r>
      <w:proofErr w:type="spellStart"/>
      <w:r>
        <w:rPr>
          <w:i/>
          <w:iCs/>
        </w:rPr>
        <w:t>moseleyanum</w:t>
      </w:r>
      <w:proofErr w:type="spellEnd"/>
      <w:r>
        <w:t xml:space="preserve"> (facultative) and </w:t>
      </w:r>
      <w:proofErr w:type="spellStart"/>
      <w:r>
        <w:rPr>
          <w:i/>
          <w:iCs/>
        </w:rPr>
        <w:t>Myrmecodia</w:t>
      </w:r>
      <w:proofErr w:type="spellEnd"/>
      <w:r>
        <w:rPr>
          <w:i/>
          <w:iCs/>
        </w:rPr>
        <w:t xml:space="preserve"> </w:t>
      </w:r>
      <w:proofErr w:type="spellStart"/>
      <w:r>
        <w:rPr>
          <w:i/>
          <w:iCs/>
        </w:rPr>
        <w:t>beccarii</w:t>
      </w:r>
      <w:proofErr w:type="spellEnd"/>
      <w:r>
        <w:t xml:space="preserve"> (obligate) with different dependency strategies, this work sets out to understand the molecular and genomic factors that underpin variation in dependence on ants. A key contribution of this thesis is an integrative framework linking controlled experimentation to genome-enabled, </w:t>
      </w:r>
      <w:r>
        <w:lastRenderedPageBreak/>
        <w:t xml:space="preserve">tissue-resolved transcriptomics in a macro-mutualism, testing how ant-derived nitrogen and plant gene regulation differ between </w:t>
      </w:r>
      <w:r w:rsidR="0028757D">
        <w:t>facultative</w:t>
      </w:r>
      <w:r>
        <w:t xml:space="preserve"> and obligate systems. </w:t>
      </w:r>
    </w:p>
    <w:p w14:paraId="00000270" w14:textId="2916F013" w:rsidR="00E420E3" w:rsidRPr="003E791D" w:rsidRDefault="008E5528" w:rsidP="00825F46">
      <w:pPr>
        <w:rPr>
          <w:b/>
          <w:bCs/>
          <w:shd w:val="clear" w:color="auto" w:fill="606060"/>
        </w:rPr>
      </w:pPr>
      <w:r>
        <w:t xml:space="preserve">Chapter 2 establishes a genomic foundation by generating high-quality reference genomes for both species and applying a duplication-aware framework that supports orthology inference and transcriptome mapping. Chapter 3 develops controlled greenhouse symbioses with ghost ants and uses ¹15N isotope tracing to test whether ant-derived nitrogen is incorporated into plant tissues under shared abiotic conditions. Chapter 4 then manipulates ant presence and nutrient availability while profiling tissue-resolved transcriptomic responses, testing whether </w:t>
      </w:r>
      <w:r w:rsidRPr="003E791D">
        <w:t>obligate partnership is associated with reduced plasticity in nitrogen-uptake regulation relative to facultative partnerships.</w:t>
      </w:r>
      <w:r w:rsidRPr="003E791D">
        <w:rPr>
          <w:shd w:val="clear" w:color="auto" w:fill="606060"/>
        </w:rPr>
        <w:t xml:space="preserve"> </w:t>
      </w:r>
    </w:p>
    <w:p w14:paraId="00000271" w14:textId="77777777" w:rsidR="00E420E3" w:rsidRDefault="008E5528" w:rsidP="003E791D">
      <w:pPr>
        <w:pStyle w:val="Heading3"/>
        <w:rPr>
          <w:shd w:val="clear" w:color="auto" w:fill="606060"/>
        </w:rPr>
      </w:pPr>
      <w:bookmarkStart w:id="142" w:name="_Toc235393030"/>
      <w:r>
        <w:t>5.1. Establishing experimental symbioses in ant–plants</w:t>
      </w:r>
      <w:bookmarkEnd w:id="142"/>
      <w:r>
        <w:rPr>
          <w:shd w:val="clear" w:color="auto" w:fill="606060"/>
        </w:rPr>
        <w:t xml:space="preserve"> </w:t>
      </w:r>
    </w:p>
    <w:p w14:paraId="04427EA3" w14:textId="77777777" w:rsidR="003E791D" w:rsidRDefault="008E5528" w:rsidP="00825F46">
      <w:r>
        <w:t xml:space="preserve">Ant-plant mutualisms have long served as textbook systems for studying the ecological dynamics of cooperation, conflict, and partner fidelity, yet most domatium-based symbioses remain difficult to manipulate experimentally because they occur in remote tropical settings and depend on local ant assemblages (Bronstein, 2001; Chomicki and Renner, 2017). This study provides the first successful establishment of experimental symbioses between </w:t>
      </w:r>
      <w:proofErr w:type="spellStart"/>
      <w:r>
        <w:rPr>
          <w:i/>
          <w:iCs/>
        </w:rPr>
        <w:t>Hydnophytum</w:t>
      </w:r>
      <w:proofErr w:type="spellEnd"/>
      <w:r>
        <w:rPr>
          <w:i/>
          <w:iCs/>
        </w:rPr>
        <w:t xml:space="preserve"> </w:t>
      </w:r>
      <w:proofErr w:type="spellStart"/>
      <w:r>
        <w:rPr>
          <w:i/>
          <w:iCs/>
        </w:rPr>
        <w:t>moseleyanum</w:t>
      </w:r>
      <w:proofErr w:type="spellEnd"/>
      <w:r>
        <w:t xml:space="preserve"> (facultative) and </w:t>
      </w:r>
      <w:proofErr w:type="spellStart"/>
      <w:r>
        <w:rPr>
          <w:i/>
          <w:iCs/>
        </w:rPr>
        <w:t>Myrmecodia</w:t>
      </w:r>
      <w:proofErr w:type="spellEnd"/>
      <w:r>
        <w:rPr>
          <w:i/>
          <w:iCs/>
        </w:rPr>
        <w:t xml:space="preserve"> </w:t>
      </w:r>
      <w:proofErr w:type="spellStart"/>
      <w:r>
        <w:rPr>
          <w:i/>
          <w:iCs/>
        </w:rPr>
        <w:t>beccarii</w:t>
      </w:r>
      <w:proofErr w:type="spellEnd"/>
      <w:r>
        <w:t xml:space="preserve"> (obligate) with ghost ants (</w:t>
      </w:r>
      <w:r>
        <w:rPr>
          <w:i/>
          <w:iCs/>
        </w:rPr>
        <w:t xml:space="preserve">Tapinoma </w:t>
      </w:r>
      <w:proofErr w:type="spellStart"/>
      <w:r>
        <w:rPr>
          <w:i/>
          <w:iCs/>
        </w:rPr>
        <w:t>melanocephalum</w:t>
      </w:r>
      <w:proofErr w:type="spellEnd"/>
      <w:r>
        <w:t xml:space="preserve">). </w:t>
      </w:r>
    </w:p>
    <w:p w14:paraId="00000272" w14:textId="7C87E3FE" w:rsidR="00E420E3" w:rsidRDefault="008E5528" w:rsidP="00825F46">
      <w:pPr>
        <w:rPr>
          <w:shd w:val="clear" w:color="auto" w:fill="606060"/>
        </w:rPr>
      </w:pPr>
      <w:r>
        <w:t>Despite ghost ants not being the native partners of either plant, they successfully colonised domatia and deposited nitrogen in patterns that closely mirror those observed in natural symbioses. This demonstrates that our greenhouse system provides a robust and scalable model for studying ant-plant nutritional interactions under controlled conditions. The development of such model systems is a major step forward, as it opens-up the amount of experimentation that can be done on these mutualisms. Field-based studies remain essential, but they are often constrained by environmental variability, partner availability, and logistical challenges. In contrast, the experimental framework established here allows precise control of symbiotic variables, direct manipulation of ant presence, and reliability.</w:t>
      </w:r>
    </w:p>
    <w:p w14:paraId="00000273" w14:textId="77777777" w:rsidR="00E420E3" w:rsidRDefault="008E5528" w:rsidP="00483082">
      <w:pPr>
        <w:pStyle w:val="Heading3"/>
        <w:rPr>
          <w:shd w:val="clear" w:color="auto" w:fill="606060"/>
        </w:rPr>
      </w:pPr>
      <w:bookmarkStart w:id="143" w:name="_Toc235393031"/>
      <w:r>
        <w:t xml:space="preserve">5.2. Warty domatium walls as the key site of nitrogen uptake in obligate </w:t>
      </w:r>
      <w:proofErr w:type="spellStart"/>
      <w:r>
        <w:t>Hydnophytinae</w:t>
      </w:r>
      <w:bookmarkEnd w:id="143"/>
      <w:proofErr w:type="spellEnd"/>
      <w:r>
        <w:rPr>
          <w:shd w:val="clear" w:color="auto" w:fill="606060"/>
        </w:rPr>
        <w:t xml:space="preserve"> </w:t>
      </w:r>
    </w:p>
    <w:p w14:paraId="00000274" w14:textId="77777777" w:rsidR="00E420E3" w:rsidRDefault="008E5528" w:rsidP="00825F46">
      <w:pPr>
        <w:rPr>
          <w:shd w:val="clear" w:color="auto" w:fill="606060"/>
        </w:rPr>
      </w:pPr>
      <w:r>
        <w:t xml:space="preserve">The isotope-tracing experiments indicate that ant-derived nitrogen is not distributed/absorbed uniformly across domatium tissues. Instead, enrichment is concentrated at the domatium interface, consistent with the long-standing view that specialised inner wall tissues mediate </w:t>
      </w:r>
      <w:r>
        <w:lastRenderedPageBreak/>
        <w:t xml:space="preserve">nutrient acquisition in </w:t>
      </w:r>
      <w:proofErr w:type="spellStart"/>
      <w:r>
        <w:t>Hydnophytinae</w:t>
      </w:r>
      <w:proofErr w:type="spellEnd"/>
      <w:r>
        <w:t xml:space="preserve"> ant-plants (Beccari, 1884; Miehe, 1911). The warty inner walls emerge as the primary site of ant-derived nitrogen uptake in both species, consistent with earlier physiological and comparative work showing that warty walls are hyper-absorptive and are also the targets of ant defecation and detritus deposition in specialised </w:t>
      </w:r>
      <w:proofErr w:type="spellStart"/>
      <w:r>
        <w:t>Hydnophytinae</w:t>
      </w:r>
      <w:proofErr w:type="spellEnd"/>
      <w:r>
        <w:t xml:space="preserve"> (Huxley, 1978; Chomicki and Renner, 2019).</w:t>
      </w:r>
      <w:r>
        <w:rPr>
          <w:shd w:val="clear" w:color="auto" w:fill="606060"/>
        </w:rPr>
        <w:t xml:space="preserve"> </w:t>
      </w:r>
    </w:p>
    <w:p w14:paraId="00000275" w14:textId="77777777" w:rsidR="00E420E3" w:rsidRDefault="008E5528" w:rsidP="00825F46">
      <w:pPr>
        <w:rPr>
          <w:shd w:val="clear" w:color="auto" w:fill="606060"/>
        </w:rPr>
      </w:pPr>
      <w:r>
        <w:t xml:space="preserve">Thus, the repeated differentiation of domatium wall types across </w:t>
      </w:r>
      <w:proofErr w:type="spellStart"/>
      <w:r>
        <w:t>Hydnophytinae</w:t>
      </w:r>
      <w:proofErr w:type="spellEnd"/>
      <w:r>
        <w:t xml:space="preserve"> ant-plants (Chomicki and Renner, 2019) provides a clear anatomical framework for interpreting transcriptomic signals of specialised ant-plants across evolutionary replicates (Chomicki et al., 2024). Moreover, the strong ¹15N signal found in the tuber tissue provides evidence that tuber tissues also retain ant-derived nitrogen, supporting a “capture-and-storage” model in which domatia function not only as exchange organs but as entry points into longer-term nutrient allocation, analogous to storage roles documented for other tuberous organs (Glynne and Jackson, 1919; Millard, 1986).</w:t>
      </w:r>
      <w:r>
        <w:rPr>
          <w:shd w:val="clear" w:color="auto" w:fill="606060"/>
        </w:rPr>
        <w:t xml:space="preserve"> </w:t>
      </w:r>
    </w:p>
    <w:p w14:paraId="00000276" w14:textId="77777777" w:rsidR="00E420E3" w:rsidRDefault="008E5528" w:rsidP="00483082">
      <w:pPr>
        <w:pStyle w:val="Heading3"/>
        <w:rPr>
          <w:shd w:val="clear" w:color="auto" w:fill="606060"/>
        </w:rPr>
      </w:pPr>
      <w:bookmarkStart w:id="144" w:name="_Toc235393032"/>
      <w:r>
        <w:t>5.3. Mutualistic dependence is reflected in regulatory plasticity at the interface</w:t>
      </w:r>
      <w:bookmarkEnd w:id="144"/>
      <w:r>
        <w:rPr>
          <w:shd w:val="clear" w:color="auto" w:fill="606060"/>
        </w:rPr>
        <w:t xml:space="preserve"> </w:t>
      </w:r>
    </w:p>
    <w:p w14:paraId="1197A11D" w14:textId="77777777" w:rsidR="00474464" w:rsidRDefault="008E5528" w:rsidP="00825F46">
      <w:r>
        <w:t xml:space="preserve">Chapters 3 and 4 together support a simple, testable framework: as ant-plant interactions shift from facultative to obligate dependence, </w:t>
      </w:r>
      <w:r w:rsidRPr="00483082">
        <w:t xml:space="preserve">the expression of the nitrogen-uptake toolkit becomes less plastic and more developmentally embedded at the exchange interface. This prediction is grounded in two, complementary lines of theory. First, a cost–benefit argument: inducible investment is expected when benefits are intermittent and costs are non-trivial, whereas more constitutive investment is favoured when partner services are reliable (Karban, 2011; </w:t>
      </w:r>
      <w:proofErr w:type="spellStart"/>
      <w:r w:rsidRPr="00483082">
        <w:t>Mithöfer</w:t>
      </w:r>
      <w:proofErr w:type="spellEnd"/>
      <w:r w:rsidRPr="00483082">
        <w:t xml:space="preserve"> and Boland, 2012) this concerns the economics of maintaining plasticity itself. Second, and distinct from this, an evolutionary argument: mutualism theory and comparative evidence show that dependence and specialisation increase, selection acts consistently on partner-facing traits within a narrower ecological setting, favouring canalised (fixed) trait expression independently of the costs of induction (Bronstein, 1994; Chomicki and Renner, 2017). </w:t>
      </w:r>
    </w:p>
    <w:p w14:paraId="00000277" w14:textId="666025D1" w:rsidR="00E420E3" w:rsidRDefault="008E5528" w:rsidP="00825F46">
      <w:pPr>
        <w:rPr>
          <w:shd w:val="clear" w:color="auto" w:fill="606060"/>
        </w:rPr>
      </w:pPr>
      <w:r w:rsidRPr="00483082">
        <w:t>Together, these two mechanisms predict the same outcome reduced plasticity under obligate dependence but by different routes: the first through the economics of induction, the second through the narrowing of selective context under specialisation. This is important, because the first, cost–benefit framework has been developed in the context of plant defence, and this thesis shows it is also relevant, alongside the second, evolutionary framework, for understanding nutritional mutualisms.</w:t>
      </w:r>
      <w:r w:rsidRPr="00483082">
        <w:rPr>
          <w:strike/>
        </w:rPr>
        <w:t xml:space="preserve"> </w:t>
      </w:r>
      <w:r w:rsidRPr="00483082">
        <w:t>However</w:t>
      </w:r>
      <w:r>
        <w:t xml:space="preserve">, it is important to remember that the transcriptomic responses of the nitrogen uptake toolkit are not clear-cut in facultative versus obligate ant-plants. There </w:t>
      </w:r>
      <w:r>
        <w:lastRenderedPageBreak/>
        <w:t>is a whole range of variation with trends across genes, as indeed seen for defence responses (Karban and Baldwin, 2007).</w:t>
      </w:r>
      <w:r>
        <w:rPr>
          <w:shd w:val="clear" w:color="auto" w:fill="606060"/>
        </w:rPr>
        <w:t xml:space="preserve"> </w:t>
      </w:r>
    </w:p>
    <w:p w14:paraId="00000278" w14:textId="77777777" w:rsidR="00E420E3" w:rsidRDefault="008E5528" w:rsidP="00825F46">
      <w:pPr>
        <w:rPr>
          <w:shd w:val="clear" w:color="auto" w:fill="606060"/>
        </w:rPr>
      </w:pPr>
      <w:r>
        <w:t xml:space="preserve">Within this framework, the transcriptomic results are most naturally interpreted as tissue-specific modulation rather than a global “on/off” switch. In the facultative </w:t>
      </w:r>
      <w:r>
        <w:rPr>
          <w:i/>
          <w:iCs/>
        </w:rPr>
        <w:t xml:space="preserve">H. </w:t>
      </w:r>
      <w:proofErr w:type="spellStart"/>
      <w:r>
        <w:rPr>
          <w:i/>
          <w:iCs/>
        </w:rPr>
        <w:t>moseleyanum</w:t>
      </w:r>
      <w:proofErr w:type="spellEnd"/>
      <w:r>
        <w:t xml:space="preserve">, ant presence is associated with clearer transcriptional shifts in domatium-facing tissues, consistent with a strategy in which the plant adjusts uptake and processing capacity in response to variable ant occupancy in time and space. In the obligate </w:t>
      </w:r>
      <w:r>
        <w:rPr>
          <w:i/>
          <w:iCs/>
        </w:rPr>
        <w:t xml:space="preserve">M. </w:t>
      </w:r>
      <w:proofErr w:type="spellStart"/>
      <w:r>
        <w:rPr>
          <w:i/>
          <w:iCs/>
        </w:rPr>
        <w:t>beccarii</w:t>
      </w:r>
      <w:proofErr w:type="spellEnd"/>
      <w:r>
        <w:t>, ant-associated shifts among nitrogen candidates are comparatively modest, consistent with higher baseline investment in interface function. Importantly, a weaker differential expression signal does not imply that ants are unimportant; rather, it is consistent with canalisation, that is, standing investment that reduces the need for short-term transcriptional reprogramming in a reliably occupied symbiosis. Future work might unveil how this inductive versus constitutive nature of the nitrogen uptake genetic toolkit is controlled.</w:t>
      </w:r>
      <w:r>
        <w:rPr>
          <w:shd w:val="clear" w:color="auto" w:fill="606060"/>
        </w:rPr>
        <w:t xml:space="preserve"> </w:t>
      </w:r>
    </w:p>
    <w:p w14:paraId="00000279" w14:textId="77777777" w:rsidR="00E420E3" w:rsidRDefault="008E5528" w:rsidP="003D1772">
      <w:pPr>
        <w:pStyle w:val="Heading3"/>
        <w:rPr>
          <w:shd w:val="clear" w:color="auto" w:fill="606060"/>
        </w:rPr>
      </w:pPr>
      <w:bookmarkStart w:id="145" w:name="_Toc235393033"/>
      <w:r>
        <w:t>5.4. Partner identity, microbiomes, and nitrogen form</w:t>
      </w:r>
      <w:bookmarkEnd w:id="145"/>
      <w:r>
        <w:rPr>
          <w:shd w:val="clear" w:color="auto" w:fill="606060"/>
        </w:rPr>
        <w:t xml:space="preserve"> </w:t>
      </w:r>
    </w:p>
    <w:p w14:paraId="6433A8EB" w14:textId="77777777" w:rsidR="003D1772" w:rsidRDefault="008E5528" w:rsidP="00825F46">
      <w:r>
        <w:t>Although ghost ants recapitulate key features of domatium nutritional function (</w:t>
      </w:r>
      <w:proofErr w:type="gramStart"/>
      <w:r>
        <w:t>in particular the</w:t>
      </w:r>
      <w:proofErr w:type="gramEnd"/>
      <w:r>
        <w:t xml:space="preserve"> pattern of nitrogen </w:t>
      </w:r>
      <w:r w:rsidRPr="003D1772">
        <w:t xml:space="preserve">deposition documented for facultative versus obligate </w:t>
      </w:r>
      <w:proofErr w:type="spellStart"/>
      <w:r w:rsidRPr="003D1772">
        <w:rPr>
          <w:i/>
          <w:iCs/>
        </w:rPr>
        <w:t>Squamellaria</w:t>
      </w:r>
      <w:proofErr w:type="spellEnd"/>
      <w:r w:rsidRPr="003D1772">
        <w:t xml:space="preserve"> </w:t>
      </w:r>
      <w:proofErr w:type="spellStart"/>
      <w:r w:rsidRPr="003D1772">
        <w:t>Hydnophytinae</w:t>
      </w:r>
      <w:proofErr w:type="spellEnd"/>
      <w:r w:rsidRPr="003D1772">
        <w:t xml:space="preserve"> in their natural environment</w:t>
      </w:r>
      <w:r w:rsidRPr="003D1772">
        <w:rPr>
          <w:i/>
          <w:iCs/>
        </w:rPr>
        <w:t xml:space="preserve"> </w:t>
      </w:r>
      <w:r w:rsidRPr="003D1772">
        <w:t xml:space="preserve">partner identity could still matter in ways not captured by short-term enrichment patterns, especially for specialised systems. Work on </w:t>
      </w:r>
      <w:r w:rsidRPr="003D1772">
        <w:rPr>
          <w:i/>
          <w:iCs/>
        </w:rPr>
        <w:t xml:space="preserve">M. </w:t>
      </w:r>
      <w:proofErr w:type="spellStart"/>
      <w:r w:rsidRPr="003D1772">
        <w:rPr>
          <w:i/>
          <w:iCs/>
        </w:rPr>
        <w:t>beccarii</w:t>
      </w:r>
      <w:proofErr w:type="spellEnd"/>
      <w:r w:rsidRPr="003D1772">
        <w:t xml:space="preserve"> in the field shows that both native and invasive ants can provide nitrogen, but the longer-term consequences for plant fitness, partner turnover, and stability of dependence remain unresolved (Volp and Lach, 2019; Volp et al., 2022). </w:t>
      </w:r>
    </w:p>
    <w:p w14:paraId="4925F612" w14:textId="77777777" w:rsidR="003D1772" w:rsidRDefault="008E5528" w:rsidP="00825F46">
      <w:r w:rsidRPr="003D1772">
        <w:t>It is also notable that the fertiliser-infection experiments do not fully reproduce the transcriptomic effects of ant presence. This could mean either that the nature and/or concentration of the nitrogen forms supplied differ sufficiently from those delivered by ants to generate a distinct transcriptomic response (fertiliser- and ant-presence treatments induced substantially non-overlapping sets of differentially expressed genes). Alternatively</w:t>
      </w:r>
      <w:r>
        <w:t xml:space="preserve">, ants could contribute directly to transcriptional induction – through chemical cues or mechanical stimulation – although this seems less likely here: ghost ants lack a shared evolutionary history with </w:t>
      </w:r>
      <w:proofErr w:type="spellStart"/>
      <w:r>
        <w:t>Hydnophytinae</w:t>
      </w:r>
      <w:proofErr w:type="spellEnd"/>
      <w:r>
        <w:t xml:space="preserve">, and the response is strongest in the facultative species, which in nature hosts a broad range </w:t>
      </w:r>
      <w:r w:rsidRPr="003D1772">
        <w:t xml:space="preserve">of ant partners, </w:t>
      </w:r>
      <w:r>
        <w:t>making specialised</w:t>
      </w:r>
      <w:r>
        <w:rPr>
          <w:b/>
          <w:bCs/>
          <w:color w:val="1F7A1F"/>
        </w:rPr>
        <w:t>,</w:t>
      </w:r>
      <w:r>
        <w:t xml:space="preserve"> coevolved chemical signalling less probable. </w:t>
      </w:r>
    </w:p>
    <w:p w14:paraId="0000027A" w14:textId="2CE43084" w:rsidR="00E420E3" w:rsidRDefault="008E5528" w:rsidP="00825F46">
      <w:pPr>
        <w:rPr>
          <w:shd w:val="clear" w:color="auto" w:fill="606060"/>
        </w:rPr>
      </w:pPr>
      <w:r>
        <w:lastRenderedPageBreak/>
        <w:t>A second, unexplored layer is the domatium microbiome. Domatia concentrate organic substrates and moisture, creating conditions where microbes can transform nitrogen forms before uptake; in many symbioses, such microbial processing is central to what the host ultimately experiences as “partner-provided nutrition” (Douglas, 2015)</w:t>
      </w:r>
      <w:r>
        <w:rPr>
          <w:b/>
          <w:bCs/>
          <w:i/>
          <w:iCs/>
          <w:color w:val="B8860B"/>
        </w:rPr>
        <w:t xml:space="preserve"> </w:t>
      </w:r>
      <w:r>
        <w:t>Establishing whether nitrogen arrives primarily as ammonium, nitrate, urea-derived products, or microbially transformed intermediates would be the next step to understand the nutritional physiology of these ant-plant mutualisms.</w:t>
      </w:r>
      <w:r>
        <w:rPr>
          <w:shd w:val="clear" w:color="auto" w:fill="606060"/>
        </w:rPr>
        <w:t xml:space="preserve"> </w:t>
      </w:r>
    </w:p>
    <w:p w14:paraId="0000027B" w14:textId="77777777" w:rsidR="00E420E3" w:rsidRDefault="008E5528" w:rsidP="003D1772">
      <w:pPr>
        <w:pStyle w:val="Heading3"/>
        <w:rPr>
          <w:shd w:val="clear" w:color="auto" w:fill="606060"/>
        </w:rPr>
      </w:pPr>
      <w:bookmarkStart w:id="146" w:name="_Toc235393034"/>
      <w:r>
        <w:t>5.5. Conclusion</w:t>
      </w:r>
      <w:bookmarkEnd w:id="146"/>
      <w:r>
        <w:rPr>
          <w:shd w:val="clear" w:color="auto" w:fill="606060"/>
        </w:rPr>
        <w:t xml:space="preserve"> </w:t>
      </w:r>
    </w:p>
    <w:p w14:paraId="00000283" w14:textId="6EA8FC2F" w:rsidR="00E420E3" w:rsidRDefault="008E5528" w:rsidP="00825F46">
      <w:pPr>
        <w:rPr>
          <w:shd w:val="clear" w:color="auto" w:fill="606060"/>
        </w:rPr>
      </w:pPr>
      <w:r>
        <w:t xml:space="preserve">Together, these chapters establish </w:t>
      </w:r>
      <w:proofErr w:type="spellStart"/>
      <w:r>
        <w:t>Hydnophytinae</w:t>
      </w:r>
      <w:proofErr w:type="spellEnd"/>
      <w:r>
        <w:t xml:space="preserve"> ant-plants as a tractable experimental system and provide the genomic and transcriptional foundation needed to test how mutualistic dependence is built at the ant-plant interface. Using reconstituted domatium symbioses, ¹15N tracing, multi-tissue transcriptomics, and new reference genomes, the thesis shows that ant-derived nitrogen is incorporated by both </w:t>
      </w:r>
      <w:proofErr w:type="spellStart"/>
      <w:r>
        <w:rPr>
          <w:i/>
          <w:iCs/>
        </w:rPr>
        <w:t>Hydnophytum</w:t>
      </w:r>
      <w:proofErr w:type="spellEnd"/>
      <w:r>
        <w:t xml:space="preserve"> (facultative) and </w:t>
      </w:r>
      <w:proofErr w:type="spellStart"/>
      <w:r>
        <w:rPr>
          <w:i/>
          <w:iCs/>
        </w:rPr>
        <w:t>Myrmecodia</w:t>
      </w:r>
      <w:proofErr w:type="spellEnd"/>
      <w:r>
        <w:t xml:space="preserve"> (obligate), but that the response is organised differently: </w:t>
      </w:r>
      <w:proofErr w:type="spellStart"/>
      <w:r>
        <w:rPr>
          <w:i/>
          <w:iCs/>
        </w:rPr>
        <w:t>Hydnophytum</w:t>
      </w:r>
      <w:proofErr w:type="spellEnd"/>
      <w:r>
        <w:t xml:space="preserve"> shows more ant-induced responses of nitrogen</w:t>
      </w:r>
      <w:r w:rsidRPr="003D1772">
        <w:t xml:space="preserve">-uptake genes, whereas </w:t>
      </w:r>
      <w:proofErr w:type="spellStart"/>
      <w:r w:rsidRPr="003D1772">
        <w:rPr>
          <w:i/>
          <w:iCs/>
        </w:rPr>
        <w:t>Myrmecodia</w:t>
      </w:r>
      <w:proofErr w:type="spellEnd"/>
      <w:r w:rsidRPr="003D1772">
        <w:t xml:space="preserve"> relies more on a stable baseline programme with more genes showing constitutive expression. The central conclusion is clear: the shift to an obligate partnership is associated </w:t>
      </w:r>
      <w:r>
        <w:t xml:space="preserve">with reduced regulatory plasticity in nitrogen uptake at the exchange interface. This work provides important insights into the evolution of mutualism dependence, </w:t>
      </w:r>
      <w:r w:rsidRPr="00EB6FBC">
        <w:t xml:space="preserve">and into the </w:t>
      </w:r>
      <w:r>
        <w:t xml:space="preserve">physiology of </w:t>
      </w:r>
      <w:r w:rsidR="009F23E6">
        <w:t>ant-plant</w:t>
      </w:r>
      <w:r>
        <w:t xml:space="preserve"> mutualisms. Future work will investigate the potential role of the microbiome in </w:t>
      </w:r>
      <w:r w:rsidR="001501D6">
        <w:t>nutrition and</w:t>
      </w:r>
      <w:r>
        <w:t xml:space="preserve"> identify specific genes that regulate these fundamentally distinct transcriptomic responses.</w:t>
      </w:r>
      <w:r>
        <w:rPr>
          <w:shd w:val="clear" w:color="auto" w:fill="606060"/>
        </w:rPr>
        <w:t xml:space="preserve"> </w:t>
      </w:r>
    </w:p>
    <w:p w14:paraId="2EEC698B" w14:textId="77777777" w:rsidR="0063342F" w:rsidRDefault="0063342F" w:rsidP="00825F46">
      <w:pPr>
        <w:rPr>
          <w:shd w:val="clear" w:color="auto" w:fill="606060"/>
        </w:rPr>
      </w:pPr>
    </w:p>
    <w:p w14:paraId="2B3C9F39" w14:textId="77777777" w:rsidR="0063342F" w:rsidRDefault="0063342F" w:rsidP="00825F46">
      <w:pPr>
        <w:rPr>
          <w:shd w:val="clear" w:color="auto" w:fill="606060"/>
        </w:rPr>
      </w:pPr>
    </w:p>
    <w:p w14:paraId="6FCA04EC" w14:textId="77777777" w:rsidR="0063342F" w:rsidRDefault="0063342F" w:rsidP="00825F46">
      <w:pPr>
        <w:rPr>
          <w:shd w:val="clear" w:color="auto" w:fill="606060"/>
        </w:rPr>
      </w:pPr>
    </w:p>
    <w:p w14:paraId="0E5E6A51" w14:textId="77777777" w:rsidR="0063342F" w:rsidRDefault="0063342F" w:rsidP="00825F46">
      <w:pPr>
        <w:rPr>
          <w:shd w:val="clear" w:color="auto" w:fill="606060"/>
        </w:rPr>
      </w:pPr>
    </w:p>
    <w:p w14:paraId="369B793C" w14:textId="77777777" w:rsidR="0063342F" w:rsidRDefault="0063342F" w:rsidP="00825F46">
      <w:pPr>
        <w:rPr>
          <w:shd w:val="clear" w:color="auto" w:fill="606060"/>
        </w:rPr>
      </w:pPr>
    </w:p>
    <w:p w14:paraId="1FC4369F" w14:textId="77777777" w:rsidR="0063342F" w:rsidRDefault="0063342F" w:rsidP="00825F46">
      <w:pPr>
        <w:rPr>
          <w:shd w:val="clear" w:color="auto" w:fill="606060"/>
        </w:rPr>
      </w:pPr>
    </w:p>
    <w:p w14:paraId="7CDDE979" w14:textId="77777777" w:rsidR="0063342F" w:rsidRDefault="0063342F" w:rsidP="00825F46">
      <w:pPr>
        <w:rPr>
          <w:shd w:val="clear" w:color="auto" w:fill="606060"/>
        </w:rPr>
      </w:pPr>
    </w:p>
    <w:p w14:paraId="4867BBD2" w14:textId="77777777" w:rsidR="0063342F" w:rsidRDefault="0063342F" w:rsidP="00825F46">
      <w:pPr>
        <w:rPr>
          <w:shd w:val="clear" w:color="auto" w:fill="606060"/>
        </w:rPr>
      </w:pPr>
    </w:p>
    <w:p w14:paraId="60AFBCC5" w14:textId="77777777" w:rsidR="003902AD" w:rsidRPr="00856741" w:rsidRDefault="003902AD" w:rsidP="003902AD">
      <w:pPr>
        <w:pStyle w:val="Heading3"/>
        <w:rPr>
          <w:lang w:val="pt-BR"/>
        </w:rPr>
      </w:pPr>
      <w:bookmarkStart w:id="147" w:name="_Toc218339285"/>
      <w:bookmarkStart w:id="148" w:name="_Toc235393035"/>
      <w:r w:rsidRPr="00856741">
        <w:rPr>
          <w:lang w:val="pt-BR"/>
        </w:rPr>
        <w:lastRenderedPageBreak/>
        <w:t>5.6. References</w:t>
      </w:r>
      <w:bookmarkStart w:id="149" w:name="_Hlk218334938"/>
      <w:bookmarkEnd w:id="147"/>
      <w:bookmarkEnd w:id="148"/>
    </w:p>
    <w:bookmarkEnd w:id="149"/>
    <w:p w14:paraId="50E9C568" w14:textId="77777777" w:rsidR="003902AD" w:rsidRPr="00E12530" w:rsidRDefault="003902AD" w:rsidP="003902AD">
      <w:pPr>
        <w:ind w:left="567" w:hanging="567"/>
        <w:rPr>
          <w:rFonts w:eastAsia="Times New Roman" w:cs="Times New Roman"/>
          <w:szCs w:val="24"/>
        </w:rPr>
      </w:pPr>
      <w:r w:rsidRPr="007D58A8">
        <w:rPr>
          <w:rFonts w:eastAsia="Times New Roman" w:cs="Times New Roman"/>
          <w:szCs w:val="24"/>
          <w:lang w:val="pt-BR"/>
        </w:rPr>
        <w:t xml:space="preserve">Beccari, O. (1884). Piante ospitatrici o formicarie della Malesia e della Papuasia. </w:t>
      </w:r>
      <w:r w:rsidRPr="00E12530">
        <w:rPr>
          <w:rFonts w:eastAsia="Times New Roman" w:cs="Times New Roman"/>
          <w:i/>
          <w:iCs/>
          <w:szCs w:val="24"/>
        </w:rPr>
        <w:t>Malesia, 2</w:t>
      </w:r>
      <w:r w:rsidRPr="00E12530">
        <w:rPr>
          <w:rFonts w:eastAsia="Times New Roman" w:cs="Times New Roman"/>
          <w:szCs w:val="24"/>
        </w:rPr>
        <w:t>, 1–182.</w:t>
      </w:r>
    </w:p>
    <w:p w14:paraId="33471095" w14:textId="10CCCE04" w:rsidR="003902AD" w:rsidRPr="00E12530" w:rsidRDefault="003902AD" w:rsidP="003902AD">
      <w:pPr>
        <w:ind w:left="567" w:hanging="567"/>
        <w:rPr>
          <w:rFonts w:eastAsia="Times New Roman" w:cs="Times New Roman"/>
          <w:szCs w:val="24"/>
        </w:rPr>
      </w:pPr>
      <w:r w:rsidRPr="00E12530">
        <w:rPr>
          <w:rFonts w:eastAsia="Times New Roman" w:cs="Times New Roman"/>
          <w:szCs w:val="24"/>
        </w:rPr>
        <w:t>Bennett, G.M.</w:t>
      </w:r>
      <w:r w:rsidR="00FA7B5D">
        <w:rPr>
          <w:rFonts w:eastAsia="Times New Roman" w:cs="Times New Roman"/>
          <w:szCs w:val="24"/>
        </w:rPr>
        <w:t>,</w:t>
      </w:r>
      <w:r w:rsidRPr="00E12530">
        <w:rPr>
          <w:rFonts w:eastAsia="Times New Roman" w:cs="Times New Roman"/>
          <w:szCs w:val="24"/>
        </w:rPr>
        <w:t xml:space="preserve"> and Moran, N.A. (2015). Heritable symbiosis: The advantages and perils of an evolutionary rabbit hole. </w:t>
      </w:r>
      <w:r w:rsidR="00AD12B1" w:rsidRPr="00AD12B1">
        <w:rPr>
          <w:rFonts w:eastAsia="Times New Roman" w:cs="Times New Roman"/>
          <w:i/>
          <w:iCs/>
          <w:szCs w:val="24"/>
        </w:rPr>
        <w:t>Proceedings of the National Academy of Sciences of the United States of Americ</w:t>
      </w:r>
      <w:r w:rsidR="00AD12B1">
        <w:rPr>
          <w:rFonts w:eastAsia="Times New Roman" w:cs="Times New Roman"/>
          <w:i/>
          <w:iCs/>
          <w:szCs w:val="24"/>
        </w:rPr>
        <w:t>a</w:t>
      </w:r>
      <w:r w:rsidRPr="00E12530">
        <w:rPr>
          <w:rFonts w:eastAsia="Times New Roman" w:cs="Times New Roman"/>
          <w:i/>
          <w:iCs/>
          <w:szCs w:val="24"/>
        </w:rPr>
        <w:t>,</w:t>
      </w:r>
      <w:r w:rsidRPr="00E12530">
        <w:rPr>
          <w:rFonts w:eastAsia="Times New Roman" w:cs="Times New Roman"/>
          <w:szCs w:val="24"/>
        </w:rPr>
        <w:t xml:space="preserve"> </w:t>
      </w:r>
      <w:r w:rsidRPr="00E12530">
        <w:rPr>
          <w:rFonts w:eastAsia="Times New Roman" w:cs="Times New Roman"/>
          <w:i/>
          <w:iCs/>
          <w:szCs w:val="24"/>
        </w:rPr>
        <w:t>112</w:t>
      </w:r>
      <w:r w:rsidRPr="00E12530">
        <w:rPr>
          <w:rFonts w:eastAsia="Times New Roman" w:cs="Times New Roman"/>
          <w:szCs w:val="24"/>
        </w:rPr>
        <w:t>, 10169–10176.</w:t>
      </w:r>
    </w:p>
    <w:p w14:paraId="4853E9E3" w14:textId="77777777" w:rsidR="003902AD" w:rsidRPr="00E12530" w:rsidRDefault="003902AD" w:rsidP="003902AD">
      <w:pPr>
        <w:ind w:left="567" w:hanging="567"/>
        <w:rPr>
          <w:rFonts w:eastAsia="Times New Roman" w:cs="Times New Roman"/>
          <w:szCs w:val="24"/>
        </w:rPr>
      </w:pPr>
      <w:r w:rsidRPr="00E12530">
        <w:rPr>
          <w:rFonts w:eastAsia="Times New Roman" w:cs="Times New Roman"/>
          <w:szCs w:val="24"/>
        </w:rPr>
        <w:t xml:space="preserve">Bronstein, J.L. (1994). Our current understanding of mutualism. </w:t>
      </w:r>
      <w:r w:rsidRPr="00E12530">
        <w:rPr>
          <w:rFonts w:eastAsia="Times New Roman" w:cs="Times New Roman"/>
          <w:i/>
          <w:iCs/>
          <w:szCs w:val="24"/>
        </w:rPr>
        <w:t>The Quarterly Review of Biology, 69</w:t>
      </w:r>
      <w:r w:rsidRPr="00E12530">
        <w:rPr>
          <w:rFonts w:eastAsia="Times New Roman" w:cs="Times New Roman"/>
          <w:szCs w:val="24"/>
        </w:rPr>
        <w:t>(1), 31-51.</w:t>
      </w:r>
      <w:r w:rsidRPr="00E12530">
        <w:rPr>
          <w:rFonts w:ascii="Aptos" w:eastAsia="Aptos" w:hAnsi="Aptos" w:cs="Aptos"/>
          <w:szCs w:val="24"/>
        </w:rPr>
        <w:t xml:space="preserve">     </w:t>
      </w:r>
    </w:p>
    <w:p w14:paraId="5640876D" w14:textId="77777777" w:rsidR="003902AD" w:rsidRPr="00E12530" w:rsidRDefault="003902AD" w:rsidP="003902AD">
      <w:pPr>
        <w:ind w:left="567" w:hanging="567"/>
        <w:rPr>
          <w:rFonts w:eastAsia="Times New Roman" w:cs="Times New Roman"/>
          <w:szCs w:val="24"/>
        </w:rPr>
      </w:pPr>
      <w:r w:rsidRPr="00E12530">
        <w:rPr>
          <w:rFonts w:eastAsia="Times New Roman" w:cs="Times New Roman"/>
          <w:szCs w:val="24"/>
        </w:rPr>
        <w:t xml:space="preserve">Bronstein, J.L. (2001). The exploitation of mutualisms. </w:t>
      </w:r>
      <w:r w:rsidRPr="00E12530">
        <w:rPr>
          <w:rFonts w:eastAsia="Times New Roman" w:cs="Times New Roman"/>
          <w:i/>
          <w:iCs/>
          <w:szCs w:val="24"/>
        </w:rPr>
        <w:t>Ecology Letters</w:t>
      </w:r>
      <w:r w:rsidRPr="00E12530">
        <w:rPr>
          <w:rFonts w:eastAsia="Times New Roman" w:cs="Times New Roman"/>
          <w:szCs w:val="24"/>
        </w:rPr>
        <w:t xml:space="preserve">, </w:t>
      </w:r>
      <w:r w:rsidRPr="00E12530">
        <w:rPr>
          <w:rFonts w:eastAsia="Times New Roman" w:cs="Times New Roman"/>
          <w:i/>
          <w:iCs/>
          <w:szCs w:val="24"/>
        </w:rPr>
        <w:t>4</w:t>
      </w:r>
      <w:r w:rsidRPr="00E12530">
        <w:rPr>
          <w:rFonts w:eastAsia="Times New Roman" w:cs="Times New Roman"/>
          <w:szCs w:val="24"/>
        </w:rPr>
        <w:t>, 277–287.</w:t>
      </w:r>
    </w:p>
    <w:p w14:paraId="049831E6" w14:textId="5DB5A867" w:rsidR="003902AD" w:rsidRPr="00E12530" w:rsidRDefault="003902AD" w:rsidP="003902AD">
      <w:pPr>
        <w:ind w:left="567" w:hanging="567"/>
        <w:rPr>
          <w:rFonts w:eastAsia="Times New Roman" w:cs="Times New Roman"/>
          <w:szCs w:val="24"/>
        </w:rPr>
      </w:pPr>
      <w:r w:rsidRPr="00E12530">
        <w:rPr>
          <w:rFonts w:eastAsia="Times New Roman" w:cs="Times New Roman"/>
          <w:szCs w:val="24"/>
        </w:rPr>
        <w:t>Bronstein, J.L. (2015). Mutualism</w:t>
      </w:r>
      <w:r w:rsidR="005964AA">
        <w:rPr>
          <w:rFonts w:eastAsia="Times New Roman" w:cs="Times New Roman"/>
          <w:szCs w:val="24"/>
        </w:rPr>
        <w:t>.</w:t>
      </w:r>
      <w:r w:rsidRPr="00E12530">
        <w:rPr>
          <w:rFonts w:eastAsia="Times New Roman" w:cs="Times New Roman"/>
          <w:szCs w:val="24"/>
        </w:rPr>
        <w:t xml:space="preserve"> </w:t>
      </w:r>
      <w:r w:rsidR="005964AA">
        <w:rPr>
          <w:rFonts w:eastAsia="Times New Roman" w:cs="Times New Roman"/>
          <w:szCs w:val="24"/>
        </w:rPr>
        <w:t>I</w:t>
      </w:r>
      <w:r w:rsidRPr="00E12530">
        <w:rPr>
          <w:rFonts w:eastAsia="Times New Roman" w:cs="Times New Roman"/>
          <w:szCs w:val="24"/>
        </w:rPr>
        <w:t xml:space="preserve">n </w:t>
      </w:r>
      <w:r w:rsidR="005964AA">
        <w:rPr>
          <w:rFonts w:eastAsia="Times New Roman" w:cs="Times New Roman"/>
          <w:szCs w:val="24"/>
        </w:rPr>
        <w:t xml:space="preserve">J.L. </w:t>
      </w:r>
      <w:r w:rsidRPr="00E12530">
        <w:rPr>
          <w:rFonts w:eastAsia="Times New Roman" w:cs="Times New Roman"/>
          <w:szCs w:val="24"/>
        </w:rPr>
        <w:t>Bronstein (</w:t>
      </w:r>
      <w:r w:rsidR="005964AA">
        <w:rPr>
          <w:rFonts w:eastAsia="Times New Roman" w:cs="Times New Roman"/>
          <w:szCs w:val="24"/>
        </w:rPr>
        <w:t>E</w:t>
      </w:r>
      <w:r w:rsidRPr="00E12530">
        <w:rPr>
          <w:rFonts w:eastAsia="Times New Roman" w:cs="Times New Roman"/>
          <w:szCs w:val="24"/>
        </w:rPr>
        <w:t xml:space="preserve">d.), </w:t>
      </w:r>
      <w:r w:rsidRPr="00E12530">
        <w:rPr>
          <w:rFonts w:eastAsia="Times New Roman" w:cs="Times New Roman"/>
          <w:i/>
          <w:iCs/>
          <w:szCs w:val="24"/>
        </w:rPr>
        <w:t>Mutualism</w:t>
      </w:r>
      <w:r w:rsidR="00413CF3">
        <w:rPr>
          <w:rFonts w:eastAsia="Times New Roman" w:cs="Times New Roman"/>
          <w:i/>
          <w:iCs/>
          <w:szCs w:val="24"/>
        </w:rPr>
        <w:t xml:space="preserve"> </w:t>
      </w:r>
      <w:r w:rsidR="00413CF3" w:rsidRPr="00413CF3">
        <w:rPr>
          <w:rFonts w:eastAsia="Times New Roman" w:cs="Times New Roman"/>
          <w:szCs w:val="24"/>
        </w:rPr>
        <w:t>(pp. 1-2)</w:t>
      </w:r>
      <w:r w:rsidRPr="00E12530">
        <w:rPr>
          <w:rFonts w:eastAsia="Times New Roman" w:cs="Times New Roman"/>
          <w:i/>
          <w:iCs/>
          <w:szCs w:val="24"/>
        </w:rPr>
        <w:t>.</w:t>
      </w:r>
      <w:r w:rsidRPr="00E12530">
        <w:rPr>
          <w:rFonts w:eastAsia="Times New Roman" w:cs="Times New Roman"/>
          <w:szCs w:val="24"/>
        </w:rPr>
        <w:t xml:space="preserve"> Oxford University Press</w:t>
      </w:r>
      <w:r w:rsidR="00413CF3">
        <w:rPr>
          <w:rFonts w:eastAsia="Times New Roman" w:cs="Times New Roman"/>
          <w:szCs w:val="24"/>
        </w:rPr>
        <w:t>.</w:t>
      </w:r>
    </w:p>
    <w:p w14:paraId="5DBEFB1A" w14:textId="5A232199" w:rsidR="003902AD" w:rsidRPr="00E12530" w:rsidRDefault="003902AD" w:rsidP="003902AD">
      <w:pPr>
        <w:ind w:left="567" w:hanging="567"/>
        <w:rPr>
          <w:rFonts w:eastAsia="Times New Roman" w:cs="Times New Roman"/>
          <w:szCs w:val="24"/>
        </w:rPr>
      </w:pPr>
      <w:r w:rsidRPr="00E12530">
        <w:rPr>
          <w:rFonts w:eastAsia="Times New Roman" w:cs="Times New Roman"/>
          <w:szCs w:val="24"/>
        </w:rPr>
        <w:t>Bronstein, J.L., Alarcón, R.</w:t>
      </w:r>
      <w:r w:rsidR="00FA7B5D">
        <w:rPr>
          <w:rFonts w:eastAsia="Times New Roman" w:cs="Times New Roman"/>
          <w:szCs w:val="24"/>
        </w:rPr>
        <w:t>,</w:t>
      </w:r>
      <w:r w:rsidRPr="00E12530">
        <w:rPr>
          <w:rFonts w:eastAsia="Times New Roman" w:cs="Times New Roman"/>
          <w:szCs w:val="24"/>
        </w:rPr>
        <w:t xml:space="preserve"> and Geber, M. (2006). The evolution of plant–insect mutualisms. </w:t>
      </w:r>
      <w:r w:rsidRPr="00E12530">
        <w:rPr>
          <w:rFonts w:eastAsia="Times New Roman" w:cs="Times New Roman"/>
          <w:i/>
          <w:iCs/>
          <w:szCs w:val="24"/>
        </w:rPr>
        <w:t>The New Phytologist</w:t>
      </w:r>
      <w:r w:rsidRPr="00E12530">
        <w:rPr>
          <w:rFonts w:eastAsia="Times New Roman" w:cs="Times New Roman"/>
          <w:szCs w:val="24"/>
        </w:rPr>
        <w:t xml:space="preserve">, </w:t>
      </w:r>
      <w:r w:rsidRPr="00E12530">
        <w:rPr>
          <w:rFonts w:eastAsia="Times New Roman" w:cs="Times New Roman"/>
          <w:i/>
          <w:iCs/>
          <w:szCs w:val="24"/>
        </w:rPr>
        <w:t>172</w:t>
      </w:r>
      <w:r w:rsidRPr="00E12530">
        <w:rPr>
          <w:rFonts w:eastAsia="Times New Roman" w:cs="Times New Roman"/>
          <w:szCs w:val="24"/>
        </w:rPr>
        <w:t>, 412–428.</w:t>
      </w:r>
    </w:p>
    <w:p w14:paraId="02B3F748" w14:textId="7E7142F8" w:rsidR="003902AD" w:rsidRPr="00E12530" w:rsidRDefault="003902AD" w:rsidP="003902AD">
      <w:pPr>
        <w:ind w:left="567" w:hanging="567"/>
        <w:rPr>
          <w:rFonts w:eastAsia="Times New Roman" w:cs="Times New Roman"/>
          <w:szCs w:val="24"/>
        </w:rPr>
      </w:pPr>
      <w:r w:rsidRPr="00E12530">
        <w:rPr>
          <w:rFonts w:eastAsia="Times New Roman" w:cs="Times New Roman"/>
          <w:szCs w:val="24"/>
        </w:rPr>
        <w:t>Chomicki, G.</w:t>
      </w:r>
      <w:r w:rsidR="00FA7B5D">
        <w:rPr>
          <w:rFonts w:eastAsia="Times New Roman" w:cs="Times New Roman"/>
          <w:szCs w:val="24"/>
        </w:rPr>
        <w:t>,</w:t>
      </w:r>
      <w:r w:rsidRPr="00E12530">
        <w:rPr>
          <w:rFonts w:eastAsia="Times New Roman" w:cs="Times New Roman"/>
          <w:szCs w:val="24"/>
        </w:rPr>
        <w:t xml:space="preserve"> and Renner, S.S. (2017). Partner abundance controls mutualism stability and the pace of morphological change over geologic time. </w:t>
      </w:r>
      <w:r w:rsidR="00413CF3" w:rsidRPr="00AD12B1">
        <w:rPr>
          <w:rFonts w:eastAsia="Times New Roman" w:cs="Times New Roman"/>
          <w:i/>
          <w:iCs/>
          <w:szCs w:val="24"/>
        </w:rPr>
        <w:t>Proceedings of the National Academy of Sciences of the United States of Americ</w:t>
      </w:r>
      <w:r w:rsidR="00413CF3">
        <w:rPr>
          <w:rFonts w:eastAsia="Times New Roman" w:cs="Times New Roman"/>
          <w:i/>
          <w:iCs/>
          <w:szCs w:val="24"/>
        </w:rPr>
        <w:t>a,</w:t>
      </w:r>
      <w:r w:rsidR="00413CF3" w:rsidRPr="00E12530">
        <w:rPr>
          <w:rFonts w:eastAsia="Times New Roman" w:cs="Times New Roman"/>
          <w:i/>
          <w:iCs/>
          <w:szCs w:val="24"/>
        </w:rPr>
        <w:t xml:space="preserve"> </w:t>
      </w:r>
      <w:r w:rsidRPr="00E12530">
        <w:rPr>
          <w:rFonts w:eastAsia="Times New Roman" w:cs="Times New Roman"/>
          <w:i/>
          <w:iCs/>
          <w:szCs w:val="24"/>
        </w:rPr>
        <w:t>114</w:t>
      </w:r>
      <w:r w:rsidRPr="00E12530">
        <w:rPr>
          <w:rFonts w:eastAsia="Times New Roman" w:cs="Times New Roman"/>
          <w:szCs w:val="24"/>
        </w:rPr>
        <w:t>, 3951–3956.</w:t>
      </w:r>
    </w:p>
    <w:p w14:paraId="4D2228AC" w14:textId="098775B6" w:rsidR="003902AD" w:rsidRPr="00E12530" w:rsidRDefault="003902AD" w:rsidP="003902AD">
      <w:pPr>
        <w:ind w:left="567" w:hanging="567"/>
        <w:rPr>
          <w:rFonts w:eastAsia="Times New Roman" w:cs="Times New Roman"/>
          <w:szCs w:val="24"/>
        </w:rPr>
      </w:pPr>
      <w:r w:rsidRPr="00E12530">
        <w:rPr>
          <w:rFonts w:eastAsia="Times New Roman" w:cs="Times New Roman"/>
          <w:szCs w:val="24"/>
        </w:rPr>
        <w:t>Chomicki, G.</w:t>
      </w:r>
      <w:r w:rsidR="00E045F7">
        <w:rPr>
          <w:rFonts w:eastAsia="Times New Roman" w:cs="Times New Roman"/>
          <w:szCs w:val="24"/>
        </w:rPr>
        <w:t>,</w:t>
      </w:r>
      <w:r w:rsidRPr="00E12530">
        <w:rPr>
          <w:rFonts w:eastAsia="Times New Roman" w:cs="Times New Roman"/>
          <w:szCs w:val="24"/>
        </w:rPr>
        <w:t xml:space="preserve"> and Renner, S.S. (2019). Phylogenetics and molecular clocks reveal the repeated evolution of ant-plants after the late Miocene. </w:t>
      </w:r>
      <w:r w:rsidR="00413CF3" w:rsidRPr="00AD12B1">
        <w:rPr>
          <w:rFonts w:eastAsia="Times New Roman" w:cs="Times New Roman"/>
          <w:i/>
          <w:iCs/>
          <w:szCs w:val="24"/>
        </w:rPr>
        <w:t>Proceedings of the National Academy of Sciences of the United States of Americ</w:t>
      </w:r>
      <w:r w:rsidR="00413CF3">
        <w:rPr>
          <w:rFonts w:eastAsia="Times New Roman" w:cs="Times New Roman"/>
          <w:i/>
          <w:iCs/>
          <w:szCs w:val="24"/>
        </w:rPr>
        <w:t>a</w:t>
      </w:r>
      <w:r w:rsidRPr="00E12530">
        <w:rPr>
          <w:rFonts w:eastAsia="Times New Roman" w:cs="Times New Roman"/>
          <w:i/>
          <w:iCs/>
          <w:szCs w:val="24"/>
        </w:rPr>
        <w:t>,</w:t>
      </w:r>
      <w:r w:rsidRPr="00E12530">
        <w:rPr>
          <w:rFonts w:eastAsia="Times New Roman" w:cs="Times New Roman"/>
          <w:szCs w:val="24"/>
        </w:rPr>
        <w:t xml:space="preserve"> </w:t>
      </w:r>
      <w:r w:rsidRPr="00E12530">
        <w:rPr>
          <w:rFonts w:eastAsia="Times New Roman" w:cs="Times New Roman"/>
          <w:i/>
          <w:iCs/>
          <w:szCs w:val="24"/>
        </w:rPr>
        <w:t>116</w:t>
      </w:r>
      <w:r w:rsidRPr="00E12530">
        <w:rPr>
          <w:rFonts w:eastAsia="Times New Roman" w:cs="Times New Roman"/>
          <w:szCs w:val="24"/>
        </w:rPr>
        <w:t>, 998–1003.</w:t>
      </w:r>
    </w:p>
    <w:p w14:paraId="327F2C13" w14:textId="4DE9484C" w:rsidR="003902AD" w:rsidRPr="00E12530" w:rsidRDefault="003902AD" w:rsidP="003902AD">
      <w:pPr>
        <w:ind w:left="567" w:hanging="567"/>
        <w:rPr>
          <w:rFonts w:eastAsia="Times New Roman" w:cs="Times New Roman"/>
          <w:szCs w:val="24"/>
        </w:rPr>
      </w:pPr>
      <w:r w:rsidRPr="00E12530">
        <w:rPr>
          <w:rFonts w:eastAsia="Times New Roman" w:cs="Times New Roman"/>
          <w:szCs w:val="24"/>
        </w:rPr>
        <w:t>Chomicki, G., Walker-Hale, N., Etchells, J.P., Ritter, E.J.</w:t>
      </w:r>
      <w:r w:rsidR="00E045F7">
        <w:rPr>
          <w:rFonts w:eastAsia="Times New Roman" w:cs="Times New Roman"/>
          <w:szCs w:val="24"/>
        </w:rPr>
        <w:t>,</w:t>
      </w:r>
      <w:r w:rsidRPr="00E12530">
        <w:rPr>
          <w:rFonts w:eastAsia="Times New Roman" w:cs="Times New Roman"/>
          <w:szCs w:val="24"/>
        </w:rPr>
        <w:t xml:space="preserve"> and Weber, M.G. (2024). Diversity and development of domatia: Symbiotic plant structures to host mutualistic ants or mites. </w:t>
      </w:r>
      <w:r w:rsidRPr="00E12530">
        <w:rPr>
          <w:rFonts w:eastAsia="Times New Roman" w:cs="Times New Roman"/>
          <w:i/>
          <w:iCs/>
          <w:szCs w:val="24"/>
        </w:rPr>
        <w:t>Current opinion in plant biology</w:t>
      </w:r>
      <w:r w:rsidRPr="00E12530">
        <w:rPr>
          <w:rFonts w:eastAsia="Times New Roman" w:cs="Times New Roman"/>
          <w:szCs w:val="24"/>
        </w:rPr>
        <w:t>, </w:t>
      </w:r>
      <w:r w:rsidRPr="00E12530">
        <w:rPr>
          <w:rFonts w:eastAsia="Times New Roman" w:cs="Times New Roman"/>
          <w:i/>
          <w:iCs/>
          <w:szCs w:val="24"/>
        </w:rPr>
        <w:t>82</w:t>
      </w:r>
      <w:r w:rsidRPr="00E12530">
        <w:rPr>
          <w:rFonts w:eastAsia="Times New Roman" w:cs="Times New Roman"/>
          <w:szCs w:val="24"/>
        </w:rPr>
        <w:t xml:space="preserve">, 102647. </w:t>
      </w:r>
    </w:p>
    <w:p w14:paraId="53CA9A5C" w14:textId="533197C1" w:rsidR="003902AD" w:rsidRPr="00E12530" w:rsidRDefault="003902AD" w:rsidP="003902AD">
      <w:pPr>
        <w:ind w:left="567" w:hanging="567"/>
        <w:rPr>
          <w:rFonts w:eastAsia="Times New Roman" w:cs="Times New Roman"/>
          <w:szCs w:val="24"/>
        </w:rPr>
      </w:pPr>
      <w:r w:rsidRPr="00E12530">
        <w:rPr>
          <w:rFonts w:eastAsia="Times New Roman" w:cs="Times New Roman"/>
          <w:szCs w:val="24"/>
        </w:rPr>
        <w:t>Douglas, A.E. (2015)</w:t>
      </w:r>
      <w:r w:rsidR="0059048A">
        <w:rPr>
          <w:rFonts w:eastAsia="Times New Roman" w:cs="Times New Roman"/>
          <w:szCs w:val="24"/>
        </w:rPr>
        <w:t>.</w:t>
      </w:r>
      <w:r w:rsidRPr="00E12530">
        <w:rPr>
          <w:rFonts w:eastAsia="Times New Roman" w:cs="Times New Roman"/>
          <w:szCs w:val="24"/>
        </w:rPr>
        <w:t xml:space="preserve"> </w:t>
      </w:r>
      <w:r w:rsidRPr="0059048A">
        <w:rPr>
          <w:rFonts w:eastAsia="Times New Roman" w:cs="Times New Roman"/>
          <w:i/>
          <w:iCs/>
          <w:szCs w:val="24"/>
        </w:rPr>
        <w:t>The Symbiotic Habit</w:t>
      </w:r>
      <w:r w:rsidRPr="00E12530">
        <w:rPr>
          <w:rFonts w:eastAsia="Times New Roman" w:cs="Times New Roman"/>
          <w:szCs w:val="24"/>
        </w:rPr>
        <w:t>. Princeton University Press.</w:t>
      </w:r>
    </w:p>
    <w:p w14:paraId="1E90A3E0" w14:textId="438E874C" w:rsidR="003902AD" w:rsidRPr="00E12530" w:rsidRDefault="003902AD" w:rsidP="003902AD">
      <w:pPr>
        <w:ind w:left="567" w:hanging="567"/>
        <w:rPr>
          <w:rFonts w:eastAsia="Times New Roman" w:cs="Times New Roman"/>
          <w:szCs w:val="24"/>
        </w:rPr>
      </w:pPr>
      <w:r w:rsidRPr="00E12530">
        <w:rPr>
          <w:rFonts w:eastAsia="Times New Roman" w:cs="Times New Roman"/>
          <w:szCs w:val="24"/>
        </w:rPr>
        <w:t>Fisher, R.M., Henry, L.M., Cornwallis, C.K., Kiers, E.T.</w:t>
      </w:r>
      <w:r w:rsidR="00E045F7">
        <w:rPr>
          <w:rFonts w:eastAsia="Times New Roman" w:cs="Times New Roman"/>
          <w:szCs w:val="24"/>
        </w:rPr>
        <w:t>,</w:t>
      </w:r>
      <w:r w:rsidRPr="00E12530">
        <w:rPr>
          <w:rFonts w:eastAsia="Times New Roman" w:cs="Times New Roman"/>
          <w:szCs w:val="24"/>
        </w:rPr>
        <w:t xml:space="preserve"> and West, S.A. (2017). The evolution of host–symbiont dependence. </w:t>
      </w:r>
      <w:r w:rsidRPr="00E12530">
        <w:rPr>
          <w:rFonts w:eastAsia="Times New Roman" w:cs="Times New Roman"/>
          <w:i/>
          <w:iCs/>
          <w:szCs w:val="24"/>
        </w:rPr>
        <w:t>Nature Communications</w:t>
      </w:r>
      <w:r w:rsidRPr="00E12530">
        <w:rPr>
          <w:rFonts w:eastAsia="Times New Roman" w:cs="Times New Roman"/>
          <w:szCs w:val="24"/>
        </w:rPr>
        <w:t xml:space="preserve">, </w:t>
      </w:r>
      <w:r w:rsidRPr="00E12530">
        <w:rPr>
          <w:rFonts w:eastAsia="Times New Roman" w:cs="Times New Roman"/>
          <w:i/>
          <w:iCs/>
          <w:szCs w:val="24"/>
        </w:rPr>
        <w:t>8</w:t>
      </w:r>
      <w:r w:rsidRPr="00E12530">
        <w:rPr>
          <w:rFonts w:eastAsia="Times New Roman" w:cs="Times New Roman"/>
          <w:szCs w:val="24"/>
        </w:rPr>
        <w:t>, 15973.</w:t>
      </w:r>
    </w:p>
    <w:p w14:paraId="2DEB83CB" w14:textId="4C35B5DC" w:rsidR="003902AD" w:rsidRPr="00E12530" w:rsidRDefault="003902AD" w:rsidP="003902AD">
      <w:pPr>
        <w:ind w:left="567" w:hanging="567"/>
        <w:rPr>
          <w:rFonts w:eastAsia="Times New Roman" w:cs="Times New Roman"/>
          <w:szCs w:val="24"/>
        </w:rPr>
      </w:pPr>
      <w:proofErr w:type="spellStart"/>
      <w:r w:rsidRPr="00E12530">
        <w:rPr>
          <w:rFonts w:eastAsia="Times New Roman" w:cs="Times New Roman"/>
          <w:szCs w:val="24"/>
        </w:rPr>
        <w:t>Fukatsu</w:t>
      </w:r>
      <w:proofErr w:type="spellEnd"/>
      <w:r w:rsidRPr="00E12530">
        <w:rPr>
          <w:rFonts w:eastAsia="Times New Roman" w:cs="Times New Roman"/>
          <w:szCs w:val="24"/>
        </w:rPr>
        <w:t>, T.</w:t>
      </w:r>
      <w:r w:rsidR="00E045F7">
        <w:rPr>
          <w:rFonts w:eastAsia="Times New Roman" w:cs="Times New Roman"/>
          <w:szCs w:val="24"/>
        </w:rPr>
        <w:t>,</w:t>
      </w:r>
      <w:r w:rsidRPr="00E12530">
        <w:rPr>
          <w:rFonts w:eastAsia="Times New Roman" w:cs="Times New Roman"/>
          <w:szCs w:val="24"/>
        </w:rPr>
        <w:t xml:space="preserve"> and Ishikawa, H. (1996). Phylogenetic position of bacterial endosymbionts of aphids and other insects. </w:t>
      </w:r>
      <w:r w:rsidRPr="00E12530">
        <w:rPr>
          <w:rFonts w:eastAsia="Times New Roman" w:cs="Times New Roman"/>
          <w:i/>
          <w:iCs/>
          <w:szCs w:val="24"/>
        </w:rPr>
        <w:t>Applied and Environmental Microbiology</w:t>
      </w:r>
      <w:r w:rsidRPr="00E12530">
        <w:rPr>
          <w:rFonts w:eastAsia="Times New Roman" w:cs="Times New Roman"/>
          <w:szCs w:val="24"/>
        </w:rPr>
        <w:t xml:space="preserve">, </w:t>
      </w:r>
      <w:r w:rsidRPr="00E12530">
        <w:rPr>
          <w:rFonts w:eastAsia="Times New Roman" w:cs="Times New Roman"/>
          <w:i/>
          <w:iCs/>
          <w:szCs w:val="24"/>
        </w:rPr>
        <w:t>62</w:t>
      </w:r>
      <w:r w:rsidRPr="00E12530">
        <w:rPr>
          <w:rFonts w:eastAsia="Times New Roman" w:cs="Times New Roman"/>
          <w:szCs w:val="24"/>
        </w:rPr>
        <w:t>, 1561–1566.</w:t>
      </w:r>
    </w:p>
    <w:p w14:paraId="3F2BDE29" w14:textId="463A78B6" w:rsidR="003902AD" w:rsidRPr="00E12530" w:rsidRDefault="003902AD" w:rsidP="003902AD">
      <w:pPr>
        <w:ind w:left="567" w:hanging="567"/>
        <w:rPr>
          <w:rFonts w:eastAsia="Times New Roman" w:cs="Times New Roman"/>
          <w:szCs w:val="24"/>
        </w:rPr>
      </w:pPr>
      <w:r w:rsidRPr="00E12530">
        <w:rPr>
          <w:rFonts w:eastAsia="Times New Roman" w:cs="Times New Roman"/>
          <w:szCs w:val="24"/>
        </w:rPr>
        <w:t>Glynne, M.D.</w:t>
      </w:r>
      <w:r w:rsidR="00E045F7">
        <w:rPr>
          <w:rFonts w:eastAsia="Times New Roman" w:cs="Times New Roman"/>
          <w:szCs w:val="24"/>
        </w:rPr>
        <w:t>,</w:t>
      </w:r>
      <w:r w:rsidRPr="00E12530">
        <w:rPr>
          <w:rFonts w:eastAsia="Times New Roman" w:cs="Times New Roman"/>
          <w:szCs w:val="24"/>
        </w:rPr>
        <w:t xml:space="preserve"> and Jackson, W. (1919). Storage functions of tuberous plant organs. </w:t>
      </w:r>
      <w:r w:rsidRPr="00E12530">
        <w:rPr>
          <w:rFonts w:eastAsia="Times New Roman" w:cs="Times New Roman"/>
          <w:i/>
          <w:iCs/>
          <w:szCs w:val="24"/>
        </w:rPr>
        <w:t>Annals of Botany Plants</w:t>
      </w:r>
      <w:r w:rsidRPr="00E12530">
        <w:rPr>
          <w:rFonts w:eastAsia="Times New Roman" w:cs="Times New Roman"/>
          <w:szCs w:val="24"/>
        </w:rPr>
        <w:t xml:space="preserve">, </w:t>
      </w:r>
      <w:r w:rsidRPr="00E12530">
        <w:rPr>
          <w:rFonts w:eastAsia="Times New Roman" w:cs="Times New Roman"/>
          <w:i/>
          <w:iCs/>
          <w:szCs w:val="24"/>
        </w:rPr>
        <w:t>33</w:t>
      </w:r>
      <w:r w:rsidRPr="00E12530">
        <w:rPr>
          <w:rFonts w:eastAsia="Times New Roman" w:cs="Times New Roman"/>
          <w:szCs w:val="24"/>
        </w:rPr>
        <w:t>, 321–339.</w:t>
      </w:r>
    </w:p>
    <w:p w14:paraId="10F69574" w14:textId="7DBFE829" w:rsidR="003902AD" w:rsidRPr="00E12530" w:rsidRDefault="003902AD" w:rsidP="003902AD">
      <w:pPr>
        <w:ind w:left="567" w:hanging="567"/>
        <w:rPr>
          <w:rFonts w:eastAsia="Times New Roman" w:cs="Times New Roman"/>
          <w:szCs w:val="24"/>
        </w:rPr>
      </w:pPr>
      <w:r w:rsidRPr="00E12530">
        <w:rPr>
          <w:rFonts w:eastAsia="Times New Roman" w:cs="Times New Roman"/>
          <w:szCs w:val="24"/>
        </w:rPr>
        <w:lastRenderedPageBreak/>
        <w:t>Hale, R.</w:t>
      </w:r>
      <w:r w:rsidR="00E045F7">
        <w:rPr>
          <w:rFonts w:eastAsia="Times New Roman" w:cs="Times New Roman"/>
          <w:szCs w:val="24"/>
        </w:rPr>
        <w:t>,</w:t>
      </w:r>
      <w:r w:rsidRPr="00E12530">
        <w:rPr>
          <w:rFonts w:eastAsia="Times New Roman" w:cs="Times New Roman"/>
          <w:szCs w:val="24"/>
        </w:rPr>
        <w:t xml:space="preserve"> and Valdovinos, F.S. (2021). Mutualism: Ecological theory and network dynamics. </w:t>
      </w:r>
      <w:r w:rsidRPr="00E12530">
        <w:rPr>
          <w:rFonts w:eastAsia="Times New Roman" w:cs="Times New Roman"/>
          <w:i/>
          <w:iCs/>
          <w:szCs w:val="24"/>
        </w:rPr>
        <w:t>Trends in Ecology and Evolution</w:t>
      </w:r>
      <w:r w:rsidRPr="00E12530">
        <w:rPr>
          <w:rFonts w:eastAsia="Times New Roman" w:cs="Times New Roman"/>
          <w:szCs w:val="24"/>
        </w:rPr>
        <w:t xml:space="preserve">, </w:t>
      </w:r>
      <w:r w:rsidRPr="00E12530">
        <w:rPr>
          <w:rFonts w:eastAsia="Times New Roman" w:cs="Times New Roman"/>
          <w:i/>
          <w:iCs/>
          <w:szCs w:val="24"/>
        </w:rPr>
        <w:t>36</w:t>
      </w:r>
      <w:r w:rsidRPr="00E12530">
        <w:rPr>
          <w:rFonts w:eastAsia="Times New Roman" w:cs="Times New Roman"/>
          <w:szCs w:val="24"/>
        </w:rPr>
        <w:t>, 421–432.</w:t>
      </w:r>
    </w:p>
    <w:p w14:paraId="5ED02C5A" w14:textId="77777777" w:rsidR="003902AD" w:rsidRPr="00E12530" w:rsidRDefault="003902AD" w:rsidP="003902AD">
      <w:pPr>
        <w:ind w:left="567" w:hanging="567"/>
        <w:rPr>
          <w:rFonts w:eastAsia="Times New Roman" w:cs="Times New Roman"/>
          <w:szCs w:val="24"/>
        </w:rPr>
      </w:pPr>
      <w:r w:rsidRPr="00E12530">
        <w:rPr>
          <w:rFonts w:eastAsia="Times New Roman" w:cs="Times New Roman"/>
          <w:szCs w:val="24"/>
        </w:rPr>
        <w:t xml:space="preserve">Huxley, C. R. (1978). The ant–plant mutualism in tropical rain forests. </w:t>
      </w:r>
      <w:r w:rsidRPr="00E12530">
        <w:rPr>
          <w:rFonts w:eastAsia="Times New Roman" w:cs="Times New Roman"/>
          <w:i/>
          <w:iCs/>
          <w:szCs w:val="24"/>
        </w:rPr>
        <w:t>Biological Reviews</w:t>
      </w:r>
      <w:r w:rsidRPr="00E12530">
        <w:rPr>
          <w:rFonts w:eastAsia="Times New Roman" w:cs="Times New Roman"/>
          <w:szCs w:val="24"/>
        </w:rPr>
        <w:t xml:space="preserve">, </w:t>
      </w:r>
      <w:r w:rsidRPr="00E12530">
        <w:rPr>
          <w:rFonts w:eastAsia="Times New Roman" w:cs="Times New Roman"/>
          <w:i/>
          <w:iCs/>
          <w:szCs w:val="24"/>
        </w:rPr>
        <w:t>53</w:t>
      </w:r>
      <w:r w:rsidRPr="00E12530">
        <w:rPr>
          <w:rFonts w:eastAsia="Times New Roman" w:cs="Times New Roman"/>
          <w:szCs w:val="24"/>
        </w:rPr>
        <w:t>, 321–340.</w:t>
      </w:r>
    </w:p>
    <w:p w14:paraId="73424EC9" w14:textId="4A9BC985" w:rsidR="003902AD" w:rsidRPr="00E12530" w:rsidRDefault="003902AD" w:rsidP="003902AD">
      <w:pPr>
        <w:ind w:left="567" w:hanging="567"/>
        <w:rPr>
          <w:rFonts w:eastAsia="Times New Roman" w:cs="Times New Roman"/>
          <w:szCs w:val="24"/>
        </w:rPr>
      </w:pPr>
      <w:r w:rsidRPr="00E12530">
        <w:rPr>
          <w:rFonts w:eastAsia="Times New Roman" w:cs="Times New Roman"/>
          <w:szCs w:val="24"/>
        </w:rPr>
        <w:t>Janzen, D.H. (1985). The natural history of mutualisms. In</w:t>
      </w:r>
      <w:r w:rsidR="00C7678C">
        <w:rPr>
          <w:rFonts w:eastAsia="Times New Roman" w:cs="Times New Roman"/>
          <w:szCs w:val="24"/>
        </w:rPr>
        <w:t xml:space="preserve"> D.H. Boucher (Ed.),</w:t>
      </w:r>
      <w:r w:rsidRPr="00E12530">
        <w:rPr>
          <w:rFonts w:eastAsia="Times New Roman" w:cs="Times New Roman"/>
          <w:szCs w:val="24"/>
        </w:rPr>
        <w:t xml:space="preserve"> </w:t>
      </w:r>
      <w:r w:rsidRPr="00E12530">
        <w:rPr>
          <w:rFonts w:eastAsia="Times New Roman" w:cs="Times New Roman"/>
          <w:i/>
          <w:iCs/>
          <w:szCs w:val="24"/>
        </w:rPr>
        <w:t>The Biology of Mutualism</w:t>
      </w:r>
      <w:r w:rsidR="00C7678C">
        <w:rPr>
          <w:rFonts w:eastAsia="Times New Roman" w:cs="Times New Roman"/>
          <w:szCs w:val="24"/>
        </w:rPr>
        <w:t xml:space="preserve"> (pp. 40-99).</w:t>
      </w:r>
      <w:r w:rsidRPr="00E12530">
        <w:rPr>
          <w:rFonts w:eastAsia="Times New Roman" w:cs="Times New Roman"/>
          <w:szCs w:val="24"/>
        </w:rPr>
        <w:t xml:space="preserve">  Oxford University Press</w:t>
      </w:r>
      <w:r w:rsidR="00C7678C">
        <w:rPr>
          <w:rFonts w:eastAsia="Times New Roman" w:cs="Times New Roman"/>
          <w:szCs w:val="24"/>
        </w:rPr>
        <w:t>.</w:t>
      </w:r>
    </w:p>
    <w:p w14:paraId="51D569E8" w14:textId="77777777" w:rsidR="003902AD" w:rsidRPr="00E12530" w:rsidRDefault="003902AD" w:rsidP="003902AD">
      <w:pPr>
        <w:ind w:left="567" w:hanging="567"/>
        <w:rPr>
          <w:rFonts w:eastAsia="Times New Roman" w:cs="Times New Roman"/>
          <w:szCs w:val="24"/>
        </w:rPr>
      </w:pPr>
      <w:r w:rsidRPr="00E12530">
        <w:rPr>
          <w:rFonts w:eastAsia="Times New Roman" w:cs="Times New Roman"/>
          <w:szCs w:val="24"/>
        </w:rPr>
        <w:t xml:space="preserve">Jebb, M.H.P. (1991). An account of the </w:t>
      </w:r>
      <w:proofErr w:type="spellStart"/>
      <w:r w:rsidRPr="00E12530">
        <w:rPr>
          <w:rFonts w:eastAsia="Times New Roman" w:cs="Times New Roman"/>
          <w:szCs w:val="24"/>
        </w:rPr>
        <w:t>Rubiaceae</w:t>
      </w:r>
      <w:proofErr w:type="spellEnd"/>
      <w:r w:rsidRPr="00E12530">
        <w:rPr>
          <w:rFonts w:eastAsia="Times New Roman" w:cs="Times New Roman"/>
          <w:szCs w:val="24"/>
        </w:rPr>
        <w:t xml:space="preserve"> of the </w:t>
      </w:r>
      <w:proofErr w:type="spellStart"/>
      <w:r w:rsidRPr="00E12530">
        <w:rPr>
          <w:rFonts w:eastAsia="Times New Roman" w:cs="Times New Roman"/>
          <w:szCs w:val="24"/>
        </w:rPr>
        <w:t>Hydnophytinae</w:t>
      </w:r>
      <w:proofErr w:type="spellEnd"/>
      <w:r w:rsidRPr="00E12530">
        <w:rPr>
          <w:rFonts w:eastAsia="Times New Roman" w:cs="Times New Roman"/>
          <w:szCs w:val="24"/>
        </w:rPr>
        <w:t xml:space="preserve">. </w:t>
      </w:r>
      <w:proofErr w:type="spellStart"/>
      <w:r w:rsidRPr="00E12530">
        <w:rPr>
          <w:rFonts w:eastAsia="Times New Roman" w:cs="Times New Roman"/>
          <w:i/>
          <w:iCs/>
          <w:szCs w:val="24"/>
        </w:rPr>
        <w:t>Blumea</w:t>
      </w:r>
      <w:proofErr w:type="spellEnd"/>
      <w:r w:rsidRPr="00E12530">
        <w:rPr>
          <w:rFonts w:eastAsia="Times New Roman" w:cs="Times New Roman"/>
          <w:szCs w:val="24"/>
        </w:rPr>
        <w:t xml:space="preserve">, </w:t>
      </w:r>
      <w:r w:rsidRPr="00E12530">
        <w:rPr>
          <w:rFonts w:eastAsia="Times New Roman" w:cs="Times New Roman"/>
          <w:i/>
          <w:iCs/>
          <w:szCs w:val="24"/>
        </w:rPr>
        <w:t>36</w:t>
      </w:r>
      <w:r w:rsidRPr="00E12530">
        <w:rPr>
          <w:rFonts w:eastAsia="Times New Roman" w:cs="Times New Roman"/>
          <w:szCs w:val="24"/>
        </w:rPr>
        <w:t>, 1–61.</w:t>
      </w:r>
    </w:p>
    <w:p w14:paraId="034CD0E9" w14:textId="4BEDD2E1" w:rsidR="003902AD" w:rsidRPr="00E12530" w:rsidRDefault="003902AD" w:rsidP="003902AD">
      <w:pPr>
        <w:ind w:left="567" w:hanging="567"/>
        <w:rPr>
          <w:rFonts w:eastAsia="Times New Roman" w:cs="Times New Roman"/>
          <w:szCs w:val="24"/>
        </w:rPr>
      </w:pPr>
      <w:r w:rsidRPr="00E12530">
        <w:rPr>
          <w:rFonts w:eastAsia="Times New Roman" w:cs="Times New Roman"/>
          <w:szCs w:val="24"/>
        </w:rPr>
        <w:t>Karban, R.</w:t>
      </w:r>
      <w:r w:rsidR="00E045F7">
        <w:rPr>
          <w:rFonts w:eastAsia="Times New Roman" w:cs="Times New Roman"/>
          <w:szCs w:val="24"/>
        </w:rPr>
        <w:t>,</w:t>
      </w:r>
      <w:r w:rsidRPr="00E12530">
        <w:rPr>
          <w:rFonts w:eastAsia="Times New Roman" w:cs="Times New Roman"/>
          <w:szCs w:val="24"/>
        </w:rPr>
        <w:t xml:space="preserve"> and Baldwin, I.T. (2007). </w:t>
      </w:r>
      <w:r w:rsidRPr="00C85502">
        <w:rPr>
          <w:rFonts w:eastAsia="Times New Roman" w:cs="Times New Roman"/>
          <w:i/>
          <w:iCs/>
          <w:szCs w:val="24"/>
        </w:rPr>
        <w:t>Induced responses to herbivory</w:t>
      </w:r>
      <w:r w:rsidRPr="00E12530">
        <w:rPr>
          <w:rFonts w:eastAsia="Times New Roman" w:cs="Times New Roman"/>
          <w:szCs w:val="24"/>
        </w:rPr>
        <w:t>. University of Chicago Press.</w:t>
      </w:r>
    </w:p>
    <w:p w14:paraId="34F73623" w14:textId="77777777" w:rsidR="003902AD" w:rsidRPr="00E12530" w:rsidRDefault="003902AD" w:rsidP="003902AD">
      <w:pPr>
        <w:ind w:left="567" w:hanging="567"/>
        <w:rPr>
          <w:rFonts w:eastAsia="Times New Roman" w:cs="Times New Roman"/>
          <w:szCs w:val="24"/>
        </w:rPr>
      </w:pPr>
      <w:r w:rsidRPr="00E12530">
        <w:rPr>
          <w:rFonts w:eastAsia="Times New Roman" w:cs="Times New Roman"/>
          <w:szCs w:val="24"/>
        </w:rPr>
        <w:t xml:space="preserve">Karban, R. (2011). The ecology and evolution of induced resistance against herbivores. </w:t>
      </w:r>
      <w:r w:rsidRPr="00E12530">
        <w:rPr>
          <w:rFonts w:eastAsia="Times New Roman" w:cs="Times New Roman"/>
          <w:i/>
          <w:iCs/>
          <w:szCs w:val="24"/>
        </w:rPr>
        <w:t>Functional Ecology, 25</w:t>
      </w:r>
      <w:r w:rsidRPr="00E12530">
        <w:rPr>
          <w:rFonts w:eastAsia="Times New Roman" w:cs="Times New Roman"/>
          <w:szCs w:val="24"/>
        </w:rPr>
        <w:t>(2), 339-347.</w:t>
      </w:r>
    </w:p>
    <w:p w14:paraId="0AE4BF1A" w14:textId="2A77AB27" w:rsidR="003902AD" w:rsidRPr="00E12530" w:rsidRDefault="003902AD" w:rsidP="003902AD">
      <w:pPr>
        <w:ind w:left="567" w:hanging="567"/>
        <w:rPr>
          <w:rFonts w:eastAsia="Times New Roman" w:cs="Times New Roman"/>
          <w:szCs w:val="24"/>
        </w:rPr>
      </w:pPr>
      <w:r w:rsidRPr="00E12530">
        <w:rPr>
          <w:rFonts w:eastAsia="Times New Roman" w:cs="Times New Roman"/>
          <w:szCs w:val="24"/>
        </w:rPr>
        <w:t>McCutcheon, J.P., Boyd, B.M.</w:t>
      </w:r>
      <w:r w:rsidR="00E045F7">
        <w:rPr>
          <w:rFonts w:eastAsia="Times New Roman" w:cs="Times New Roman"/>
          <w:szCs w:val="24"/>
        </w:rPr>
        <w:t>,</w:t>
      </w:r>
      <w:r w:rsidRPr="00E12530">
        <w:rPr>
          <w:rFonts w:eastAsia="Times New Roman" w:cs="Times New Roman"/>
          <w:szCs w:val="24"/>
        </w:rPr>
        <w:t xml:space="preserve"> and Dale, C. (2019). The life of an insect endosymbiont from the cradle to the grave. </w:t>
      </w:r>
      <w:r w:rsidRPr="00E12530">
        <w:rPr>
          <w:rFonts w:eastAsia="Times New Roman" w:cs="Times New Roman"/>
          <w:i/>
          <w:iCs/>
          <w:szCs w:val="24"/>
        </w:rPr>
        <w:t>Current Biology</w:t>
      </w:r>
      <w:r w:rsidRPr="00E12530">
        <w:rPr>
          <w:rFonts w:eastAsia="Times New Roman" w:cs="Times New Roman"/>
          <w:szCs w:val="24"/>
        </w:rPr>
        <w:t xml:space="preserve">, </w:t>
      </w:r>
      <w:r w:rsidRPr="00E12530">
        <w:rPr>
          <w:rFonts w:eastAsia="Times New Roman" w:cs="Times New Roman"/>
          <w:i/>
          <w:iCs/>
          <w:szCs w:val="24"/>
        </w:rPr>
        <w:t>29</w:t>
      </w:r>
      <w:r w:rsidRPr="00E12530">
        <w:rPr>
          <w:rFonts w:eastAsia="Times New Roman" w:cs="Times New Roman"/>
          <w:szCs w:val="24"/>
        </w:rPr>
        <w:t>, R485–R495.</w:t>
      </w:r>
    </w:p>
    <w:p w14:paraId="0483FF86" w14:textId="77777777" w:rsidR="003902AD" w:rsidRPr="00E12530" w:rsidRDefault="003902AD" w:rsidP="003902AD">
      <w:pPr>
        <w:ind w:left="567" w:hanging="567"/>
        <w:rPr>
          <w:rFonts w:eastAsia="Times New Roman" w:cs="Times New Roman"/>
          <w:szCs w:val="24"/>
        </w:rPr>
      </w:pPr>
      <w:r w:rsidRPr="00E12530">
        <w:rPr>
          <w:rFonts w:eastAsia="Times New Roman" w:cs="Times New Roman"/>
          <w:szCs w:val="24"/>
        </w:rPr>
        <w:t xml:space="preserve">Miehe, H. (1911). </w:t>
      </w:r>
      <w:proofErr w:type="spellStart"/>
      <w:r w:rsidRPr="00E12530">
        <w:rPr>
          <w:rFonts w:eastAsia="Times New Roman" w:cs="Times New Roman"/>
          <w:szCs w:val="24"/>
        </w:rPr>
        <w:t>Untersuchungen</w:t>
      </w:r>
      <w:proofErr w:type="spellEnd"/>
      <w:r w:rsidRPr="00E12530">
        <w:rPr>
          <w:rFonts w:eastAsia="Times New Roman" w:cs="Times New Roman"/>
          <w:szCs w:val="24"/>
        </w:rPr>
        <w:t xml:space="preserve"> </w:t>
      </w:r>
      <w:proofErr w:type="spellStart"/>
      <w:r w:rsidRPr="00E12530">
        <w:rPr>
          <w:rFonts w:eastAsia="Times New Roman" w:cs="Times New Roman"/>
          <w:szCs w:val="24"/>
        </w:rPr>
        <w:t>über</w:t>
      </w:r>
      <w:proofErr w:type="spellEnd"/>
      <w:r w:rsidRPr="00E12530">
        <w:rPr>
          <w:rFonts w:eastAsia="Times New Roman" w:cs="Times New Roman"/>
          <w:szCs w:val="24"/>
        </w:rPr>
        <w:t xml:space="preserve"> </w:t>
      </w:r>
      <w:proofErr w:type="spellStart"/>
      <w:r w:rsidRPr="00E12530">
        <w:rPr>
          <w:rFonts w:eastAsia="Times New Roman" w:cs="Times New Roman"/>
          <w:szCs w:val="24"/>
        </w:rPr>
        <w:t>Ameisenpflanzen</w:t>
      </w:r>
      <w:proofErr w:type="spellEnd"/>
      <w:r w:rsidRPr="00E12530">
        <w:rPr>
          <w:rFonts w:eastAsia="Times New Roman" w:cs="Times New Roman"/>
          <w:szCs w:val="24"/>
        </w:rPr>
        <w:t xml:space="preserve">. </w:t>
      </w:r>
      <w:proofErr w:type="spellStart"/>
      <w:r w:rsidRPr="00E12530">
        <w:rPr>
          <w:rFonts w:eastAsia="Times New Roman" w:cs="Times New Roman"/>
          <w:i/>
          <w:iCs/>
          <w:szCs w:val="24"/>
        </w:rPr>
        <w:t>Botanische</w:t>
      </w:r>
      <w:proofErr w:type="spellEnd"/>
      <w:r w:rsidRPr="00E12530">
        <w:rPr>
          <w:rFonts w:eastAsia="Times New Roman" w:cs="Times New Roman"/>
          <w:i/>
          <w:iCs/>
          <w:szCs w:val="24"/>
        </w:rPr>
        <w:t xml:space="preserve"> </w:t>
      </w:r>
      <w:proofErr w:type="spellStart"/>
      <w:r w:rsidRPr="00E12530">
        <w:rPr>
          <w:rFonts w:eastAsia="Times New Roman" w:cs="Times New Roman"/>
          <w:i/>
          <w:iCs/>
          <w:szCs w:val="24"/>
        </w:rPr>
        <w:t>Jahrbücher</w:t>
      </w:r>
      <w:proofErr w:type="spellEnd"/>
      <w:r w:rsidRPr="00E12530">
        <w:rPr>
          <w:rFonts w:eastAsia="Times New Roman" w:cs="Times New Roman"/>
          <w:szCs w:val="24"/>
        </w:rPr>
        <w:t xml:space="preserve">, </w:t>
      </w:r>
      <w:r w:rsidRPr="00E12530">
        <w:rPr>
          <w:rFonts w:eastAsia="Times New Roman" w:cs="Times New Roman"/>
          <w:i/>
          <w:iCs/>
          <w:szCs w:val="24"/>
        </w:rPr>
        <w:t>46</w:t>
      </w:r>
      <w:r w:rsidRPr="00E12530">
        <w:rPr>
          <w:rFonts w:eastAsia="Times New Roman" w:cs="Times New Roman"/>
          <w:szCs w:val="24"/>
        </w:rPr>
        <w:t>, 1–65.</w:t>
      </w:r>
    </w:p>
    <w:p w14:paraId="56EE5833" w14:textId="77777777" w:rsidR="003902AD" w:rsidRPr="00E12530" w:rsidRDefault="003902AD" w:rsidP="003902AD">
      <w:pPr>
        <w:ind w:left="567" w:hanging="567"/>
        <w:rPr>
          <w:rFonts w:eastAsia="Times New Roman" w:cs="Times New Roman"/>
          <w:szCs w:val="24"/>
        </w:rPr>
      </w:pPr>
      <w:r w:rsidRPr="00E12530">
        <w:rPr>
          <w:rFonts w:eastAsia="Times New Roman" w:cs="Times New Roman"/>
          <w:szCs w:val="24"/>
        </w:rPr>
        <w:t>Millard, P. (1986). The nitrogen content of potato (</w:t>
      </w:r>
      <w:r w:rsidRPr="00E12530">
        <w:rPr>
          <w:rFonts w:eastAsia="Times New Roman" w:cs="Times New Roman"/>
          <w:i/>
          <w:iCs/>
          <w:szCs w:val="24"/>
        </w:rPr>
        <w:t xml:space="preserve">Solanum </w:t>
      </w:r>
      <w:proofErr w:type="spellStart"/>
      <w:r w:rsidRPr="00E12530">
        <w:rPr>
          <w:rFonts w:eastAsia="Times New Roman" w:cs="Times New Roman"/>
          <w:i/>
          <w:iCs/>
          <w:szCs w:val="24"/>
        </w:rPr>
        <w:t>luberosum</w:t>
      </w:r>
      <w:proofErr w:type="spellEnd"/>
      <w:r w:rsidRPr="00E12530">
        <w:rPr>
          <w:rFonts w:eastAsia="Times New Roman" w:cs="Times New Roman"/>
          <w:szCs w:val="24"/>
        </w:rPr>
        <w:t> L.) tubers in relation to fertilizer nitrogen application – the effect on amino acid composition and yields. </w:t>
      </w:r>
      <w:r w:rsidRPr="00E12530">
        <w:rPr>
          <w:rFonts w:eastAsia="Times New Roman" w:cs="Times New Roman"/>
          <w:i/>
          <w:iCs/>
          <w:szCs w:val="24"/>
        </w:rPr>
        <w:t>Journal of the Science of Food and Agriculture, 37</w:t>
      </w:r>
      <w:r w:rsidRPr="00E12530">
        <w:rPr>
          <w:rFonts w:eastAsia="Times New Roman" w:cs="Times New Roman"/>
          <w:szCs w:val="24"/>
        </w:rPr>
        <w:t>, 107–114.</w:t>
      </w:r>
    </w:p>
    <w:p w14:paraId="10BA6FED" w14:textId="47307EA7" w:rsidR="003902AD" w:rsidRPr="00E12530" w:rsidRDefault="003902AD" w:rsidP="003902AD">
      <w:pPr>
        <w:ind w:left="567" w:hanging="567"/>
        <w:rPr>
          <w:rFonts w:eastAsia="Times New Roman" w:cs="Times New Roman"/>
          <w:szCs w:val="24"/>
        </w:rPr>
      </w:pPr>
      <w:r w:rsidRPr="00E12530">
        <w:rPr>
          <w:rFonts w:eastAsia="Times New Roman" w:cs="Times New Roman"/>
          <w:szCs w:val="24"/>
        </w:rPr>
        <w:t>Mithöfer, A.</w:t>
      </w:r>
      <w:r w:rsidR="00E045F7">
        <w:rPr>
          <w:rFonts w:eastAsia="Times New Roman" w:cs="Times New Roman"/>
          <w:szCs w:val="24"/>
        </w:rPr>
        <w:t>,</w:t>
      </w:r>
      <w:r w:rsidRPr="00E12530">
        <w:rPr>
          <w:rFonts w:eastAsia="Times New Roman" w:cs="Times New Roman"/>
          <w:szCs w:val="24"/>
        </w:rPr>
        <w:t xml:space="preserve"> and Boland, W. (2012) Plant </w:t>
      </w:r>
      <w:proofErr w:type="spellStart"/>
      <w:r w:rsidRPr="00E12530">
        <w:rPr>
          <w:rFonts w:eastAsia="Times New Roman" w:cs="Times New Roman"/>
          <w:szCs w:val="24"/>
        </w:rPr>
        <w:t>defense</w:t>
      </w:r>
      <w:proofErr w:type="spellEnd"/>
      <w:r w:rsidRPr="00E12530">
        <w:rPr>
          <w:rFonts w:eastAsia="Times New Roman" w:cs="Times New Roman"/>
          <w:szCs w:val="24"/>
        </w:rPr>
        <w:t xml:space="preserve"> against herbivores: chemical aspects. </w:t>
      </w:r>
      <w:r w:rsidRPr="00E12530">
        <w:rPr>
          <w:rFonts w:eastAsia="Times New Roman" w:cs="Times New Roman"/>
          <w:i/>
          <w:iCs/>
          <w:szCs w:val="24"/>
        </w:rPr>
        <w:t>Annual Review of Plant Biology, 63</w:t>
      </w:r>
      <w:r w:rsidRPr="00E12530">
        <w:rPr>
          <w:rFonts w:eastAsia="Times New Roman" w:cs="Times New Roman"/>
          <w:szCs w:val="24"/>
        </w:rPr>
        <w:t>, 431–450.</w:t>
      </w:r>
    </w:p>
    <w:p w14:paraId="5B6490F1" w14:textId="4B383AB1" w:rsidR="003902AD" w:rsidRPr="00E12530" w:rsidRDefault="003902AD" w:rsidP="003902AD">
      <w:pPr>
        <w:ind w:left="567" w:hanging="567"/>
        <w:rPr>
          <w:rFonts w:eastAsia="Times New Roman" w:cs="Times New Roman"/>
          <w:szCs w:val="24"/>
        </w:rPr>
      </w:pPr>
      <w:r w:rsidRPr="00E12530">
        <w:rPr>
          <w:rFonts w:eastAsia="Times New Roman" w:cs="Times New Roman"/>
          <w:szCs w:val="24"/>
        </w:rPr>
        <w:t>Moreau, C.S., Bell, C.D., Vila, R., Archibald, S.B.</w:t>
      </w:r>
      <w:r w:rsidR="00E045F7">
        <w:rPr>
          <w:rFonts w:eastAsia="Times New Roman" w:cs="Times New Roman"/>
          <w:szCs w:val="24"/>
        </w:rPr>
        <w:t>,</w:t>
      </w:r>
      <w:r w:rsidRPr="00E12530">
        <w:rPr>
          <w:rFonts w:eastAsia="Times New Roman" w:cs="Times New Roman"/>
          <w:szCs w:val="24"/>
        </w:rPr>
        <w:t xml:space="preserve"> and Pierce, N.E. (2006). Phylogeny of the ants: Diversification in the age of angiosperms. </w:t>
      </w:r>
      <w:r w:rsidRPr="00E12530">
        <w:rPr>
          <w:rFonts w:eastAsia="Times New Roman" w:cs="Times New Roman"/>
          <w:i/>
          <w:iCs/>
          <w:szCs w:val="24"/>
        </w:rPr>
        <w:t>Science</w:t>
      </w:r>
      <w:r w:rsidRPr="00E12530">
        <w:rPr>
          <w:rFonts w:eastAsia="Times New Roman" w:cs="Times New Roman"/>
          <w:szCs w:val="24"/>
        </w:rPr>
        <w:t xml:space="preserve">, </w:t>
      </w:r>
      <w:r w:rsidRPr="00E12530">
        <w:rPr>
          <w:rFonts w:eastAsia="Times New Roman" w:cs="Times New Roman"/>
          <w:i/>
          <w:iCs/>
          <w:szCs w:val="24"/>
        </w:rPr>
        <w:t>312</w:t>
      </w:r>
      <w:r w:rsidRPr="00E12530">
        <w:rPr>
          <w:rFonts w:eastAsia="Times New Roman" w:cs="Times New Roman"/>
          <w:szCs w:val="24"/>
        </w:rPr>
        <w:t>, 101–104.</w:t>
      </w:r>
    </w:p>
    <w:p w14:paraId="3C195015" w14:textId="42F1A448" w:rsidR="003902AD" w:rsidRPr="00E12530" w:rsidRDefault="003902AD" w:rsidP="003902AD">
      <w:pPr>
        <w:ind w:left="567" w:hanging="567"/>
        <w:rPr>
          <w:rFonts w:eastAsia="Times New Roman" w:cs="Times New Roman"/>
          <w:szCs w:val="24"/>
        </w:rPr>
      </w:pPr>
      <w:r w:rsidRPr="00E12530">
        <w:rPr>
          <w:rFonts w:eastAsia="Times New Roman" w:cs="Times New Roman"/>
          <w:szCs w:val="24"/>
        </w:rPr>
        <w:t>Oliver, K.M., Russell, J.A., Moran, N.A.</w:t>
      </w:r>
      <w:r w:rsidR="00E045F7">
        <w:rPr>
          <w:rFonts w:eastAsia="Times New Roman" w:cs="Times New Roman"/>
          <w:szCs w:val="24"/>
        </w:rPr>
        <w:t>,</w:t>
      </w:r>
      <w:r w:rsidRPr="00E12530">
        <w:rPr>
          <w:rFonts w:eastAsia="Times New Roman" w:cs="Times New Roman"/>
          <w:szCs w:val="24"/>
        </w:rPr>
        <w:t xml:space="preserve"> and Hunter, M.S. (2003). Facultative bacterial symbionts in aphids confer resistance to parasitic wasps. </w:t>
      </w:r>
      <w:r w:rsidR="00353DFE" w:rsidRPr="00AD12B1">
        <w:rPr>
          <w:rFonts w:eastAsia="Times New Roman" w:cs="Times New Roman"/>
          <w:i/>
          <w:iCs/>
          <w:szCs w:val="24"/>
        </w:rPr>
        <w:t>Proceedings of the National Academy of Sciences of the United States of Americ</w:t>
      </w:r>
      <w:r w:rsidR="00353DFE">
        <w:rPr>
          <w:rFonts w:eastAsia="Times New Roman" w:cs="Times New Roman"/>
          <w:i/>
          <w:iCs/>
          <w:szCs w:val="24"/>
        </w:rPr>
        <w:t>a</w:t>
      </w:r>
      <w:r w:rsidRPr="00E12530">
        <w:rPr>
          <w:rFonts w:eastAsia="Times New Roman" w:cs="Times New Roman"/>
          <w:i/>
          <w:iCs/>
          <w:szCs w:val="24"/>
        </w:rPr>
        <w:t>,</w:t>
      </w:r>
      <w:r w:rsidRPr="00E12530">
        <w:rPr>
          <w:rFonts w:eastAsia="Times New Roman" w:cs="Times New Roman"/>
          <w:szCs w:val="24"/>
        </w:rPr>
        <w:t xml:space="preserve"> </w:t>
      </w:r>
      <w:r w:rsidRPr="00E12530">
        <w:rPr>
          <w:rFonts w:eastAsia="Times New Roman" w:cs="Times New Roman"/>
          <w:i/>
          <w:iCs/>
          <w:szCs w:val="24"/>
        </w:rPr>
        <w:t>100</w:t>
      </w:r>
      <w:r w:rsidRPr="00E12530">
        <w:rPr>
          <w:rFonts w:eastAsia="Times New Roman" w:cs="Times New Roman"/>
          <w:szCs w:val="24"/>
        </w:rPr>
        <w:t>, 1803–1807.</w:t>
      </w:r>
    </w:p>
    <w:p w14:paraId="32220A00" w14:textId="2BCBC281" w:rsidR="003902AD" w:rsidRPr="00E12530" w:rsidRDefault="003902AD" w:rsidP="003902AD">
      <w:pPr>
        <w:ind w:left="567" w:hanging="567"/>
        <w:rPr>
          <w:rFonts w:eastAsia="Times New Roman" w:cs="Times New Roman"/>
          <w:szCs w:val="24"/>
        </w:rPr>
      </w:pPr>
      <w:r w:rsidRPr="00E12530">
        <w:rPr>
          <w:rFonts w:eastAsia="Times New Roman" w:cs="Times New Roman"/>
          <w:szCs w:val="24"/>
        </w:rPr>
        <w:t>Volp, K.</w:t>
      </w:r>
      <w:r w:rsidR="00E045F7">
        <w:rPr>
          <w:rFonts w:eastAsia="Times New Roman" w:cs="Times New Roman"/>
          <w:szCs w:val="24"/>
        </w:rPr>
        <w:t>,</w:t>
      </w:r>
      <w:r w:rsidRPr="00E12530">
        <w:rPr>
          <w:rFonts w:eastAsia="Times New Roman" w:cs="Times New Roman"/>
          <w:szCs w:val="24"/>
        </w:rPr>
        <w:t xml:space="preserve"> and Lach, L. (2019). Invasive ants alter ant–plant mutualisms. </w:t>
      </w:r>
      <w:r w:rsidRPr="00E12530">
        <w:rPr>
          <w:rFonts w:eastAsia="Times New Roman" w:cs="Times New Roman"/>
          <w:i/>
          <w:iCs/>
          <w:szCs w:val="24"/>
        </w:rPr>
        <w:t>Biological Invasions</w:t>
      </w:r>
      <w:r w:rsidRPr="00E12530">
        <w:rPr>
          <w:rFonts w:eastAsia="Times New Roman" w:cs="Times New Roman"/>
          <w:szCs w:val="24"/>
        </w:rPr>
        <w:t xml:space="preserve">, </w:t>
      </w:r>
      <w:r w:rsidRPr="00E12530">
        <w:rPr>
          <w:rFonts w:eastAsia="Times New Roman" w:cs="Times New Roman"/>
          <w:i/>
          <w:iCs/>
          <w:szCs w:val="24"/>
        </w:rPr>
        <w:t>21</w:t>
      </w:r>
      <w:r w:rsidRPr="00E12530">
        <w:rPr>
          <w:rFonts w:eastAsia="Times New Roman" w:cs="Times New Roman"/>
          <w:szCs w:val="24"/>
        </w:rPr>
        <w:t>, 2179–2192.</w:t>
      </w:r>
    </w:p>
    <w:p w14:paraId="68DFD7FC" w14:textId="79F50ED2" w:rsidR="00093FEA" w:rsidRPr="00093FEA" w:rsidRDefault="003902AD" w:rsidP="00093FEA">
      <w:pPr>
        <w:ind w:left="567" w:hanging="567"/>
        <w:rPr>
          <w:rFonts w:eastAsia="Times New Roman" w:cs="Times New Roman"/>
          <w:szCs w:val="24"/>
        </w:rPr>
      </w:pPr>
      <w:r w:rsidRPr="00E12530">
        <w:rPr>
          <w:rFonts w:eastAsia="Times New Roman" w:cs="Times New Roman"/>
          <w:szCs w:val="24"/>
        </w:rPr>
        <w:t>Volp, K., Lach, L.</w:t>
      </w:r>
      <w:r w:rsidR="00E045F7">
        <w:rPr>
          <w:rFonts w:eastAsia="Times New Roman" w:cs="Times New Roman"/>
          <w:szCs w:val="24"/>
        </w:rPr>
        <w:t>,</w:t>
      </w:r>
      <w:r w:rsidRPr="00E12530">
        <w:rPr>
          <w:rFonts w:eastAsia="Times New Roman" w:cs="Times New Roman"/>
          <w:szCs w:val="24"/>
        </w:rPr>
        <w:t xml:space="preserve"> and Turner, S. (2022). Disruption and replacement of ant–plant mutualisms by invasive ants. </w:t>
      </w:r>
      <w:r w:rsidRPr="00E12530">
        <w:rPr>
          <w:rFonts w:eastAsia="Times New Roman" w:cs="Times New Roman"/>
          <w:i/>
          <w:iCs/>
          <w:szCs w:val="24"/>
        </w:rPr>
        <w:t>Ecology</w:t>
      </w:r>
      <w:r w:rsidRPr="00E12530">
        <w:rPr>
          <w:rFonts w:eastAsia="Times New Roman" w:cs="Times New Roman"/>
          <w:szCs w:val="24"/>
        </w:rPr>
        <w:t xml:space="preserve">, </w:t>
      </w:r>
      <w:r w:rsidRPr="00E12530">
        <w:rPr>
          <w:rFonts w:eastAsia="Times New Roman" w:cs="Times New Roman"/>
          <w:i/>
          <w:iCs/>
          <w:szCs w:val="24"/>
        </w:rPr>
        <w:t>103</w:t>
      </w:r>
      <w:r w:rsidRPr="00E12530">
        <w:rPr>
          <w:rFonts w:eastAsia="Times New Roman" w:cs="Times New Roman"/>
          <w:szCs w:val="24"/>
        </w:rPr>
        <w:t>, e03578.</w:t>
      </w:r>
      <w:r w:rsidR="00093FEA">
        <w:rPr>
          <w:rFonts w:eastAsia="Times New Roman" w:cs="Times New Roman"/>
          <w:szCs w:val="24"/>
        </w:rPr>
        <w:t xml:space="preserve"> </w:t>
      </w:r>
    </w:p>
    <w:sectPr w:rsidR="00093FEA" w:rsidRPr="00093FEA" w:rsidSect="00492352">
      <w:type w:val="continuous"/>
      <w:pgSz w:w="11900" w:h="16820"/>
      <w:pgMar w:top="1440" w:right="1440" w:bottom="1440"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7F823" w14:textId="77777777" w:rsidR="009B5216" w:rsidRDefault="009B5216" w:rsidP="009A3335">
      <w:pPr>
        <w:spacing w:after="0" w:line="240" w:lineRule="auto"/>
      </w:pPr>
      <w:r>
        <w:separator/>
      </w:r>
    </w:p>
  </w:endnote>
  <w:endnote w:type="continuationSeparator" w:id="0">
    <w:p w14:paraId="539044DC" w14:textId="77777777" w:rsidR="009B5216" w:rsidRDefault="009B5216" w:rsidP="009A3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3DD6F08-E831-4236-A6A7-E9D7F0A11FB8}"/>
    <w:embedItalic r:id="rId2" w:fontKey="{58AB4BE4-8281-41ED-9555-D9DCDA005D02}"/>
  </w:font>
  <w:font w:name="Georgia">
    <w:panose1 w:val="02040502050405020303"/>
    <w:charset w:val="00"/>
    <w:family w:val="roman"/>
    <w:pitch w:val="variable"/>
    <w:sig w:usb0="00000287" w:usb1="00000000" w:usb2="00000000" w:usb3="00000000" w:csb0="0000009F" w:csb1="00000000"/>
    <w:embedItalic r:id="rId3" w:fontKey="{EBE4069A-DCAD-4B89-A571-C24130606530}"/>
  </w:font>
  <w:font w:name="Cambria">
    <w:panose1 w:val="02040503050406030204"/>
    <w:charset w:val="00"/>
    <w:family w:val="roman"/>
    <w:pitch w:val="variable"/>
    <w:sig w:usb0="E00006FF" w:usb1="420024FF" w:usb2="02000000" w:usb3="00000000" w:csb0="0000019F" w:csb1="00000000"/>
    <w:embedRegular r:id="rId4" w:fontKey="{444A9716-57BC-4B9A-8D3B-7120B54F0844}"/>
    <w:embedBold r:id="rId5" w:fontKey="{6C6963B6-9513-4268-8FCC-74DE1C930774}"/>
    <w:embedItalic r:id="rId6" w:fontKey="{381D9D5B-7A27-4202-AF12-C73CA4EDCD7E}"/>
  </w:font>
  <w:font w:name="Gungsuh">
    <w:charset w:val="81"/>
    <w:family w:val="roman"/>
    <w:pitch w:val="variable"/>
    <w:sig w:usb0="B00002AF" w:usb1="69D77CFB" w:usb2="00000030" w:usb3="00000000" w:csb0="0008009F" w:csb1="00000000"/>
    <w:embedRegular r:id="rId7" w:subsetted="1" w:fontKey="{01353476-3483-4FB9-9C6C-1E81C3AEE9FF}"/>
  </w:font>
  <w:font w:name="Cardo">
    <w:charset w:val="00"/>
    <w:family w:val="auto"/>
    <w:pitch w:val="default"/>
    <w:embedRegular r:id="rId8" w:fontKey="{0BAE82CC-357F-4AEE-B3A0-A226F298B482}"/>
  </w:font>
  <w:font w:name="Caudex">
    <w:charset w:val="00"/>
    <w:family w:val="auto"/>
    <w:pitch w:val="default"/>
    <w:embedRegular r:id="rId9" w:fontKey="{E3914BAB-E770-40C0-87C8-BCB0E2DE6B48}"/>
  </w:font>
  <w:font w:name="Aptos">
    <w:charset w:val="00"/>
    <w:family w:val="swiss"/>
    <w:pitch w:val="variable"/>
    <w:sig w:usb0="20000287" w:usb1="00000003" w:usb2="00000000" w:usb3="00000000" w:csb0="0000019F" w:csb1="00000000"/>
    <w:embedRegular r:id="rId10" w:fontKey="{2490584E-29B6-4106-9192-4AAE73EB8683}"/>
    <w:embedItalic r:id="rId11" w:fontKey="{E756B97D-231B-4568-9603-93554BF9BD2F}"/>
  </w:font>
  <w:font w:name="Cambria Math">
    <w:panose1 w:val="02040503050406030204"/>
    <w:charset w:val="00"/>
    <w:family w:val="roman"/>
    <w:pitch w:val="variable"/>
    <w:sig w:usb0="E00006FF" w:usb1="420024FF" w:usb2="02000000" w:usb3="00000000" w:csb0="0000019F" w:csb1="00000000"/>
    <w:embedRegular r:id="rId12" w:fontKey="{DD6BF363-CA31-4D14-AA4D-F8F3357F6D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58EE" w14:textId="77777777" w:rsidR="001D1550" w:rsidRDefault="001D15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28B93" w14:textId="3CCBF81E" w:rsidR="009A3335" w:rsidRDefault="009A3335">
    <w:pPr>
      <w:pStyle w:val="Footer"/>
      <w:jc w:val="right"/>
    </w:pPr>
  </w:p>
  <w:p w14:paraId="17B8431A" w14:textId="77777777" w:rsidR="009A3335" w:rsidRDefault="009A33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DED6" w14:textId="77777777" w:rsidR="001D1550" w:rsidRDefault="001D15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8762107"/>
      <w:docPartObj>
        <w:docPartGallery w:val="Page Numbers (Bottom of Page)"/>
        <w:docPartUnique/>
      </w:docPartObj>
    </w:sdtPr>
    <w:sdtEndPr>
      <w:rPr>
        <w:noProof/>
      </w:rPr>
    </w:sdtEndPr>
    <w:sdtContent>
      <w:p w14:paraId="782F0683" w14:textId="77777777" w:rsidR="00076F40" w:rsidRDefault="00076F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19D21E" w14:textId="77777777" w:rsidR="00076F40" w:rsidRDefault="00076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EC9AA" w14:textId="77777777" w:rsidR="009B5216" w:rsidRDefault="009B5216" w:rsidP="009A3335">
      <w:pPr>
        <w:spacing w:after="0" w:line="240" w:lineRule="auto"/>
      </w:pPr>
      <w:r>
        <w:separator/>
      </w:r>
    </w:p>
  </w:footnote>
  <w:footnote w:type="continuationSeparator" w:id="0">
    <w:p w14:paraId="220CE6F6" w14:textId="77777777" w:rsidR="009B5216" w:rsidRDefault="009B5216" w:rsidP="009A33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9E27" w14:textId="77777777" w:rsidR="001D1550" w:rsidRDefault="001D15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CE1A" w14:textId="05C04E6F" w:rsidR="009A3335" w:rsidRDefault="009A3335">
    <w:pPr>
      <w:pStyle w:val="Header"/>
      <w:jc w:val="right"/>
    </w:pPr>
  </w:p>
  <w:p w14:paraId="5B900526" w14:textId="77777777" w:rsidR="009A3335" w:rsidRDefault="009A33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C9D80" w14:textId="77777777" w:rsidR="001D1550" w:rsidRDefault="001D15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0E3"/>
    <w:rsid w:val="0000635B"/>
    <w:rsid w:val="00007EC1"/>
    <w:rsid w:val="00014F23"/>
    <w:rsid w:val="00017C13"/>
    <w:rsid w:val="00024DFC"/>
    <w:rsid w:val="00031873"/>
    <w:rsid w:val="00031AA5"/>
    <w:rsid w:val="0003561B"/>
    <w:rsid w:val="000406B6"/>
    <w:rsid w:val="00045634"/>
    <w:rsid w:val="00045C7B"/>
    <w:rsid w:val="000559DC"/>
    <w:rsid w:val="00061ADE"/>
    <w:rsid w:val="00064BA7"/>
    <w:rsid w:val="00065678"/>
    <w:rsid w:val="00067403"/>
    <w:rsid w:val="00067BF9"/>
    <w:rsid w:val="00070379"/>
    <w:rsid w:val="00071EEC"/>
    <w:rsid w:val="0007464A"/>
    <w:rsid w:val="00075B38"/>
    <w:rsid w:val="00076F40"/>
    <w:rsid w:val="000778C1"/>
    <w:rsid w:val="00077AB1"/>
    <w:rsid w:val="00087B5A"/>
    <w:rsid w:val="00093FEA"/>
    <w:rsid w:val="00096BD8"/>
    <w:rsid w:val="000A4810"/>
    <w:rsid w:val="000A6624"/>
    <w:rsid w:val="000B349D"/>
    <w:rsid w:val="000B6D72"/>
    <w:rsid w:val="000C423F"/>
    <w:rsid w:val="000C7736"/>
    <w:rsid w:val="000D253A"/>
    <w:rsid w:val="000D6819"/>
    <w:rsid w:val="000E33CF"/>
    <w:rsid w:val="000E4A64"/>
    <w:rsid w:val="000E5143"/>
    <w:rsid w:val="000F61E8"/>
    <w:rsid w:val="00104191"/>
    <w:rsid w:val="00105557"/>
    <w:rsid w:val="001103B4"/>
    <w:rsid w:val="00110E8E"/>
    <w:rsid w:val="001152F4"/>
    <w:rsid w:val="00115335"/>
    <w:rsid w:val="00120F7D"/>
    <w:rsid w:val="00126014"/>
    <w:rsid w:val="001268B8"/>
    <w:rsid w:val="00127BD1"/>
    <w:rsid w:val="00135FD2"/>
    <w:rsid w:val="00141323"/>
    <w:rsid w:val="00145434"/>
    <w:rsid w:val="001501D6"/>
    <w:rsid w:val="00151F0F"/>
    <w:rsid w:val="00154BD1"/>
    <w:rsid w:val="00154E8F"/>
    <w:rsid w:val="00156802"/>
    <w:rsid w:val="001636A7"/>
    <w:rsid w:val="00164557"/>
    <w:rsid w:val="00164FE8"/>
    <w:rsid w:val="00167065"/>
    <w:rsid w:val="00171A1A"/>
    <w:rsid w:val="00172811"/>
    <w:rsid w:val="0017524D"/>
    <w:rsid w:val="00176303"/>
    <w:rsid w:val="00181794"/>
    <w:rsid w:val="0018209E"/>
    <w:rsid w:val="00186797"/>
    <w:rsid w:val="001867AC"/>
    <w:rsid w:val="001911AC"/>
    <w:rsid w:val="00193A59"/>
    <w:rsid w:val="0019662A"/>
    <w:rsid w:val="00197368"/>
    <w:rsid w:val="001A59B2"/>
    <w:rsid w:val="001B77BE"/>
    <w:rsid w:val="001C2B27"/>
    <w:rsid w:val="001D0897"/>
    <w:rsid w:val="001D1550"/>
    <w:rsid w:val="001D4272"/>
    <w:rsid w:val="001D57FD"/>
    <w:rsid w:val="001D7053"/>
    <w:rsid w:val="001E206A"/>
    <w:rsid w:val="001E2806"/>
    <w:rsid w:val="001F08D2"/>
    <w:rsid w:val="001F2CB4"/>
    <w:rsid w:val="001F364F"/>
    <w:rsid w:val="001F4320"/>
    <w:rsid w:val="001F7E40"/>
    <w:rsid w:val="00200820"/>
    <w:rsid w:val="00201466"/>
    <w:rsid w:val="00202CD4"/>
    <w:rsid w:val="002033D2"/>
    <w:rsid w:val="00204CA7"/>
    <w:rsid w:val="002053D0"/>
    <w:rsid w:val="0020558B"/>
    <w:rsid w:val="002060CB"/>
    <w:rsid w:val="00207055"/>
    <w:rsid w:val="00207F3C"/>
    <w:rsid w:val="00214D9B"/>
    <w:rsid w:val="00223D69"/>
    <w:rsid w:val="00225F36"/>
    <w:rsid w:val="0022628B"/>
    <w:rsid w:val="00227162"/>
    <w:rsid w:val="00231040"/>
    <w:rsid w:val="00231396"/>
    <w:rsid w:val="00245C37"/>
    <w:rsid w:val="0025008E"/>
    <w:rsid w:val="00250D70"/>
    <w:rsid w:val="002578E6"/>
    <w:rsid w:val="00261188"/>
    <w:rsid w:val="0026407A"/>
    <w:rsid w:val="0028329B"/>
    <w:rsid w:val="00287392"/>
    <w:rsid w:val="0028757D"/>
    <w:rsid w:val="00293C80"/>
    <w:rsid w:val="0029771B"/>
    <w:rsid w:val="002A3C4A"/>
    <w:rsid w:val="002A5274"/>
    <w:rsid w:val="002B7444"/>
    <w:rsid w:val="002C05B1"/>
    <w:rsid w:val="002C1EC0"/>
    <w:rsid w:val="002C4530"/>
    <w:rsid w:val="002C7F0A"/>
    <w:rsid w:val="002D53D4"/>
    <w:rsid w:val="002E099A"/>
    <w:rsid w:val="002E5535"/>
    <w:rsid w:val="002E66B4"/>
    <w:rsid w:val="002E75FA"/>
    <w:rsid w:val="002F61A0"/>
    <w:rsid w:val="003009BC"/>
    <w:rsid w:val="0030413A"/>
    <w:rsid w:val="00304E12"/>
    <w:rsid w:val="003066DB"/>
    <w:rsid w:val="00306A74"/>
    <w:rsid w:val="00311255"/>
    <w:rsid w:val="00312D45"/>
    <w:rsid w:val="003204A3"/>
    <w:rsid w:val="00322E54"/>
    <w:rsid w:val="00324288"/>
    <w:rsid w:val="00324308"/>
    <w:rsid w:val="003252E9"/>
    <w:rsid w:val="00325491"/>
    <w:rsid w:val="0033054A"/>
    <w:rsid w:val="00333349"/>
    <w:rsid w:val="00333F85"/>
    <w:rsid w:val="003539A0"/>
    <w:rsid w:val="00353DFE"/>
    <w:rsid w:val="003619BC"/>
    <w:rsid w:val="00371338"/>
    <w:rsid w:val="00371DF5"/>
    <w:rsid w:val="00381C16"/>
    <w:rsid w:val="00381CC7"/>
    <w:rsid w:val="00384CEA"/>
    <w:rsid w:val="003902AD"/>
    <w:rsid w:val="003914A8"/>
    <w:rsid w:val="00392BB3"/>
    <w:rsid w:val="00392BF8"/>
    <w:rsid w:val="00395122"/>
    <w:rsid w:val="003A24A1"/>
    <w:rsid w:val="003A3DF5"/>
    <w:rsid w:val="003A5CEF"/>
    <w:rsid w:val="003B1E5C"/>
    <w:rsid w:val="003B5632"/>
    <w:rsid w:val="003C5DB0"/>
    <w:rsid w:val="003C6F88"/>
    <w:rsid w:val="003C75E1"/>
    <w:rsid w:val="003C7A33"/>
    <w:rsid w:val="003D034D"/>
    <w:rsid w:val="003D1772"/>
    <w:rsid w:val="003D25FA"/>
    <w:rsid w:val="003D2FD2"/>
    <w:rsid w:val="003D71C2"/>
    <w:rsid w:val="003D74CA"/>
    <w:rsid w:val="003D7E0A"/>
    <w:rsid w:val="003E02A1"/>
    <w:rsid w:val="003E171D"/>
    <w:rsid w:val="003E3D2B"/>
    <w:rsid w:val="003E5961"/>
    <w:rsid w:val="003E791D"/>
    <w:rsid w:val="003E7B16"/>
    <w:rsid w:val="003F00D7"/>
    <w:rsid w:val="003F378E"/>
    <w:rsid w:val="003F6053"/>
    <w:rsid w:val="00403E5C"/>
    <w:rsid w:val="0040482D"/>
    <w:rsid w:val="00404A73"/>
    <w:rsid w:val="00406B6E"/>
    <w:rsid w:val="00412A2B"/>
    <w:rsid w:val="00413CF3"/>
    <w:rsid w:val="0041500D"/>
    <w:rsid w:val="00415F0A"/>
    <w:rsid w:val="004238F5"/>
    <w:rsid w:val="0042570F"/>
    <w:rsid w:val="00427759"/>
    <w:rsid w:val="0043043F"/>
    <w:rsid w:val="004434BD"/>
    <w:rsid w:val="004436C1"/>
    <w:rsid w:val="004441D4"/>
    <w:rsid w:val="004507E2"/>
    <w:rsid w:val="00452625"/>
    <w:rsid w:val="004533C2"/>
    <w:rsid w:val="00453AF7"/>
    <w:rsid w:val="004603AA"/>
    <w:rsid w:val="00466488"/>
    <w:rsid w:val="004669C2"/>
    <w:rsid w:val="0046726B"/>
    <w:rsid w:val="004702A1"/>
    <w:rsid w:val="00472190"/>
    <w:rsid w:val="00474464"/>
    <w:rsid w:val="00474D21"/>
    <w:rsid w:val="00481DCB"/>
    <w:rsid w:val="00483082"/>
    <w:rsid w:val="00483A16"/>
    <w:rsid w:val="00486CAD"/>
    <w:rsid w:val="00490472"/>
    <w:rsid w:val="00492352"/>
    <w:rsid w:val="00493045"/>
    <w:rsid w:val="004935F4"/>
    <w:rsid w:val="004A0AB4"/>
    <w:rsid w:val="004A14D8"/>
    <w:rsid w:val="004A1B59"/>
    <w:rsid w:val="004A2A77"/>
    <w:rsid w:val="004A3685"/>
    <w:rsid w:val="004B1C47"/>
    <w:rsid w:val="004B747B"/>
    <w:rsid w:val="004C07C2"/>
    <w:rsid w:val="004C669C"/>
    <w:rsid w:val="004C6E0C"/>
    <w:rsid w:val="004D2264"/>
    <w:rsid w:val="004D4AFB"/>
    <w:rsid w:val="004D5D89"/>
    <w:rsid w:val="004D7417"/>
    <w:rsid w:val="004E2ED7"/>
    <w:rsid w:val="004E392E"/>
    <w:rsid w:val="004F202D"/>
    <w:rsid w:val="004F2F57"/>
    <w:rsid w:val="004F428D"/>
    <w:rsid w:val="004F4C56"/>
    <w:rsid w:val="00503F61"/>
    <w:rsid w:val="005131F3"/>
    <w:rsid w:val="00516141"/>
    <w:rsid w:val="00516242"/>
    <w:rsid w:val="00526E69"/>
    <w:rsid w:val="005270D0"/>
    <w:rsid w:val="005311C3"/>
    <w:rsid w:val="00532CDD"/>
    <w:rsid w:val="005369A1"/>
    <w:rsid w:val="00536A5B"/>
    <w:rsid w:val="005401A3"/>
    <w:rsid w:val="00541247"/>
    <w:rsid w:val="00541636"/>
    <w:rsid w:val="005442BE"/>
    <w:rsid w:val="00545577"/>
    <w:rsid w:val="005501E5"/>
    <w:rsid w:val="00553AA3"/>
    <w:rsid w:val="005555A8"/>
    <w:rsid w:val="00556075"/>
    <w:rsid w:val="00557240"/>
    <w:rsid w:val="00560C9C"/>
    <w:rsid w:val="0057155E"/>
    <w:rsid w:val="00573CA0"/>
    <w:rsid w:val="00581CAE"/>
    <w:rsid w:val="00582150"/>
    <w:rsid w:val="005845E5"/>
    <w:rsid w:val="005853E5"/>
    <w:rsid w:val="0059048A"/>
    <w:rsid w:val="00592786"/>
    <w:rsid w:val="00594D19"/>
    <w:rsid w:val="005964AA"/>
    <w:rsid w:val="00596875"/>
    <w:rsid w:val="005971CD"/>
    <w:rsid w:val="005A138E"/>
    <w:rsid w:val="005A32EE"/>
    <w:rsid w:val="005A51AC"/>
    <w:rsid w:val="005A5EA0"/>
    <w:rsid w:val="005A6997"/>
    <w:rsid w:val="005A776D"/>
    <w:rsid w:val="005B0317"/>
    <w:rsid w:val="005B03F8"/>
    <w:rsid w:val="005B6392"/>
    <w:rsid w:val="005B73C9"/>
    <w:rsid w:val="005B787A"/>
    <w:rsid w:val="005C4EF0"/>
    <w:rsid w:val="005C7825"/>
    <w:rsid w:val="005E0AD9"/>
    <w:rsid w:val="005E4A37"/>
    <w:rsid w:val="005F2A43"/>
    <w:rsid w:val="005F3ECC"/>
    <w:rsid w:val="00602730"/>
    <w:rsid w:val="0060786A"/>
    <w:rsid w:val="0061280E"/>
    <w:rsid w:val="006218CA"/>
    <w:rsid w:val="00623D61"/>
    <w:rsid w:val="00626DB7"/>
    <w:rsid w:val="0063342F"/>
    <w:rsid w:val="00634257"/>
    <w:rsid w:val="00636289"/>
    <w:rsid w:val="00636B6A"/>
    <w:rsid w:val="00643AA1"/>
    <w:rsid w:val="0064425E"/>
    <w:rsid w:val="006505A6"/>
    <w:rsid w:val="00650D0C"/>
    <w:rsid w:val="00652C94"/>
    <w:rsid w:val="00654784"/>
    <w:rsid w:val="00655ED0"/>
    <w:rsid w:val="00656E30"/>
    <w:rsid w:val="0065711F"/>
    <w:rsid w:val="0066107C"/>
    <w:rsid w:val="00661E3D"/>
    <w:rsid w:val="00666741"/>
    <w:rsid w:val="006677E2"/>
    <w:rsid w:val="00673869"/>
    <w:rsid w:val="00675822"/>
    <w:rsid w:val="00680101"/>
    <w:rsid w:val="00680B71"/>
    <w:rsid w:val="0068525F"/>
    <w:rsid w:val="006858AD"/>
    <w:rsid w:val="00687012"/>
    <w:rsid w:val="0069124F"/>
    <w:rsid w:val="00693090"/>
    <w:rsid w:val="00693E6D"/>
    <w:rsid w:val="006A4787"/>
    <w:rsid w:val="006A5008"/>
    <w:rsid w:val="006A5CE0"/>
    <w:rsid w:val="006A63B7"/>
    <w:rsid w:val="006B36D7"/>
    <w:rsid w:val="006C34D5"/>
    <w:rsid w:val="006C4358"/>
    <w:rsid w:val="006C58E1"/>
    <w:rsid w:val="006C6324"/>
    <w:rsid w:val="006C7579"/>
    <w:rsid w:val="006C78A4"/>
    <w:rsid w:val="006D3666"/>
    <w:rsid w:val="006D4FC7"/>
    <w:rsid w:val="006E2365"/>
    <w:rsid w:val="006E36A6"/>
    <w:rsid w:val="006E4649"/>
    <w:rsid w:val="006E6B03"/>
    <w:rsid w:val="006F1683"/>
    <w:rsid w:val="00700498"/>
    <w:rsid w:val="0070617F"/>
    <w:rsid w:val="00710C50"/>
    <w:rsid w:val="00720E4D"/>
    <w:rsid w:val="00722177"/>
    <w:rsid w:val="007330E0"/>
    <w:rsid w:val="00736108"/>
    <w:rsid w:val="00741103"/>
    <w:rsid w:val="0074111C"/>
    <w:rsid w:val="00741E74"/>
    <w:rsid w:val="00742705"/>
    <w:rsid w:val="007436AC"/>
    <w:rsid w:val="007439F5"/>
    <w:rsid w:val="007478AE"/>
    <w:rsid w:val="007517E7"/>
    <w:rsid w:val="00766F93"/>
    <w:rsid w:val="00776794"/>
    <w:rsid w:val="0077760B"/>
    <w:rsid w:val="007808E4"/>
    <w:rsid w:val="00784769"/>
    <w:rsid w:val="007850AE"/>
    <w:rsid w:val="007855E2"/>
    <w:rsid w:val="00786235"/>
    <w:rsid w:val="0079254D"/>
    <w:rsid w:val="00796C7E"/>
    <w:rsid w:val="007A02DC"/>
    <w:rsid w:val="007A2C37"/>
    <w:rsid w:val="007B3EF5"/>
    <w:rsid w:val="007B6976"/>
    <w:rsid w:val="007B6CAC"/>
    <w:rsid w:val="007C1F6D"/>
    <w:rsid w:val="007C278B"/>
    <w:rsid w:val="007C5789"/>
    <w:rsid w:val="007C6201"/>
    <w:rsid w:val="007D04D7"/>
    <w:rsid w:val="007D588E"/>
    <w:rsid w:val="007E3D6B"/>
    <w:rsid w:val="00810782"/>
    <w:rsid w:val="008248B6"/>
    <w:rsid w:val="00825A39"/>
    <w:rsid w:val="00825F46"/>
    <w:rsid w:val="00826547"/>
    <w:rsid w:val="008330DB"/>
    <w:rsid w:val="00833D7B"/>
    <w:rsid w:val="00834F0F"/>
    <w:rsid w:val="00835C6D"/>
    <w:rsid w:val="0083640C"/>
    <w:rsid w:val="008410F7"/>
    <w:rsid w:val="00844405"/>
    <w:rsid w:val="008522DD"/>
    <w:rsid w:val="00855A4C"/>
    <w:rsid w:val="00856741"/>
    <w:rsid w:val="00861ACC"/>
    <w:rsid w:val="008723E9"/>
    <w:rsid w:val="008728F6"/>
    <w:rsid w:val="008858C6"/>
    <w:rsid w:val="00885A59"/>
    <w:rsid w:val="00892ABF"/>
    <w:rsid w:val="00893B18"/>
    <w:rsid w:val="00893FAC"/>
    <w:rsid w:val="0089400E"/>
    <w:rsid w:val="00897C4A"/>
    <w:rsid w:val="008A002B"/>
    <w:rsid w:val="008A17D7"/>
    <w:rsid w:val="008A2CB0"/>
    <w:rsid w:val="008A49B0"/>
    <w:rsid w:val="008A4CAA"/>
    <w:rsid w:val="008A611F"/>
    <w:rsid w:val="008A65B6"/>
    <w:rsid w:val="008B40E2"/>
    <w:rsid w:val="008C0A5E"/>
    <w:rsid w:val="008C0B6A"/>
    <w:rsid w:val="008C1102"/>
    <w:rsid w:val="008C3D0E"/>
    <w:rsid w:val="008D10CA"/>
    <w:rsid w:val="008D452C"/>
    <w:rsid w:val="008D458D"/>
    <w:rsid w:val="008E2713"/>
    <w:rsid w:val="008E5528"/>
    <w:rsid w:val="008F0BB1"/>
    <w:rsid w:val="008F5546"/>
    <w:rsid w:val="009022B4"/>
    <w:rsid w:val="0090373B"/>
    <w:rsid w:val="009055D0"/>
    <w:rsid w:val="00913490"/>
    <w:rsid w:val="009159EA"/>
    <w:rsid w:val="00937C17"/>
    <w:rsid w:val="00940BE3"/>
    <w:rsid w:val="00940FE9"/>
    <w:rsid w:val="00941101"/>
    <w:rsid w:val="00941570"/>
    <w:rsid w:val="00946883"/>
    <w:rsid w:val="00947F2A"/>
    <w:rsid w:val="00976218"/>
    <w:rsid w:val="00983BC6"/>
    <w:rsid w:val="009868E5"/>
    <w:rsid w:val="009941F8"/>
    <w:rsid w:val="009948F1"/>
    <w:rsid w:val="00997686"/>
    <w:rsid w:val="00997D5F"/>
    <w:rsid w:val="009A1DC7"/>
    <w:rsid w:val="009A3335"/>
    <w:rsid w:val="009B4375"/>
    <w:rsid w:val="009B5216"/>
    <w:rsid w:val="009B7741"/>
    <w:rsid w:val="009C0177"/>
    <w:rsid w:val="009C27D4"/>
    <w:rsid w:val="009C5FDE"/>
    <w:rsid w:val="009D77DE"/>
    <w:rsid w:val="009E1DFD"/>
    <w:rsid w:val="009F23E6"/>
    <w:rsid w:val="009F535D"/>
    <w:rsid w:val="00A012E0"/>
    <w:rsid w:val="00A01A6D"/>
    <w:rsid w:val="00A01E58"/>
    <w:rsid w:val="00A031D6"/>
    <w:rsid w:val="00A05745"/>
    <w:rsid w:val="00A2469C"/>
    <w:rsid w:val="00A25E37"/>
    <w:rsid w:val="00A30FC7"/>
    <w:rsid w:val="00A331A5"/>
    <w:rsid w:val="00A357DC"/>
    <w:rsid w:val="00A37075"/>
    <w:rsid w:val="00A4071C"/>
    <w:rsid w:val="00A4432F"/>
    <w:rsid w:val="00A45624"/>
    <w:rsid w:val="00A47101"/>
    <w:rsid w:val="00A50F4C"/>
    <w:rsid w:val="00A510F9"/>
    <w:rsid w:val="00A53107"/>
    <w:rsid w:val="00A61EFC"/>
    <w:rsid w:val="00A62682"/>
    <w:rsid w:val="00A648DE"/>
    <w:rsid w:val="00A706C1"/>
    <w:rsid w:val="00A74B72"/>
    <w:rsid w:val="00A77852"/>
    <w:rsid w:val="00A77A0C"/>
    <w:rsid w:val="00A83F0F"/>
    <w:rsid w:val="00A846A5"/>
    <w:rsid w:val="00A84C30"/>
    <w:rsid w:val="00A84F1A"/>
    <w:rsid w:val="00A853E7"/>
    <w:rsid w:val="00A91AFE"/>
    <w:rsid w:val="00A91D85"/>
    <w:rsid w:val="00A92859"/>
    <w:rsid w:val="00A92B06"/>
    <w:rsid w:val="00A968DE"/>
    <w:rsid w:val="00A97025"/>
    <w:rsid w:val="00AA239D"/>
    <w:rsid w:val="00AA4AC6"/>
    <w:rsid w:val="00AB2B7A"/>
    <w:rsid w:val="00AB36EE"/>
    <w:rsid w:val="00AC01BC"/>
    <w:rsid w:val="00AC14D2"/>
    <w:rsid w:val="00AD09E7"/>
    <w:rsid w:val="00AD12B1"/>
    <w:rsid w:val="00AD57D9"/>
    <w:rsid w:val="00AD6B36"/>
    <w:rsid w:val="00AE4339"/>
    <w:rsid w:val="00AF0D20"/>
    <w:rsid w:val="00AF31DC"/>
    <w:rsid w:val="00AF371D"/>
    <w:rsid w:val="00AF530F"/>
    <w:rsid w:val="00AF5315"/>
    <w:rsid w:val="00AF5911"/>
    <w:rsid w:val="00AF6830"/>
    <w:rsid w:val="00B02451"/>
    <w:rsid w:val="00B060B9"/>
    <w:rsid w:val="00B151ED"/>
    <w:rsid w:val="00B16ACC"/>
    <w:rsid w:val="00B222D1"/>
    <w:rsid w:val="00B222E3"/>
    <w:rsid w:val="00B23228"/>
    <w:rsid w:val="00B3521F"/>
    <w:rsid w:val="00B371F2"/>
    <w:rsid w:val="00B41166"/>
    <w:rsid w:val="00B41661"/>
    <w:rsid w:val="00B425F5"/>
    <w:rsid w:val="00B42922"/>
    <w:rsid w:val="00B43985"/>
    <w:rsid w:val="00B45EFE"/>
    <w:rsid w:val="00B46CA4"/>
    <w:rsid w:val="00B478CB"/>
    <w:rsid w:val="00B5071F"/>
    <w:rsid w:val="00B5250B"/>
    <w:rsid w:val="00B54945"/>
    <w:rsid w:val="00B60374"/>
    <w:rsid w:val="00B62F60"/>
    <w:rsid w:val="00B658F9"/>
    <w:rsid w:val="00B6792B"/>
    <w:rsid w:val="00B77F18"/>
    <w:rsid w:val="00B8036C"/>
    <w:rsid w:val="00B83EBA"/>
    <w:rsid w:val="00B95C91"/>
    <w:rsid w:val="00BA3BF6"/>
    <w:rsid w:val="00BA5B9E"/>
    <w:rsid w:val="00BA781D"/>
    <w:rsid w:val="00BB704F"/>
    <w:rsid w:val="00BC0DE7"/>
    <w:rsid w:val="00BC41D1"/>
    <w:rsid w:val="00BD0E4E"/>
    <w:rsid w:val="00BD1B5E"/>
    <w:rsid w:val="00BD32EE"/>
    <w:rsid w:val="00BD7749"/>
    <w:rsid w:val="00BD7D0E"/>
    <w:rsid w:val="00BE1DE5"/>
    <w:rsid w:val="00BE5BE7"/>
    <w:rsid w:val="00BE669E"/>
    <w:rsid w:val="00BF1BF2"/>
    <w:rsid w:val="00BF38AE"/>
    <w:rsid w:val="00BF50AA"/>
    <w:rsid w:val="00C01490"/>
    <w:rsid w:val="00C01494"/>
    <w:rsid w:val="00C24A6F"/>
    <w:rsid w:val="00C270E0"/>
    <w:rsid w:val="00C410B0"/>
    <w:rsid w:val="00C411DA"/>
    <w:rsid w:val="00C46389"/>
    <w:rsid w:val="00C54638"/>
    <w:rsid w:val="00C55E38"/>
    <w:rsid w:val="00C63FD3"/>
    <w:rsid w:val="00C66A17"/>
    <w:rsid w:val="00C70DDD"/>
    <w:rsid w:val="00C7678C"/>
    <w:rsid w:val="00C77724"/>
    <w:rsid w:val="00C85502"/>
    <w:rsid w:val="00C865CD"/>
    <w:rsid w:val="00C9301B"/>
    <w:rsid w:val="00C94FC9"/>
    <w:rsid w:val="00C958E2"/>
    <w:rsid w:val="00CA0BEC"/>
    <w:rsid w:val="00CB2279"/>
    <w:rsid w:val="00CB26D1"/>
    <w:rsid w:val="00CB4C52"/>
    <w:rsid w:val="00CC1069"/>
    <w:rsid w:val="00CC30F1"/>
    <w:rsid w:val="00CC4044"/>
    <w:rsid w:val="00CC5260"/>
    <w:rsid w:val="00CC5E61"/>
    <w:rsid w:val="00CC68A2"/>
    <w:rsid w:val="00CD0BD5"/>
    <w:rsid w:val="00CD1432"/>
    <w:rsid w:val="00CD1E92"/>
    <w:rsid w:val="00CE671C"/>
    <w:rsid w:val="00CE67E0"/>
    <w:rsid w:val="00CF0519"/>
    <w:rsid w:val="00CF1AB0"/>
    <w:rsid w:val="00CF534D"/>
    <w:rsid w:val="00CF5C76"/>
    <w:rsid w:val="00CF74F3"/>
    <w:rsid w:val="00D0454C"/>
    <w:rsid w:val="00D05E13"/>
    <w:rsid w:val="00D06059"/>
    <w:rsid w:val="00D064F6"/>
    <w:rsid w:val="00D1117A"/>
    <w:rsid w:val="00D12E1B"/>
    <w:rsid w:val="00D2094A"/>
    <w:rsid w:val="00D20CB0"/>
    <w:rsid w:val="00D213D7"/>
    <w:rsid w:val="00D247F6"/>
    <w:rsid w:val="00D2546D"/>
    <w:rsid w:val="00D333C3"/>
    <w:rsid w:val="00D33D11"/>
    <w:rsid w:val="00D40055"/>
    <w:rsid w:val="00D44034"/>
    <w:rsid w:val="00D449E5"/>
    <w:rsid w:val="00D5299E"/>
    <w:rsid w:val="00D5477A"/>
    <w:rsid w:val="00D60CF3"/>
    <w:rsid w:val="00D61F73"/>
    <w:rsid w:val="00D626CD"/>
    <w:rsid w:val="00D65FF0"/>
    <w:rsid w:val="00D6650A"/>
    <w:rsid w:val="00D6714A"/>
    <w:rsid w:val="00D67487"/>
    <w:rsid w:val="00D7344E"/>
    <w:rsid w:val="00D77D76"/>
    <w:rsid w:val="00D819C6"/>
    <w:rsid w:val="00D826FB"/>
    <w:rsid w:val="00D86F75"/>
    <w:rsid w:val="00D956C9"/>
    <w:rsid w:val="00DA0846"/>
    <w:rsid w:val="00DA1026"/>
    <w:rsid w:val="00DA3D74"/>
    <w:rsid w:val="00DA681C"/>
    <w:rsid w:val="00DA6D38"/>
    <w:rsid w:val="00DB35F5"/>
    <w:rsid w:val="00DC0A02"/>
    <w:rsid w:val="00DC4793"/>
    <w:rsid w:val="00DD0423"/>
    <w:rsid w:val="00DD3EA4"/>
    <w:rsid w:val="00DE215A"/>
    <w:rsid w:val="00DF3759"/>
    <w:rsid w:val="00DF4238"/>
    <w:rsid w:val="00DF5E95"/>
    <w:rsid w:val="00DF5FC0"/>
    <w:rsid w:val="00E02125"/>
    <w:rsid w:val="00E045F7"/>
    <w:rsid w:val="00E11F5A"/>
    <w:rsid w:val="00E133D1"/>
    <w:rsid w:val="00E2496D"/>
    <w:rsid w:val="00E30319"/>
    <w:rsid w:val="00E34A61"/>
    <w:rsid w:val="00E35890"/>
    <w:rsid w:val="00E420E3"/>
    <w:rsid w:val="00E42709"/>
    <w:rsid w:val="00E44532"/>
    <w:rsid w:val="00E4504D"/>
    <w:rsid w:val="00E534DA"/>
    <w:rsid w:val="00E672A8"/>
    <w:rsid w:val="00E67C0C"/>
    <w:rsid w:val="00E75353"/>
    <w:rsid w:val="00E90A3D"/>
    <w:rsid w:val="00EA1944"/>
    <w:rsid w:val="00EB0F76"/>
    <w:rsid w:val="00EB18D9"/>
    <w:rsid w:val="00EB6FBC"/>
    <w:rsid w:val="00EC2FA4"/>
    <w:rsid w:val="00EC7C46"/>
    <w:rsid w:val="00ED4E61"/>
    <w:rsid w:val="00EE0C9A"/>
    <w:rsid w:val="00EE57C3"/>
    <w:rsid w:val="00EF011E"/>
    <w:rsid w:val="00EF1B73"/>
    <w:rsid w:val="00EF2610"/>
    <w:rsid w:val="00F02FB8"/>
    <w:rsid w:val="00F03833"/>
    <w:rsid w:val="00F04A30"/>
    <w:rsid w:val="00F10129"/>
    <w:rsid w:val="00F14C00"/>
    <w:rsid w:val="00F200A4"/>
    <w:rsid w:val="00F20776"/>
    <w:rsid w:val="00F2207A"/>
    <w:rsid w:val="00F450D5"/>
    <w:rsid w:val="00F5217D"/>
    <w:rsid w:val="00F533D3"/>
    <w:rsid w:val="00F5437D"/>
    <w:rsid w:val="00F5488A"/>
    <w:rsid w:val="00F6062A"/>
    <w:rsid w:val="00F64C36"/>
    <w:rsid w:val="00F658C6"/>
    <w:rsid w:val="00F667E3"/>
    <w:rsid w:val="00F7065F"/>
    <w:rsid w:val="00F77B89"/>
    <w:rsid w:val="00F84B2B"/>
    <w:rsid w:val="00F85CCC"/>
    <w:rsid w:val="00F86F3C"/>
    <w:rsid w:val="00F87DA1"/>
    <w:rsid w:val="00F90A02"/>
    <w:rsid w:val="00F90E58"/>
    <w:rsid w:val="00F930CC"/>
    <w:rsid w:val="00F941F8"/>
    <w:rsid w:val="00F959D0"/>
    <w:rsid w:val="00F95EC9"/>
    <w:rsid w:val="00F962C0"/>
    <w:rsid w:val="00F97317"/>
    <w:rsid w:val="00FA5BE4"/>
    <w:rsid w:val="00FA675F"/>
    <w:rsid w:val="00FA7B5D"/>
    <w:rsid w:val="00FB3C94"/>
    <w:rsid w:val="00FB5816"/>
    <w:rsid w:val="00FC7CA4"/>
    <w:rsid w:val="00FE06DE"/>
    <w:rsid w:val="00FE3CD6"/>
    <w:rsid w:val="00FF2B33"/>
    <w:rsid w:val="00FF5AB6"/>
    <w:rsid w:val="00FF69C9"/>
    <w:rsid w:val="3AA890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16C72"/>
  <w15:docId w15:val="{A1C9B6BD-9BD0-43C0-A787-807F66058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D0E"/>
    <w:pPr>
      <w:spacing w:after="160" w:line="360" w:lineRule="auto"/>
      <w:jc w:val="both"/>
    </w:pPr>
    <w:rPr>
      <w:rFonts w:ascii="Times New Roman" w:hAnsi="Times New Roman"/>
      <w:sz w:val="24"/>
    </w:rPr>
  </w:style>
  <w:style w:type="paragraph" w:styleId="Heading1">
    <w:name w:val="heading 1"/>
    <w:basedOn w:val="Normal"/>
    <w:next w:val="Normal"/>
    <w:uiPriority w:val="9"/>
    <w:qFormat/>
    <w:rsid w:val="00D05E13"/>
    <w:pPr>
      <w:keepNext/>
      <w:keepLines/>
      <w:spacing w:before="480" w:after="120"/>
      <w:outlineLvl w:val="0"/>
    </w:pPr>
    <w:rPr>
      <w:b/>
      <w:bCs/>
      <w:sz w:val="42"/>
      <w:szCs w:val="48"/>
    </w:rPr>
  </w:style>
  <w:style w:type="paragraph" w:styleId="Heading2">
    <w:name w:val="heading 2"/>
    <w:basedOn w:val="Normal"/>
    <w:next w:val="Normal"/>
    <w:uiPriority w:val="9"/>
    <w:unhideWhenUsed/>
    <w:qFormat/>
    <w:rsid w:val="00536A5B"/>
    <w:pPr>
      <w:keepNext/>
      <w:keepLines/>
      <w:spacing w:before="360" w:after="80"/>
      <w:outlineLvl w:val="1"/>
    </w:pPr>
    <w:rPr>
      <w:b/>
      <w:bCs/>
      <w:sz w:val="28"/>
      <w:szCs w:val="36"/>
    </w:rPr>
  </w:style>
  <w:style w:type="paragraph" w:styleId="Heading3">
    <w:name w:val="heading 3"/>
    <w:basedOn w:val="Normal"/>
    <w:next w:val="Normal"/>
    <w:uiPriority w:val="9"/>
    <w:unhideWhenUsed/>
    <w:qFormat/>
    <w:rsid w:val="00172811"/>
    <w:pPr>
      <w:keepNext/>
      <w:keepLines/>
      <w:spacing w:before="280" w:after="80"/>
      <w:outlineLvl w:val="2"/>
    </w:pPr>
    <w:rPr>
      <w:b/>
      <w:bCs/>
      <w:szCs w:val="28"/>
    </w:rPr>
  </w:style>
  <w:style w:type="paragraph" w:styleId="Heading4">
    <w:name w:val="heading 4"/>
    <w:basedOn w:val="Normal"/>
    <w:next w:val="Normal"/>
    <w:uiPriority w:val="9"/>
    <w:unhideWhenUsed/>
    <w:qFormat/>
    <w:rsid w:val="00FA5BE4"/>
    <w:pPr>
      <w:keepNext/>
      <w:keepLines/>
      <w:spacing w:before="240" w:after="80"/>
      <w:outlineLvl w:val="3"/>
    </w:pPr>
    <w:rPr>
      <w:bCs/>
      <w:i/>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A83F0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83F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83F0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7C278B"/>
    <w:rPr>
      <w:rFonts w:cs="Times New Roman"/>
      <w:szCs w:val="24"/>
    </w:rPr>
  </w:style>
  <w:style w:type="character" w:styleId="BookTitle">
    <w:name w:val="Book Title"/>
    <w:basedOn w:val="DefaultParagraphFont"/>
    <w:uiPriority w:val="33"/>
    <w:qFormat/>
    <w:rsid w:val="00A83F0F"/>
    <w:rPr>
      <w:b/>
      <w:bCs/>
      <w:i/>
      <w:iCs/>
      <w:spacing w:val="5"/>
    </w:rPr>
  </w:style>
  <w:style w:type="paragraph" w:styleId="Caption">
    <w:name w:val="caption"/>
    <w:basedOn w:val="Normal"/>
    <w:next w:val="Normal"/>
    <w:uiPriority w:val="35"/>
    <w:unhideWhenUsed/>
    <w:qFormat/>
    <w:rsid w:val="00A83F0F"/>
    <w:pPr>
      <w:spacing w:after="200" w:line="240" w:lineRule="auto"/>
    </w:pPr>
    <w:rPr>
      <w:i/>
      <w:iCs/>
      <w:color w:val="1F497D" w:themeColor="text2"/>
      <w:sz w:val="18"/>
      <w:szCs w:val="18"/>
    </w:rPr>
  </w:style>
  <w:style w:type="character" w:styleId="Emphasis">
    <w:name w:val="Emphasis"/>
    <w:basedOn w:val="DefaultParagraphFont"/>
    <w:uiPriority w:val="20"/>
    <w:qFormat/>
    <w:rsid w:val="00A83F0F"/>
    <w:rPr>
      <w:i/>
      <w:iCs/>
    </w:rPr>
  </w:style>
  <w:style w:type="character" w:customStyle="1" w:styleId="Heading7Char">
    <w:name w:val="Heading 7 Char"/>
    <w:basedOn w:val="DefaultParagraphFont"/>
    <w:link w:val="Heading7"/>
    <w:uiPriority w:val="9"/>
    <w:semiHidden/>
    <w:rsid w:val="00A83F0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A83F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83F0F"/>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A83F0F"/>
    <w:rPr>
      <w:i/>
      <w:iCs/>
      <w:color w:val="4F81BD" w:themeColor="accent1"/>
    </w:rPr>
  </w:style>
  <w:style w:type="paragraph" w:styleId="IntenseQuote">
    <w:name w:val="Intense Quote"/>
    <w:basedOn w:val="Normal"/>
    <w:next w:val="Normal"/>
    <w:link w:val="IntenseQuoteChar"/>
    <w:uiPriority w:val="30"/>
    <w:qFormat/>
    <w:rsid w:val="00A83F0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83F0F"/>
    <w:rPr>
      <w:i/>
      <w:iCs/>
      <w:color w:val="4F81BD" w:themeColor="accent1"/>
    </w:rPr>
  </w:style>
  <w:style w:type="character" w:styleId="IntenseReference">
    <w:name w:val="Intense Reference"/>
    <w:basedOn w:val="DefaultParagraphFont"/>
    <w:uiPriority w:val="32"/>
    <w:qFormat/>
    <w:rsid w:val="00A83F0F"/>
    <w:rPr>
      <w:b/>
      <w:bCs/>
      <w:smallCaps/>
      <w:color w:val="4F81BD" w:themeColor="accent1"/>
      <w:spacing w:val="5"/>
    </w:rPr>
  </w:style>
  <w:style w:type="paragraph" w:styleId="ListParagraph">
    <w:name w:val="List Paragraph"/>
    <w:basedOn w:val="Normal"/>
    <w:uiPriority w:val="34"/>
    <w:qFormat/>
    <w:rsid w:val="00A83F0F"/>
    <w:pPr>
      <w:ind w:left="720"/>
      <w:contextualSpacing/>
    </w:pPr>
  </w:style>
  <w:style w:type="paragraph" w:styleId="NoSpacing">
    <w:name w:val="No Spacing"/>
    <w:uiPriority w:val="1"/>
    <w:qFormat/>
    <w:rsid w:val="00A83F0F"/>
    <w:pPr>
      <w:spacing w:line="240" w:lineRule="auto"/>
    </w:pPr>
  </w:style>
  <w:style w:type="paragraph" w:styleId="Quote">
    <w:name w:val="Quote"/>
    <w:basedOn w:val="Normal"/>
    <w:next w:val="Normal"/>
    <w:link w:val="QuoteChar"/>
    <w:uiPriority w:val="29"/>
    <w:qFormat/>
    <w:rsid w:val="00A83F0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83F0F"/>
    <w:rPr>
      <w:i/>
      <w:iCs/>
      <w:color w:val="404040" w:themeColor="text1" w:themeTint="BF"/>
    </w:rPr>
  </w:style>
  <w:style w:type="character" w:styleId="Strong">
    <w:name w:val="Strong"/>
    <w:basedOn w:val="DefaultParagraphFont"/>
    <w:uiPriority w:val="22"/>
    <w:qFormat/>
    <w:rsid w:val="00A83F0F"/>
    <w:rPr>
      <w:b/>
      <w:bCs/>
    </w:rPr>
  </w:style>
  <w:style w:type="character" w:styleId="SubtleEmphasis">
    <w:name w:val="Subtle Emphasis"/>
    <w:basedOn w:val="DefaultParagraphFont"/>
    <w:uiPriority w:val="19"/>
    <w:qFormat/>
    <w:rsid w:val="00A83F0F"/>
    <w:rPr>
      <w:i/>
      <w:iCs/>
      <w:color w:val="404040" w:themeColor="text1" w:themeTint="BF"/>
    </w:rPr>
  </w:style>
  <w:style w:type="character" w:styleId="SubtleReference">
    <w:name w:val="Subtle Reference"/>
    <w:basedOn w:val="DefaultParagraphFont"/>
    <w:uiPriority w:val="31"/>
    <w:qFormat/>
    <w:rsid w:val="00A83F0F"/>
    <w:rPr>
      <w:smallCaps/>
      <w:color w:val="5A5A5A" w:themeColor="text1" w:themeTint="A5"/>
    </w:rPr>
  </w:style>
  <w:style w:type="paragraph" w:styleId="TOCHeading">
    <w:name w:val="TOC Heading"/>
    <w:basedOn w:val="Heading1"/>
    <w:next w:val="Normal"/>
    <w:uiPriority w:val="39"/>
    <w:unhideWhenUsed/>
    <w:qFormat/>
    <w:rsid w:val="00A83F0F"/>
    <w:pPr>
      <w:spacing w:before="240" w:after="0"/>
      <w:outlineLvl w:val="9"/>
    </w:pPr>
    <w:rPr>
      <w:rFonts w:asciiTheme="majorHAnsi" w:eastAsiaTheme="majorEastAsia" w:hAnsiTheme="majorHAnsi" w:cstheme="majorBidi"/>
      <w:b w:val="0"/>
      <w:bCs w:val="0"/>
      <w:color w:val="365F91" w:themeColor="accent1" w:themeShade="BF"/>
      <w:sz w:val="32"/>
      <w:szCs w:val="32"/>
    </w:rPr>
  </w:style>
  <w:style w:type="paragraph" w:styleId="CommentSubject">
    <w:name w:val="annotation subject"/>
    <w:basedOn w:val="CommentText"/>
    <w:next w:val="CommentText"/>
    <w:link w:val="CommentSubjectChar"/>
    <w:uiPriority w:val="99"/>
    <w:semiHidden/>
    <w:unhideWhenUsed/>
    <w:rsid w:val="004E2ED7"/>
    <w:rPr>
      <w:b/>
      <w:bCs/>
    </w:rPr>
  </w:style>
  <w:style w:type="character" w:customStyle="1" w:styleId="CommentSubjectChar">
    <w:name w:val="Comment Subject Char"/>
    <w:basedOn w:val="CommentTextChar"/>
    <w:link w:val="CommentSubject"/>
    <w:uiPriority w:val="99"/>
    <w:semiHidden/>
    <w:rsid w:val="004E2ED7"/>
    <w:rPr>
      <w:b/>
      <w:bCs/>
      <w:sz w:val="20"/>
      <w:szCs w:val="20"/>
    </w:rPr>
  </w:style>
  <w:style w:type="paragraph" w:styleId="Header">
    <w:name w:val="header"/>
    <w:basedOn w:val="Normal"/>
    <w:link w:val="HeaderChar"/>
    <w:uiPriority w:val="99"/>
    <w:unhideWhenUsed/>
    <w:rsid w:val="009A33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335"/>
    <w:rPr>
      <w:rFonts w:ascii="Times New Roman" w:hAnsi="Times New Roman"/>
      <w:sz w:val="24"/>
    </w:rPr>
  </w:style>
  <w:style w:type="paragraph" w:styleId="Footer">
    <w:name w:val="footer"/>
    <w:basedOn w:val="Normal"/>
    <w:link w:val="FooterChar"/>
    <w:uiPriority w:val="99"/>
    <w:unhideWhenUsed/>
    <w:rsid w:val="009A33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335"/>
    <w:rPr>
      <w:rFonts w:ascii="Times New Roman" w:hAnsi="Times New Roman"/>
      <w:sz w:val="24"/>
    </w:rPr>
  </w:style>
  <w:style w:type="paragraph" w:styleId="TOC1">
    <w:name w:val="toc 1"/>
    <w:basedOn w:val="Normal"/>
    <w:next w:val="Normal"/>
    <w:autoRedefine/>
    <w:uiPriority w:val="39"/>
    <w:unhideWhenUsed/>
    <w:rsid w:val="00946883"/>
    <w:pPr>
      <w:tabs>
        <w:tab w:val="right" w:leader="dot" w:pos="9010"/>
      </w:tabs>
      <w:spacing w:after="100"/>
    </w:pPr>
    <w:rPr>
      <w:rFonts w:asciiTheme="minorHAnsi" w:hAnsiTheme="minorHAnsi"/>
      <w:b/>
      <w:bCs/>
      <w:noProof/>
      <w:sz w:val="20"/>
    </w:rPr>
  </w:style>
  <w:style w:type="paragraph" w:styleId="TOC2">
    <w:name w:val="toc 2"/>
    <w:basedOn w:val="Normal"/>
    <w:next w:val="Normal"/>
    <w:autoRedefine/>
    <w:uiPriority w:val="39"/>
    <w:unhideWhenUsed/>
    <w:rsid w:val="00946883"/>
    <w:pPr>
      <w:spacing w:after="100"/>
      <w:ind w:left="240"/>
    </w:pPr>
    <w:rPr>
      <w:rFonts w:asciiTheme="minorHAnsi" w:hAnsiTheme="minorHAnsi"/>
      <w:i/>
      <w:sz w:val="20"/>
    </w:rPr>
  </w:style>
  <w:style w:type="paragraph" w:styleId="TOC3">
    <w:name w:val="toc 3"/>
    <w:basedOn w:val="Normal"/>
    <w:next w:val="Normal"/>
    <w:autoRedefine/>
    <w:uiPriority w:val="39"/>
    <w:unhideWhenUsed/>
    <w:rsid w:val="00946883"/>
    <w:pPr>
      <w:spacing w:after="100"/>
      <w:ind w:left="480"/>
    </w:pPr>
    <w:rPr>
      <w:rFonts w:asciiTheme="minorHAnsi" w:hAnsiTheme="minorHAnsi"/>
      <w:sz w:val="20"/>
    </w:rPr>
  </w:style>
  <w:style w:type="paragraph" w:styleId="TOC4">
    <w:name w:val="toc 4"/>
    <w:basedOn w:val="Normal"/>
    <w:next w:val="Normal"/>
    <w:autoRedefine/>
    <w:uiPriority w:val="39"/>
    <w:unhideWhenUsed/>
    <w:rsid w:val="00946883"/>
    <w:pPr>
      <w:spacing w:after="100"/>
      <w:ind w:left="720"/>
    </w:pPr>
    <w:rPr>
      <w:rFonts w:asciiTheme="minorHAnsi" w:hAnsiTheme="minorHAnsi"/>
      <w:sz w:val="20"/>
    </w:rPr>
  </w:style>
  <w:style w:type="paragraph" w:styleId="TOC5">
    <w:name w:val="toc 5"/>
    <w:basedOn w:val="Normal"/>
    <w:next w:val="Normal"/>
    <w:autoRedefine/>
    <w:uiPriority w:val="39"/>
    <w:unhideWhenUsed/>
    <w:rsid w:val="00115335"/>
    <w:pPr>
      <w:spacing w:after="100" w:line="278" w:lineRule="auto"/>
      <w:ind w:left="960"/>
      <w:jc w:val="left"/>
    </w:pPr>
    <w:rPr>
      <w:rFonts w:asciiTheme="minorHAnsi" w:eastAsiaTheme="minorEastAsia" w:hAnsiTheme="minorHAnsi" w:cstheme="minorBidi"/>
      <w:kern w:val="2"/>
      <w:szCs w:val="24"/>
      <w14:ligatures w14:val="standardContextual"/>
    </w:rPr>
  </w:style>
  <w:style w:type="paragraph" w:styleId="TOC6">
    <w:name w:val="toc 6"/>
    <w:basedOn w:val="Normal"/>
    <w:next w:val="Normal"/>
    <w:autoRedefine/>
    <w:uiPriority w:val="39"/>
    <w:unhideWhenUsed/>
    <w:rsid w:val="00115335"/>
    <w:pPr>
      <w:spacing w:after="100" w:line="278" w:lineRule="auto"/>
      <w:ind w:left="1200"/>
      <w:jc w:val="left"/>
    </w:pPr>
    <w:rPr>
      <w:rFonts w:asciiTheme="minorHAnsi" w:eastAsiaTheme="minorEastAsia" w:hAnsiTheme="minorHAnsi" w:cstheme="minorBidi"/>
      <w:kern w:val="2"/>
      <w:szCs w:val="24"/>
      <w14:ligatures w14:val="standardContextual"/>
    </w:rPr>
  </w:style>
  <w:style w:type="paragraph" w:styleId="TOC7">
    <w:name w:val="toc 7"/>
    <w:basedOn w:val="Normal"/>
    <w:next w:val="Normal"/>
    <w:autoRedefine/>
    <w:uiPriority w:val="39"/>
    <w:unhideWhenUsed/>
    <w:rsid w:val="00115335"/>
    <w:pPr>
      <w:spacing w:after="100" w:line="278" w:lineRule="auto"/>
      <w:ind w:left="1440"/>
      <w:jc w:val="left"/>
    </w:pPr>
    <w:rPr>
      <w:rFonts w:asciiTheme="minorHAnsi" w:eastAsiaTheme="minorEastAsia" w:hAnsiTheme="minorHAnsi" w:cstheme="minorBidi"/>
      <w:kern w:val="2"/>
      <w:szCs w:val="24"/>
      <w14:ligatures w14:val="standardContextual"/>
    </w:rPr>
  </w:style>
  <w:style w:type="paragraph" w:styleId="TOC8">
    <w:name w:val="toc 8"/>
    <w:basedOn w:val="Normal"/>
    <w:next w:val="Normal"/>
    <w:autoRedefine/>
    <w:uiPriority w:val="39"/>
    <w:unhideWhenUsed/>
    <w:rsid w:val="00115335"/>
    <w:pPr>
      <w:spacing w:after="100" w:line="278" w:lineRule="auto"/>
      <w:ind w:left="1680"/>
      <w:jc w:val="left"/>
    </w:pPr>
    <w:rPr>
      <w:rFonts w:asciiTheme="minorHAnsi" w:eastAsiaTheme="minorEastAsia" w:hAnsiTheme="minorHAnsi" w:cstheme="minorBidi"/>
      <w:kern w:val="2"/>
      <w:szCs w:val="24"/>
      <w14:ligatures w14:val="standardContextual"/>
    </w:rPr>
  </w:style>
  <w:style w:type="paragraph" w:styleId="TOC9">
    <w:name w:val="toc 9"/>
    <w:basedOn w:val="Normal"/>
    <w:next w:val="Normal"/>
    <w:autoRedefine/>
    <w:uiPriority w:val="39"/>
    <w:unhideWhenUsed/>
    <w:rsid w:val="00115335"/>
    <w:pPr>
      <w:spacing w:after="100" w:line="278" w:lineRule="auto"/>
      <w:ind w:left="1920"/>
      <w:jc w:val="left"/>
    </w:pPr>
    <w:rPr>
      <w:rFonts w:asciiTheme="minorHAnsi" w:eastAsiaTheme="minorEastAsia" w:hAnsiTheme="minorHAnsi" w:cstheme="minorBidi"/>
      <w:kern w:val="2"/>
      <w:szCs w:val="24"/>
      <w14:ligatures w14:val="standardContextual"/>
    </w:rPr>
  </w:style>
  <w:style w:type="character" w:styleId="Hyperlink">
    <w:name w:val="Hyperlink"/>
    <w:basedOn w:val="DefaultParagraphFont"/>
    <w:uiPriority w:val="99"/>
    <w:unhideWhenUsed/>
    <w:rsid w:val="00115335"/>
    <w:rPr>
      <w:color w:val="0000FF" w:themeColor="hyperlink"/>
      <w:u w:val="single"/>
    </w:rPr>
  </w:style>
  <w:style w:type="character" w:styleId="UnresolvedMention">
    <w:name w:val="Unresolved Mention"/>
    <w:basedOn w:val="DefaultParagraphFont"/>
    <w:uiPriority w:val="99"/>
    <w:semiHidden/>
    <w:unhideWhenUsed/>
    <w:rsid w:val="00115335"/>
    <w:rPr>
      <w:color w:val="605E5C"/>
      <w:shd w:val="clear" w:color="auto" w:fill="E1DFDD"/>
    </w:rPr>
  </w:style>
  <w:style w:type="paragraph" w:styleId="TableofFigures">
    <w:name w:val="table of figures"/>
    <w:basedOn w:val="Normal"/>
    <w:next w:val="Normal"/>
    <w:uiPriority w:val="99"/>
    <w:unhideWhenUsed/>
    <w:rsid w:val="00A30FC7"/>
    <w:pPr>
      <w:spacing w:after="0"/>
    </w:pPr>
    <w:rPr>
      <w:rFonts w:asciiTheme="minorHAnsi" w:hAnsi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g"/><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eader" Target="header2.xml"/><Relationship Id="rId19" Type="http://schemas.openxmlformats.org/officeDocument/2006/relationships/image" Target="media/image5.jpg"/><Relationship Id="rId31" Type="http://schemas.openxmlformats.org/officeDocument/2006/relationships/image" Target="media/image17.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gif"/><Relationship Id="rId33" Type="http://schemas.openxmlformats.org/officeDocument/2006/relationships/image" Target="media/image19.png"/><Relationship Id="rId38" Type="http://schemas.openxmlformats.org/officeDocument/2006/relationships/image" Target="media/image2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yy26nMwHubnShTCdriLwAqjQQw==">CgMxLjAaJwoBMBIiCiAIBCocCgtBQUFCX2FmVGlCaxAIGgtBQUFCX2FmVGlCaxonCgExEiIKIAgEKhwKC0FBQUJfYWZUaC1REAgaC0FBQUJfYWZUaC1RGicKATISIgogCAQqHAoLQUFBQl9hZlRoXzAQCBoLQUFBQl9hZlRoXzAaJwoBMxIiCiAIBCocCgtBQUFCX2FmVGg0NBAIGgtBQUFCX2FmVGg0NBonCgE0EiIKIAgEKhwKC0FBQUJfYWZUaDh3EAgaC0FBQUJfYWZUaDh3GicKATUSIgogCAQqHAoLQUFBQl9hZlRoM00QCBoLQUFBQl9hZlRoM00aJwoBNhIiCiAIBCocCgtBQUFCX2FmVGhfYxAIGgtBQUFCX2FmVGhfYxojCgE3Eh4KHAgHQhgKD1RpbWVzIE5ldyBSb21hbhIFQ2FyZG8aJAoBOBIfCh0IB0IZCg9UaW1lcyBOZXcgUm9tYW4SBkNhdWRleBonCgE5EiIKIAgEKhwKC0FBQUJfYWZUaF9zEAgaC0FBQUJfYWZUaF9zGiUKAjEwEh8KHQgHQhkKD1RpbWVzIE5ldyBSb21hbhIGQ2F1ZGV4IvgCCgtBQUFCX2FmVGhfcxLNAgoLQUFBQl9hZlRoX3MSC0FBQUJfYWZUaF9zGikKCXRleHQvaHRtbBIcd2hhdCBkbyB0aGUgb3RoZXIgZG90cyBzaG93PyIqCgp0ZXh0L3BsYWluEhx3aGF0IGRvIHRoZSBvdGhlciBkb3RzIHNob3c/KkgKD1BlbmVsb3BlIEogV2F0dBo1Ly9zc2wuZ3N0YXRpYy5jb20vZG9jcy9jb21tb24vYmx1ZV9zaWxob3VldHRlOTYtMC5wbmcwwM2TpdIzOMDNk6XSM3JKCg9QZW5lbG9wZSBKIFdhdHQaNwo1Ly9zc2wuZ3N0YXRpYy5jb20vZG9jcy9jb21tb24vYmx1ZV9zaWxob3VldHRlOTYtMC5wbmd4AIgBAZoBBggAEAAYAKoBHhIcd2hhdCBkbyB0aGUgb3RoZXIgZG90cyBzaG93P7ABALgBAcgBABjAzZOl0jMgwM2TpdIzMABCCWtpeC5jbXQ1NyLOAgoLQUFBQl9hZlRoX2MSowIKC0FBQUJfYWZUaF9jEgtBQUFCX2FmVGhfYxobCgl0ZXh0L2h0bWwSDmZpZ3VyZXMgdXNlZnVsIhwKCnRleHQvcGxhaW4SDmZpZ3VyZXMgdXNlZnVsKkgKD1BlbmVsb3BlIEogV2F0dBo1Ly9zc2wuZ3N0YXRpYy5jb20vZG9jcy9jb21tb24vYmx1ZV9zaWxob3VldHRlOTYtMC5wbmcw4NSX09EzOODUl9PRM3JKCg9QZW5lbG9wZSBKIFdhdHQaNwo1Ly9zc2wuZ3N0YXRpYy5jb20vZG9jcy9jb21tb24vYmx1ZV9zaWxob3VldHRlOTYtMC5wbmd4AIgBAZoBBggAEAAYAKoBEBIOZmlndXJlcyB1c2VmdWywAQC4AQHIAQAY4NSX09EzIODUl9PRMzAAQglraXguY210MjQi7QMKC0FBQUJfYWZUaF8wEsIDCgtBQUFCX2FmVGhfMBILQUFBQl9hZlRoXzAaUAoJdGV4dC9odG1sEkNCZSBjb25zaXN0ZW50OiBqb3VybmFsIHRpdGxlcyBzaG91bGQgYmUgd3JpdHRlbsKgaW4gZnVsbCB0aHJvdWdob3V0IlEKCnRleHQvcGxhaW4SQ0JlIGNvbnNpc3RlbnQ6IGpvdXJuYWwgdGl0bGVzIHNob3VsZCBiZSB3cml0dGVuwqBpbiBmdWxsIHRocm91Z2hvdXQqSAoPUGVuZWxvcGUgSiBXYXR0GjUvL3NzbC5nc3RhdGljLmNvbS9kb2NzL2NvbW1vbi9ibHVlX3NpbGhvdWV0dGU5Ni0wLnBuZzCg+rmI0DM4oPq5iNAzckoKD1BlbmVsb3BlIEogV2F0dBo3CjUvL3NzbC5nc3RhdGljLmNvbS9kb2NzL2NvbW1vbi9ibHVlX3NpbGhvdWV0dGU5Ni0wLnBuZ3gAiAEBmgEGCAAQABgAqgFFEkNCZSBjb25zaXN0ZW50OiBqb3VybmFsIHRpdGxlcyBzaG91bGQgYmUgd3JpdHRlbsKgaW4gZnVsbCB0aHJvdWdob3V0sAEAuAEByAEAGKD6uYjQMyCg+rmI0DMwAEIJa2l4LmNtdDE0IqcDCgtBQUFCX2FmVGgtURL9AgoLQUFBQl9hZlRoLVESC0FBQUJfYWZUaC1RGjsKCXRleHQvaHRtbBIuYmUgY29uc2lzdGVudCBpbiBzcGVsbGluZzxicj48YnI+ZmVydGlsaXNhdGlvbiI2Cgp0ZXh0L3BsYWluEihiZSBjb25zaXN0ZW50IGluIHNwZWxsaW5nCgpmZXJ0aWxpc2F0aW9uKkgKD1BlbmVsb3BlIEogV2F0dBo1Ly9zc2wuZ3N0YXRpYy5jb20vZG9jcy9jb21tb24vYmx1ZV9zaWxob3VldHRlOTYtMC5wbmcw4O2+5c8zOODtvuXPM3JKCg9QZW5lbG9wZSBKIFdhdHQaNwo1Ly9zc2wuZ3N0YXRpYy5jb20vZG9jcy9jb21tb24vYmx1ZV9zaWxob3VldHRlOTYtMC5wbmd4AIgBAZoBBggAEAAYAKoBMBIuYmUgY29uc2lzdGVudCBpbiBzcGVsbGluZzxicj48YnI+ZmVydGlsaXNhdGlvbrABALgBAcgBABjg7b7lzzMg4O2+5c8zMABCCGtpeC5jbXQxIvsCCgtBQUFCX2FmVGgzTRLQAgoLQUFBQl9hZlRoM00SC0FBQUJfYWZUaDNNGioKCXRleHQvaHRtbBIdZmlndXJlIHdvdWxkIGhhdmUgYmVlbiB1c2VmdWwiKwoKdGV4dC9wbGFpbhIdZmlndXJlIHdvdWxkIGhhdmUgYmVlbiB1c2VmdWwqSAoPUGVuZWxvcGUgSiBXYXR0GjUvL3NzbC5nc3RhdGljLmNvbS9kb2NzL2NvbW1vbi9ibHVlX3NpbGhvdWV0dGU5Ni0wLnBuZzDggYnT0TM44IGJ09EzckoKD1BlbmVsb3BlIEogV2F0dBo3CjUvL3NzbC5nc3RhdGljLmNvbS9kb2NzL2NvbW1vbi9ibHVlX3NpbGhvdWV0dGU5Ni0wLnBuZ3gAiAEBmgEGCAAQABgAqgEfEh1maWd1cmUgd291bGQgaGF2ZSBiZWVuIHVzZWZ1bLABALgBAcgBABjggYnT0TMg4IGJ09EzMABCCWtpeC5jbXQyMyK/AgoLQUFBQl9hZlRoNDQSlAIKC0FBQUJfYWZUaDQ0EgtBQUFCX2FmVGg0NBoWCgl0ZXh0L2h0bWwSCXNlZSBhYm92ZSIXCgp0ZXh0L3BsYWluEglzZWUgYWJvdmUqSAoPUGVuZWxvcGUgSiBXYXR0GjUvL3NzbC5nc3RhdGljLmNvbS9kb2NzL2NvbW1vbi9ibHVlX3NpbGhvdWV0dGU5Ni0wLnBuZzCg+rmI0DM4oPq5iNAzckoKD1BlbmVsb3BlIEogV2F0dBo3CjUvL3NzbC5nc3RhdGljLmNvbS9kb2NzL2NvbW1vbi9ibHVlX3NpbGhvdWV0dGU5Ni0wLnBuZ3gAiAEBmgEGCAAQABgAqgELEglzZWUgYWJvdmWwAQC4AQHIAQAYoPq5iNAzIKD6uYjQMzAAQglraXguY210MTUiwgMKC0FBQUJfYWZUaUJrEpgDCgtBQUFCX2FmVGlCaxILQUFBQl9hZlRpQmsaQwoJdGV4dC9odG1sEjZ3aHkgZGlkIHlvdSBmb2N1cyBvbiB0aGlzIHN5c3RlbTxicj5FeHBsYWluIHRoZSBzeXN0ZW0iQQoKdGV4dC9wbGFpbhIzd2h5IGRpZCB5b3UgZm9jdXMgb24gdGhpcyBzeXN0ZW0KRXhwbGFpbiB0aGUgc3lzdGVtKkgKD1BlbmVsb3BlIEogV2F0dBo1Ly9zc2wuZ3N0YXRpYy5jb20vZG9jcy9jb21tb24vYmx1ZV9zaWxob3VldHRlOTYtMC5wbmcwoNLf5M8zOKDS3+TPM3JKCg9QZW5lbG9wZSBKIFdhdHQaNwo1Ly9zc2wuZ3N0YXRpYy5jb20vZG9jcy9jb21tb24vYmx1ZV9zaWxob3VldHRlOTYtMC5wbmd4AIgBAZoBBggAEAAYAKoBOBI2d2h5IGRpZCB5b3UgZm9jdXMgb24gdGhpcyBzeXN0ZW08YnI+RXhwbGFpbiB0aGUgc3lzdGVtsAEAuAEByAEAGKDS3+TPMyCg0t/kzzMwAEIIa2l4LmNtdDAivwIKC0FBQUJfYWZUaDh3EpQCCgtBQUFCX2FmVGg4dxILQUFBQl9hZlRoOHcaFgoJdGV4dC9odG1sEglzZWUgYWJvdmUiFwoKdGV4dC9wbGFpbhIJc2VlIGFib3ZlKkgKD1BlbmVsb3BlIEogV2F0dBo1Ly9zc2wuZ3N0YXRpYy5jb20vZG9jcy9jb21tb24vYmx1ZV9zaWxob3VldHRlOTYtMC5wbmcwoPq5iNAzOKD6uYjQM3JKCg9QZW5lbG9wZSBKIFdhdHQaNwo1Ly9zc2wuZ3N0YXRpYy5jb20vZG9jcy9jb21tb24vYmx1ZV9zaWxob3VldHRlOTYtMC5wbmd4AIgBAZoBBggAEAAYAKoBCxIJc2VlIGFib3ZlsAEAuAEByAEAGKD6uYjQMyCg+rmI0DMwAEIJa2l4LmNtdDE2Mg5oLnVtZ3h5YnVqbzR1bjIOaC5tNTFrN2xhcmg0azMyDmguY29sd3dlcXdoYzF3Mg5oLmhrMWRmazhobmExZjIOaC43NTJucWF5YWp3a20yDmgubDY4eHExdWp4YWF4Mg5oLmFrNWNzNHBkamZvczIOaC5sZjRsYmhjZnJteWUyDmgucHc0aWt5ZmU1YWo0Mg5oLjc5NWs5djF0NTVuZzIOaC5rcHVhejZkZjRyMm8yDmgucW5ub3ZpNDlham43Mg5oLnZ6MW9saWZrMTNjbTIOaC5ldWNkeDJyb3NsNm0yDmguaWlqNmtxdzZldXFxMg5oLm85eHVwNGZ5MDNnaTIOaC5pdXYxeTIyczduZWIyDmguYWRiNHhwd2F0amUyMg5oLjlqaXRjanB1OXVsYzIOaC5pOXc5OGFyNXE4YWQyDmguYndnbnZ6NDM1eHRqMg5oLnViZXZnb3Y2amRjbTIOaC45d3llZnV0cHZteWEyDmgub242Y2RiNm9idHVwMg5oLjFubXN3NTRnYm1lZTIOaC5pdmZnZG1vMm9pc3EyDmguOWx3MWJzdmdwbHg1Mg5oLmhocDhrYzJnZHA1MjIOaC5hdGNkc2JtYjR3eWsyDmguM21nYm1kdXBqcWZzMg5oLnAzZjVuMHltbTducTIOaC43MzRxa3p4cW1mZ2EyDmguN3N5dzZreDlybjV2Mg5oLmE5MDFxemszZzB2YTIOaC42d3ZnemZkbzk4amUyDmgubm1leHZiejducWQwMg5oLjlxZnVpNnRrOTVicjIOaC43czBwOHZiNHpweXAyDmguZjk0cXc2M29veDhoMg5oLnI1YjgwanJzaWlrcDgAakkKNnN1Z2dlc3RJZEltcG9ydDlmOWZhNGE1LWViOGQtNGZkOS1hMDQwLTMzNmUxNTE5NDFiNV84NxIPUGVuZWxvcGUgSiBXYXR0akoKN3N1Z2dlc3RJZEltcG9ydDlmOWZhNGE1LWViOGQtNGZkOS1hMDQwLTMzNmUxNTE5NDFiNV8xMDQSD1BlbmVsb3BlIEogV2F0dGpJCjZzdWdnZXN0SWRJbXBvcnQ5ZjlmYTRhNS1lYjhkLTRmZDktYTA0MC0zMzZlMTUxOTQxYjVfMTUSD1BlbmVsb3BlIEogV2F0dGpJCjZzdWdnZXN0SWRJbXBvcnQ5ZjlmYTRhNS1lYjhkLTRmZDktYTA0MC0zMzZlMTUxOTQxYjVfOTcSD1BlbmVsb3BlIEogV2F0dGpKCjdzdWdnZXN0SWRJbXBvcnQ5ZjlmYTRhNS1lYjhkLTRmZDktYTA0MC0zMzZlMTUxOTQxYjVfMTE0Eg9QZW5lbG9wZSBKIFdhdHRqSQo2c3VnZ2VzdElkSW1wb3J0OWY5ZmE0YTUtZWI4ZC00ZmQ5LWEwNDAtMzM2ZTE1MTk0MWI1XzUwEg9QZW5lbG9wZSBKIFdhdHRqSgo3c3VnZ2VzdElkSW1wb3J0OWY5ZmE0YTUtZWI4ZC00ZmQ5LWEwNDAtMzM2ZTE1MTk0MWI1XzEyMBIPUGVuZWxvcGUgSiBXYXR0akoKN3N1Z2dlc3RJZEltcG9ydDlmOWZhNGE1LWViOGQtNGZkOS1hMDQwLTMzNmUxNTE5NDFiNV8xMTYSD1BlbmVsb3BlIEogV2F0dGpKCjdzdWdnZXN0SWRJbXBvcnQ5ZjlmYTRhNS1lYjhkLTRmZDktYTA0MC0zMzZlMTUxOTQxYjVfMTQyEg9QZW5lbG9wZSBKIFdhdHRqSQo2c3VnZ2VzdElkSW1wb3J0OWY5ZmE0YTUtZWI4ZC00ZmQ5LWEwNDAtMzM2ZTE1MTk0MWI1XzkyEg9QZW5lbG9wZSBKIFdhdHRqSQo2c3VnZ2VzdElkSW1wb3J0OWY5ZmE0YTUtZWI4ZC00ZmQ5LWEwNDAtMzM2ZTE1MTk0MWI1Xzc3Eg9QZW5lbG9wZSBKIFdhdHRqSQo2c3VnZ2VzdElkSW1wb3J0OWY5ZmE0YTUtZWI4ZC00ZmQ5LWEwNDAtMzM2ZTE1MTk0MWI1XzczEg9QZW5lbG9wZSBKIFdhdHRqSQo2c3VnZ2VzdElkSW1wb3J0OWY5ZmE0YTUtZWI4ZC00ZmQ5LWEwNDAtMzM2ZTE1MTk0MWI1Xzk1Eg9QZW5lbG9wZSBKIFdhdHRqSgo3c3VnZ2VzdElkSW1wb3J0OWY5ZmE0YTUtZWI4ZC00ZmQ5LWEwNDAtMzM2ZTE1MTk0MWI1XzExMxIPUGVuZWxvcGUgSiBXYXR0akoKN3N1Z2dlc3RJZEltcG9ydDlmOWZhNGE1LWViOGQtNGZkOS1hMDQwLTMzNmUxNTE5NDFiNV8xMjgSD1BlbmVsb3BlIEogV2F0dGpKCjdzdWdnZXN0SWRJbXBvcnQ5ZjlmYTRhNS1lYjhkLTRmZDktYTA0MC0zMzZlMTUxOTQxYjVfMTExEg9QZW5lbG9wZSBKIFdhdHRqSgo3c3VnZ2VzdElkSW1wb3J0OWY5ZmE0YTUtZWI4ZC00ZmQ5LWEwNDAtMzM2ZTE1MTk0MWI1XzE0MxIPUGVuZWxvcGUgSiBXYXR0akkKNnN1Z2dlc3RJZEltcG9ydDlmOWZhNGE1LWViOGQtNGZkOS1hMDQwLTMzNmUxNTE5NDFiNV8zMhIPUGVuZWxvcGUgSiBXYXR0akoKN3N1Z2dlc3RJZEltcG9ydDlmOWZhNGE1LWViOGQtNGZkOS1hMDQwLTMzNmUxNTE5NDFiNV8xMDISD1BlbmVsb3BlIEogV2F0dGpJCjZzdWdnZXN0SWRJbXBvcnQ5ZjlmYTRhNS1lYjhkLTRmZDktYTA0MC0zMzZlMTUxOTQxYjVfNzASD1BlbmVsb3BlIEogV2F0dGpJCjZzdWdnZXN0SWRJbXBvcnQ5ZjlmYTRhNS1lYjhkLTRmZDktYTA0MC0zMzZlMTUxOTQxYjVfMjISD1BlbmVsb3BlIEogV2F0dGpKCjdzdWdnZXN0SWRJbXBvcnQ5ZjlmYTRhNS1lYjhkLTRmZDktYTA0MC0zMzZlMTUxOTQxYjVfMTM0Eg9QZW5lbG9wZSBKIFdhdHRqSQo2c3VnZ2VzdElkSW1wb3J0OWY5ZmE0YTUtZWI4ZC00ZmQ5LWEwNDAtMzM2ZTE1MTk0MWI1XzY2Eg9QZW5lbG9wZSBKIFdhdHRqSQo2c3VnZ2VzdElkSW1wb3J0OWY5ZmE0YTUtZWI4ZC00ZmQ5LWEwNDAtMzM2ZTE1MTk0MWI1XzMwEg9QZW5lbG9wZSBKIFdhdHRqSQo2c3VnZ2VzdElkSW1wb3J0OWY5ZmE0YTUtZWI4ZC00ZmQ5LWEwNDAtMzM2ZTE1MTk0MWI1XzUzEg9QZW5lbG9wZSBKIFdhdHRqSAo1c3VnZ2VzdElkSW1wb3J0OWY5ZmE0YTUtZWI4ZC00ZmQ5LWEwNDAtMzM2ZTE1MTk0MWI1XzgSD1BlbmVsb3BlIEogV2F0dGpKCjdzdWdnZXN0SWRJbXBvcnQ5ZjlmYTRhNS1lYjhkLTRmZDktYTA0MC0zMzZlMTUxOTQxYjVfMTA3Eg9QZW5lbG9wZSBKIFdhdHRqSQo2c3VnZ2VzdElkSW1wb3J0OWY5ZmE0YTUtZWI4ZC00ZmQ5LWEwNDAtMzM2ZTE1MTk0MWI1XzgxEg9QZW5lbG9wZSBKIFdhdHRqSQo2c3VnZ2VzdElkSW1wb3J0OWY5ZmE0YTUtZWI4ZC00ZmQ5LWEwNDAtMzM2ZTE1MTk0MWI1XzI0Eg9QZW5lbG9wZSBKIFdhdHRqSQo2c3VnZ2VzdElkSW1wb3J0OWY5ZmE0YTUtZWI4ZC00ZmQ5LWEwNDAtMzM2ZTE1MTk0MWI1XzMxEg9QZW5lbG9wZSBKIFdhdHRqSgo3c3VnZ2VzdElkSW1wb3J0OWY5ZmE0YTUtZWI4ZC00ZmQ5LWEwNDAtMzM2ZTE1MTk0MWI1XzE0MBIPUGVuZWxvcGUgSiBXYXR0akkKNnN1Z2dlc3RJZEltcG9ydDlmOWZhNGE1LWViOGQtNGZkOS1hMDQwLTMzNmUxNTE5NDFiNV8zNhIPUGVuZWxvcGUgSiBXYXR0akkKNnN1Z2dlc3RJZEltcG9ydDlmOWZhNGE1LWViOGQtNGZkOS1hMDQwLTMzNmUxNTE5NDFiNV80MhIPUGVuZWxvcGUgSiBXYXR0akoKN3N1Z2dlc3RJZEltcG9ydDlmOWZhNGE1LWViOGQtNGZkOS1hMDQwLTMzNmUxNTE5NDFiNV8xNDUSD1BlbmVsb3BlIEogV2F0dGpJCjZzdWdnZXN0SWRJbXBvcnQ5ZjlmYTRhNS1lYjhkLTRmZDktYTA0MC0zMzZlMTUxOTQxYjVfNDcSD1BlbmVsb3BlIEogV2F0dGpJCjZzdWdnZXN0SWRJbXBvcnQ5ZjlmYTRhNS1lYjhkLTRmZDktYTA0MC0zMzZlMTUxOTQxYjVfMjASD1BlbmVsb3BlIEogV2F0dGpJCjZzdWdnZXN0SWRJbXBvcnQ5ZjlmYTRhNS1lYjhkLTRmZDktYTA0MC0zMzZlMTUxOTQxYjVfODISD1BlbmVsb3BlIEogV2F0dGpJCjZzdWdnZXN0SWRJbXBvcnQ5ZjlmYTRhNS1lYjhkLTRmZDktYTA0MC0zMzZlMTUxOTQxYjVfODkSD1BlbmVsb3BlIEogV2F0dGpJCjZzdWdnZXN0SWRJbXBvcnQ5ZjlmYTRhNS1lYjhkLTRmZDktYTA0MC0zMzZlMTUxOTQxYjVfMzQSD1BlbmVsb3BlIEogV2F0dGpKCjdzdWdnZXN0SWRJbXBvcnQ5ZjlmYTRhNS1lYjhkLTRmZDktYTA0MC0zMzZlMTUxOTQxYjVfMTIxEg9QZW5lbG9wZSBKIFdhdHRqSQo2c3VnZ2VzdElkSW1wb3J0OWY5ZmE0YTUtZWI4ZC00ZmQ5LWEwNDAtMzM2ZTE1MTk0MWI1XzcxEg9QZW5lbG9wZSBKIFdhdHRqSAo1c3VnZ2VzdElkSW1wb3J0OWY5ZmE0YTUtZWI4ZC00ZmQ5LWEwNDAtMzM2ZTE1MTk0MWI1XzISD1BlbmVsb3BlIEogV2F0dGpJCjZzdWdnZXN0SWRJbXBvcnQ5ZjlmYTRhNS1lYjhkLTRmZDktYTA0MC0zMzZlMTUxOTQxYjVfMjcSD1BlbmVsb3BlIEogV2F0dGpKCjdzdWdnZXN0SWRJbXBvcnQ5ZjlmYTRhNS1lYjhkLTRmZDktYTA0MC0zMzZlMTUxOTQxYjVfMTI5Eg9QZW5lbG9wZSBKIFdhdHRqSgo3c3VnZ2VzdElkSW1wb3J0OWY5ZmE0YTUtZWI4ZC00ZmQ5LWEwNDAtMzM2ZTE1MTk0MWI1XzEyNBIPUGVuZWxvcGUgSiBXYXR0akkKNnN1Z2dlc3RJZEltcG9ydDlmOWZhNGE1LWViOGQtNGZkOS1hMDQwLTMzNmUxNTE5NDFiNV85OBIPUGVuZWxvcGUgSiBXYXR0akkKNnN1Z2dlc3RJZEltcG9ydDlmOWZhNGE1LWViOGQtNGZkOS1hMDQwLTMzNmUxNTE5NDFiNV82MBIPUGVuZWxvcGUgSiBXYXR0akkKNnN1Z2dlc3RJZEltcG9ydDlmOWZhNGE1LWViOGQtNGZkOS1hMDQwLTMzNmUxNTE5NDFiNV8xOBIPUGVuZWxvcGUgSiBXYXR0akkKNnN1Z2dlc3RJZEltcG9ydDlmOWZhNGE1LWViOGQtNGZkOS1hMDQwLTMzNmUxNTE5NDFiNV81NhIPUGVuZWxvcGUgSiBXYXR0akkKNnN1Z2dlc3RJZEltcG9ydDlmOWZhNGE1LWViOGQtNGZkOS1hMDQwLTMzNmUxNTE5NDFiNV81OBIPUGVuZWxvcGUgSiBXYXR0akkKNnN1Z2dlc3RJZEltcG9ydDlmOWZhNGE1LWViOGQtNGZkOS1hMDQwLTMzNmUxNTE5NDFiNV8zOBIPUGVuZWxvcGUgSiBXYXR0akkKNnN1Z2dlc3RJZEltcG9ydDlmOWZhNGE1LWViOGQtNGZkOS1hMDQwLTMzNmUxNTE5NDFiNV83OBIPUGVuZWxvcGUgSiBXYXR0akoKN3N1Z2dlc3RJZEltcG9ydDlmOWZhNGE1LWViOGQtNGZkOS1hMDQwLTMzNmUxNTE5NDFiNV8xMDMSD1BlbmVsb3BlIEogV2F0dGpJCjZzdWdnZXN0SWRJbXBvcnQ5ZjlmYTRhNS1lYjhkLTRmZDktYTA0MC0zMzZlMTUxOTQxYjVfNTQSD1BlbmVsb3BlIEogV2F0dGpJCjZzdWdnZXN0SWRJbXBvcnQ5ZjlmYTRhNS1lYjhkLTRmZDktYTA0MC0zMzZlMTUxOTQxYjVfNzUSD1BlbmVsb3BlIEogV2F0dGpJCjZzdWdnZXN0SWRJbXBvcnQ5ZjlmYTRhNS1lYjhkLTRmZDktYTA0MC0zMzZlMTUxOTQxYjVfMjYSD1BlbmVsb3BlIEogV2F0dGpICjVzdWdnZXN0SWRJbXBvcnQ5ZjlmYTRhNS1lYjhkLTRmZDktYTA0MC0zMzZlMTUxOTQxYjVfORIPUGVuZWxvcGUgSiBXYXR0akkKNnN1Z2dlc3RJZEltcG9ydDlmOWZhNGE1LWViOGQtNGZkOS1hMDQwLTMzNmUxNTE5NDFiNV84NRIPUGVuZWxvcGUgSiBXYXR0akkKNnN1Z2dlc3RJZEltcG9ydDlmOWZhNGE1LWViOGQtNGZkOS1hMDQwLTMzNmUxNTE5NDFiNV84OBIPUGVuZWxvcGUgSiBXYXR0akkKNnN1Z2dlc3RJZEltcG9ydDlmOWZhNGE1LWViOGQtNGZkOS1hMDQwLTMzNmUxNTE5NDFiNV81ORIPUGVuZWxvcGUgSiBXYXR0akkKNnN1Z2dlc3RJZEltcG9ydDlmOWZhNGE1LWViOGQtNGZkOS1hMDQwLTMzNmUxNTE5NDFiNV82MhIPUGVuZWxvcGUgSiBXYXR0akkKNnN1Z2dlc3RJZEltcG9ydDlmOWZhNGE1LWViOGQtNGZkOS1hMDQwLTMzNmUxNTE5NDFiNV83NhIPUGVuZWxvcGUgSiBXYXR0akoKN3N1Z2dlc3RJZEltcG9ydDlmOWZhNGE1LWViOGQtNGZkOS1hMDQwLTMzNmUxNTE5NDFiNV8xNDQSD1BlbmVsb3BlIEogV2F0dGpJCjZzdWdnZXN0SWRJbXBvcnQ5ZjlmYTRhNS1lYjhkLTRmZDktYTA0MC0zMzZlMTUxOTQxYjVfNzQSD1BlbmVsb3BlIEogV2F0dGpICjVzdWdnZXN0SWRJbXBvcnQ5ZjlmYTRhNS1lYjhkLTRmZDktYTA0MC0zMzZlMTUxOTQxYjVfMRIPUGVuZWxvcGUgSiBXYXR0akkKNnN1Z2dlc3RJZEltcG9ydDlmOWZhNGE1LWViOGQtNGZkOS1hMDQwLTMzNmUxNTE5NDFiNV8xMxIPUGVuZWxvcGUgSiBXYXR0akoKN3N1Z2dlc3RJZEltcG9ydDlmOWZhNGE1LWViOGQtNGZkOS1hMDQwLTMzNmUxNTE5NDFiNV8xNDcSD1BlbmVsb3BlIEogV2F0dGpJCjZzdWdnZXN0SWRJbXBvcnQ5ZjlmYTRhNS1lYjhkLTRmZDktYTA0MC0zMzZlMTUxOTQxYjVfNjkSD1BlbmVsb3BlIEogV2F0dGpKCjdzdWdnZXN0SWRJbXBvcnQ5ZjlmYTRhNS1lYjhkLTRmZDktYTA0MC0zMzZlMTUxOTQxYjVfMTMwEg9QZW5lbG9wZSBKIFdhdHRqSQo2c3VnZ2VzdElkSW1wb3J0OWY5ZmE0YTUtZWI4ZC00ZmQ5LWEwNDAtMzM2ZTE1MTk0MWI1Xzg0Eg9QZW5lbG9wZSBKIFdhdHRqSgo3c3VnZ2VzdElkSW1wb3J0OWY5ZmE0YTUtZWI4ZC00ZmQ5LWEwNDAtMzM2ZTE1MTk0MWI1XzEzORIPUGVuZWxvcGUgSiBXYXR0akoKN3N1Z2dlc3RJZEltcG9ydDlmOWZhNGE1LWViOGQtNGZkOS1hMDQwLTMzNmUxNTE5NDFiNV8xNDESD1BlbmVsb3BlIEogV2F0dGpJCjZzdWdnZXN0SWRJbXBvcnQ5ZjlmYTRhNS1lYjhkLTRmZDktYTA0MC0zMzZlMTUxOTQxYjVfMTYSD1BlbmVsb3BlIEogV2F0dGpJCjZzdWdnZXN0SWRJbXBvcnQ5ZjlmYTRhNS1lYjhkLTRmZDktYTA0MC0zMzZlMTUxOTQxYjVfMTISD1BlbmVsb3BlIEogV2F0dGpJCjZzdWdnZXN0SWRJbXBvcnQ5ZjlmYTRhNS1lYjhkLTRmZDktYTA0MC0zMzZlMTUxOTQxYjVfMzkSD1BlbmVsb3BlIEogV2F0dGpJCjZzdWdnZXN0SWRJbXBvcnQ5ZjlmYTRhNS1lYjhkLTRmZDktYTA0MC0zMzZlMTUxOTQxYjVfMTQSD1BlbmVsb3BlIEogV2F0dGpKCjdzdWdnZXN0SWRJbXBvcnQ5ZjlmYTRhNS1lYjhkLTRmZDktYTA0MC0zMzZlMTUxOTQxYjVfMTQ2Eg9QZW5lbG9wZSBKIFdhdHRqSgo3c3VnZ2VzdElkSW1wb3J0OWY5ZmE0YTUtZWI4ZC00ZmQ5LWEwNDAtMzM2ZTE1MTk0MWI1XzEzNhIPUGVuZWxvcGUgSiBXYXR0akkKNnN1Z2dlc3RJZEltcG9ydDlmOWZhNGE1LWViOGQtNGZkOS1hMDQwLTMzNmUxNTE5NDFiNV82MxIPUGVuZWxvcGUgSiBXYXR0akkKNnN1Z2dlc3RJZEltcG9ydDlmOWZhNGE1LWViOGQtNGZkOS1hMDQwLTMzNmUxNTE5NDFiNV80MxIPUGVuZWxvcGUgSiBXYXR0akkKNnN1Z2dlc3RJZEltcG9ydDlmOWZhNGE1LWViOGQtNGZkOS1hMDQwLTMzNmUxNTE5NDFiNV80NhIPUGVuZWxvcGUgSiBXYXR0akgKNXN1Z2dlc3RJZEltcG9ydDlmOWZhNGE1LWViOGQtNGZkOS1hMDQwLTMzNmUxNTE5NDFiNV80Eg9QZW5lbG9wZSBKIFdhdHRqSgo3c3VnZ2VzdElkSW1wb3J0OWY5ZmE0YTUtZWI4ZC00ZmQ5LWEwNDAtMzM2ZTE1MTk0MWI1XzEzNRIPUGVuZWxvcGUgSiBXYXR0akkKNnN1Z2dlc3RJZEltcG9ydDlmOWZhNGE1LWViOGQtNGZkOS1hMDQwLTMzNmUxNTE5NDFiNV8xORIPUGVuZWxvcGUgSiBXYXR0akoKN3N1Z2dlc3RJZEltcG9ydDlmOWZhNGE1LWViOGQtNGZkOS1hMDQwLTMzNmUxNTE5NDFiNV8xMTgSD1BlbmVsb3BlIEogV2F0dGpKCjdzdWdnZXN0SWRJbXBvcnQ5ZjlmYTRhNS1lYjhkLTRmZDktYTA0MC0zMzZlMTUxOTQxYjVfMTMzEg9QZW5lbG9wZSBKIFdhdHRqSQo2c3VnZ2VzdElkSW1wb3J0OWY5ZmE0YTUtZWI4ZC00ZmQ5LWEwNDAtMzM2ZTE1MTk0MWI1XzQ0Eg9QZW5lbG9wZSBKIFdhdHRqSgo3c3VnZ2VzdElkSW1wb3J0OWY5ZmE0YTUtZWI4ZC00ZmQ5LWEwNDAtMzM2ZTE1MTk0MWI1XzEwOBIPUGVuZWxvcGUgSiBXYXR0akoKN3N1Z2dlc3RJZEltcG9ydDlmOWZhNGE1LWViOGQtNGZkOS1hMDQwLTMzNmUxNTE5NDFiNV8xMTcSD1BlbmVsb3BlIEogV2F0dGpICjVzdWdnZXN0SWRJbXBvcnQ5ZjlmYTRhNS1lYjhkLTRmZDktYTA0MC0zMzZlMTUxOTQxYjVfNRIPUGVuZWxvcGUgSiBXYXR0akkKNnN1Z2dlc3RJZEltcG9ydDlmOWZhNGE1LWViOGQtNGZkOS1hMDQwLTMzNmUxNTE5NDFiNV8yNRIPUGVuZWxvcGUgSiBXYXR0akkKNnN1Z2dlc3RJZEltcG9ydDlmOWZhNGE1LWViOGQtNGZkOS1hMDQwLTMzNmUxNTE5NDFiNV81NxIPUGVuZWxvcGUgSiBXYXR0akkKNnN1Z2dlc3RJZEltcG9ydDlmOWZhNGE1LWViOGQtNGZkOS1hMDQwLTMzNmUxNTE5NDFiNV8yMxIPUGVuZWxvcGUgSiBXYXR0akkKNnN1Z2dlc3RJZEltcG9ydDlmOWZhNGE1LWViOGQtNGZkOS1hMDQwLTMzNmUxNTE5NDFiNV83MhIPUGVuZWxvcGUgSiBXYXR0akkKNnN1Z2dlc3RJZEltcG9ydDlmOWZhNGE1LWViOGQtNGZkOS1hMDQwLTMzNmUxNTE5NDFiNV82OBIPUGVuZWxvcGUgSiBXYXR0akkKNnN1Z2dlc3RJZEltcG9ydDlmOWZhNGE1LWViOGQtNGZkOS1hMDQwLTMzNmUxNTE5NDFiNV8zMxIPUGVuZWxvcGUgSiBXYXR0akoKN3N1Z2dlc3RJZEltcG9ydDlmOWZhNGE1LWViOGQtNGZkOS1hMDQwLTMzNmUxNTE5NDFiNV8xMjISD1BlbmVsb3BlIEogV2F0dGpJCjZzdWdnZXN0SWRJbXBvcnQ5ZjlmYTRhNS1lYjhkLTRmZDktYTA0MC0zMzZlMTUxOTQxYjVfNjcSD1BlbmVsb3BlIEogV2F0dGpJCjZzdWdnZXN0SWRJbXBvcnQ5ZjlmYTRhNS1lYjhkLTRmZDktYTA0MC0zMzZlMTUxOTQxYjVfOTQSD1BlbmVsb3BlIEogV2F0dGpKCjdzdWdnZXN0SWRJbXBvcnQ5ZjlmYTRhNS1lYjhkLTRmZDktYTA0MC0zMzZlMTUxOTQxYjVfMTA5Eg9QZW5lbG9wZSBKIFdhdHRqSgo3c3VnZ2VzdElkSW1wb3J0OWY5ZmE0YTUtZWI4ZC00ZmQ5LWEwNDAtMzM2ZTE1MTk0MWI1XzEzOBIPUGVuZWxvcGUgSiBXYXR0akoKN3N1Z2dlc3RJZEltcG9ydDlmOWZhNGE1LWViOGQtNGZkOS1hMDQwLTMzNmUxNTE5NDFiNV8xMzESD1BlbmVsb3BlIEogV2F0dGpKCjdzdWdnZXN0SWRJbXBvcnQ5ZjlmYTRhNS1lYjhkLTRmZDktYTA0MC0zMzZlMTUxOTQxYjVfMTE5Eg9QZW5lbG9wZSBKIFdhdHRqSQo2c3VnZ2VzdElkSW1wb3J0OWY5ZmE0YTUtZWI4ZC00ZmQ5LWEwNDAtMzM2ZTE1MTk0MWI1XzEwEg9QZW5lbG9wZSBKIFdhdHRqSQo2c3VnZ2VzdElkSW1wb3J0OWY5ZmE0YTUtZWI4ZC00ZmQ5LWEwNDAtMzM2ZTE1MTk0MWI1XzQ1Eg9QZW5lbG9wZSBKIFdhdHRqSQo2c3VnZ2VzdElkSW1wb3J0OWY5ZmE0YTUtZWI4ZC00ZmQ5LWEwNDAtMzM2ZTE1MTk0MWI1XzkxEg9QZW5lbG9wZSBKIFdhdHRqSgo3c3VnZ2VzdElkSW1wb3J0OWY5ZmE0YTUtZWI4ZC00ZmQ5LWEwNDAtMzM2ZTE1MTk0MWI1XzEwMRIPUGVuZWxvcGUgSiBXYXR0akkKNnN1Z2dlc3RJZEltcG9ydDlmOWZhNGE1LWViOGQtNGZkOS1hMDQwLTMzNmUxNTE5NDFiNV8zNxIPUGVuZWxvcGUgSiBXYXR0akkKNnN1Z2dlc3RJZEltcG9ydDlmOWZhNGE1LWViOGQtNGZkOS1hMDQwLTMzNmUxNTE5NDFiNV85MBIPUGVuZWxvcGUgSiBXYXR0akoKN3N1Z2dlc3RJZEltcG9ydDlmOWZhNGE1LWViOGQtNGZkOS1hMDQwLTMzNmUxNTE5NDFiNV8xMjUSD1BlbmVsb3BlIEogV2F0dGpKCjdzdWdnZXN0SWRJbXBvcnQ5ZjlmYTRhNS1lYjhkLTRmZDktYTA0MC0zMzZlMTUxOTQxYjVfMTEyEg9QZW5lbG9wZSBKIFdhdHRqSgo3c3VnZ2VzdElkSW1wb3J0OWY5ZmE0YTUtZWI4ZC00ZmQ5LWEwNDAtMzM2ZTE1MTk0MWI1XzEwNhIPUGVuZWxvcGUgSiBXYXR0akkKNnN1Z2dlc3RJZEltcG9ydDlmOWZhNGE1LWViOGQtNGZkOS1hMDQwLTMzNmUxNTE5NDFiNV81MRIPUGVuZWxvcGUgSiBXYXR0akkKNnN1Z2dlc3RJZEltcG9ydDlmOWZhNGE1LWViOGQtNGZkOS1hMDQwLTMzNmUxNTE5NDFiNV8yOBIPUGVuZWxvcGUgSiBXYXR0akoKN3N1Z2dlc3RJZEltcG9ydDlmOWZhNGE1LWViOGQtNGZkOS1hMDQwLTMzNmUxNTE5NDFiNV8xMzISD1BlbmVsb3BlIEogV2F0dGpKCjdzdWdnZXN0SWRJbXBvcnQ5ZjlmYTRhNS1lYjhkLTRmZDktYTA0MC0zMzZlMTUxOTQxYjVfMTM3Eg9QZW5lbG9wZSBKIFdhdHRqSQo2c3VnZ2VzdElkSW1wb3J0OWY5ZmE0YTUtZWI4ZC00ZmQ5LWEwNDAtMzM2ZTE1MTk0MWI1XzY0Eg9QZW5lbG9wZSBKIFdhdHRqSgo3c3VnZ2VzdElkSW1wb3J0OWY5ZmE0YTUtZWI4ZC00ZmQ5LWEwNDAtMzM2ZTE1MTk0MWI1XzEyNxIPUGVuZWxvcGUgSiBXYXR0akkKNnN1Z2dlc3RJZEltcG9ydDlmOWZhNGE1LWViOGQtNGZkOS1hMDQwLTMzNmUxNTE5NDFiNV8zNRIPUGVuZWxvcGUgSiBXYXR0akkKNnN1Z2dlc3RJZEltcG9ydDlmOWZhNGE1LWViOGQtNGZkOS1hMDQwLTMzNmUxNTE5NDFiNV84MxIPUGVuZWxvcGUgSiBXYXR0ciExakVKbG8xaTR3NjRNS0lnRjBQUzdzZmttT0hMZFFXZTE=</go:docsCustomData>
</go:gDocsCustomXmlDataStorage>
</file>

<file path=customXml/itemProps1.xml><?xml version="1.0" encoding="utf-8"?>
<ds:datastoreItem xmlns:ds="http://schemas.openxmlformats.org/officeDocument/2006/customXml" ds:itemID="{629578C0-2B93-4D20-BA6D-6EB1BF0CD7A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134</Pages>
  <Words>36860</Words>
  <Characters>210105</Characters>
  <Application>Microsoft Office Word</Application>
  <DocSecurity>0</DocSecurity>
  <Lines>1750</Lines>
  <Paragraphs>492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 orge</dc:creator>
  <cp:lastModifiedBy>Ge orge</cp:lastModifiedBy>
  <cp:revision>2</cp:revision>
  <dcterms:created xsi:type="dcterms:W3CDTF">2026-08-07T17:03:00Z</dcterms:created>
  <dcterms:modified xsi:type="dcterms:W3CDTF">2026-08-07T17:03:00Z</dcterms:modified>
</cp:coreProperties>
</file>